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4BA" w:rsidRPr="00652382" w:rsidRDefault="002014BA" w:rsidP="002014B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52382">
        <w:rPr>
          <w:rFonts w:ascii="Arial" w:hAnsi="Arial" w:cs="Arial"/>
          <w:b/>
          <w:sz w:val="20"/>
          <w:szCs w:val="20"/>
        </w:rPr>
        <w:t>Table S1. Sensitivity analysis – Comparison of baseline, stroke</w:t>
      </w:r>
      <w:r w:rsidR="003A2E64" w:rsidRPr="00652382">
        <w:rPr>
          <w:rFonts w:ascii="Arial" w:hAnsi="Arial" w:cs="Arial"/>
          <w:b/>
          <w:sz w:val="20"/>
          <w:szCs w:val="20"/>
        </w:rPr>
        <w:t xml:space="preserve"> an</w:t>
      </w:r>
      <w:bookmarkStart w:id="0" w:name="_GoBack"/>
      <w:bookmarkEnd w:id="0"/>
      <w:r w:rsidR="003A2E64" w:rsidRPr="00652382">
        <w:rPr>
          <w:rFonts w:ascii="Arial" w:hAnsi="Arial" w:cs="Arial"/>
          <w:b/>
          <w:sz w:val="20"/>
          <w:szCs w:val="20"/>
        </w:rPr>
        <w:t>d</w:t>
      </w:r>
      <w:r w:rsidRPr="00652382">
        <w:rPr>
          <w:rFonts w:ascii="Arial" w:hAnsi="Arial" w:cs="Arial"/>
          <w:b/>
          <w:sz w:val="20"/>
          <w:szCs w:val="20"/>
        </w:rPr>
        <w:t xml:space="preserve"> treatment characteristics of patients with nonfatal stroke (study cohort) and patients that were excluded due to absent mRS at discharge/ 90-day follow-up or discharge to another hospital. </w:t>
      </w:r>
    </w:p>
    <w:p w:rsidR="002014BA" w:rsidRPr="00652382" w:rsidRDefault="002014BA" w:rsidP="002014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073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410"/>
        <w:gridCol w:w="2552"/>
        <w:gridCol w:w="1276"/>
      </w:tblGrid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Excluded patients</w:t>
            </w:r>
          </w:p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(n=4,317)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Nonfatal strokes (study cohort) (n=6,518)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2014BA" w:rsidRPr="00652382" w:rsidTr="00342F3B">
        <w:trPr>
          <w:trHeight w:val="576"/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76 (64-76) (n=4,311)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75 (64-82) (n=6,513)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0.013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Female Sex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51.0% (2,199/4,310)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49,6% (3,229/6,516)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0.135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Premorbid disability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(mRS 3-5)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22.2% (797/3,598)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10,4% (668/6,437)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Pre-stroke living status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Independent at home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Nursing at home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Nursing home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90.7% (3,351/3,696)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4.3% (159/3,696)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5.0% (186/3,696)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90.4% (5,790/6,408)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3,5% (227/6,408)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6,1% (391/6,408)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0.016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i/>
                <w:sz w:val="20"/>
                <w:szCs w:val="20"/>
              </w:rPr>
              <w:t>Cardiovascular risk factors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Arterial hypertension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76.5% (2,777/3632)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75,7% (4,919/6,496)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0.406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 xml:space="preserve">Diabetes mellitus 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22.3% (790/3,539)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21.2% (1,377/6,502)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0.183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 xml:space="preserve">Dyslipidaemia 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39.7% (1,388/3,496)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43.5% (2,822/6,492)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Atrial fibrillation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41.2% (1,453/3,524)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40.3% (2,614/6,486)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0.366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Smoker (current)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18.5% (592/3,202)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17.2% (1058/6,157)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0.116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52382">
              <w:rPr>
                <w:rFonts w:ascii="Arial" w:hAnsi="Arial" w:cs="Arial"/>
                <w:i/>
                <w:sz w:val="20"/>
                <w:szCs w:val="20"/>
              </w:rPr>
              <w:t>Baseline Medication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Anticoagulation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26.5% (903/3,409)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22.4% (1,442/6,440)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Platelet inhibition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29.7% (1,014/3,409)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29.6% (1,909/6,440)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52382">
              <w:rPr>
                <w:rFonts w:ascii="Arial" w:hAnsi="Arial" w:cs="Arial"/>
                <w:bCs/>
                <w:sz w:val="20"/>
                <w:szCs w:val="20"/>
              </w:rPr>
              <w:t>0.916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52382">
              <w:rPr>
                <w:rFonts w:ascii="Arial" w:hAnsi="Arial" w:cs="Arial"/>
                <w:i/>
                <w:sz w:val="20"/>
                <w:szCs w:val="20"/>
              </w:rPr>
              <w:t>Stroke characteristics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NIHSS on admission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14 (8-18) (n=3,700)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13 (8-18) (n=6,468)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0.175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i/>
                <w:sz w:val="20"/>
                <w:szCs w:val="20"/>
              </w:rPr>
              <w:t>Location of occlusion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Carotid artery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24.6% (1.009/4.101)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23.4% (1,500/6,413)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52382">
              <w:rPr>
                <w:rFonts w:ascii="Arial" w:hAnsi="Arial" w:cs="Arial"/>
                <w:bCs/>
                <w:sz w:val="20"/>
                <w:szCs w:val="20"/>
              </w:rPr>
              <w:t>0.160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Anterior cerebral artery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1.9% (78/4,104)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2.5% (162/6,413)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0.036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 xml:space="preserve">Middle cerebral artery 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M1-segment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54.6% (2,242/4,101)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52.4% (3,363/6,413)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bCs/>
                <w:sz w:val="20"/>
                <w:szCs w:val="20"/>
              </w:rPr>
              <w:t>0.028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 xml:space="preserve">Middle cerebral artery 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M2-segment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22.7% (930/4,104)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24.1% (1,543/6,413)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Posterior cerebral artery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2.5% (103/4,104)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3.2% (203/6,413)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0.051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Vertebrobasilar</w:t>
            </w:r>
            <w:r w:rsidR="00B47AE1" w:rsidRPr="00652382">
              <w:rPr>
                <w:rFonts w:ascii="Arial" w:hAnsi="Arial" w:cs="Arial"/>
                <w:sz w:val="20"/>
                <w:szCs w:val="20"/>
              </w:rPr>
              <w:t xml:space="preserve"> arteries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9.7% (399/4,101)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8.7% (556/6,413)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0.067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Stroke aetiology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Large artery atherosclerosis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Cardioembolism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Dissection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Other</w:t>
            </w:r>
          </w:p>
          <w:p w:rsidR="002014BA" w:rsidRPr="00652382" w:rsidRDefault="002014BA" w:rsidP="002014B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br/>
              <w:t>27.4% (1000/3,656)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50.1% (1,830/3,656)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1.4% (51/3,656)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5.4% (196/3,656)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15.8% (579/3,656)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br/>
              <w:t>26.7% (1,735/6,505)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49.5% (3,222/6,505)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2.1% (139/6,505)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4.4% (289/6,505)</w:t>
            </w:r>
            <w:r w:rsidRPr="00652382">
              <w:rPr>
                <w:rFonts w:ascii="Arial" w:hAnsi="Arial" w:cs="Arial"/>
                <w:sz w:val="20"/>
                <w:szCs w:val="20"/>
              </w:rPr>
              <w:br/>
              <w:t>17.2% (1,120/6,505)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0.007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i/>
                <w:sz w:val="20"/>
                <w:szCs w:val="20"/>
              </w:rPr>
              <w:t>Treatment characteristics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Intravenous thrombolysis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45.9% (1,930/4,202)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50.9% (3,301/6,490)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Primary admission at MT site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45.5% (2,288/4,048)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62.2% (3,872/6,224)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Symptom onset/Last seen well-to-admission (minutes)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190 (82-352) (n=3,043)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171 (73-350) (n=5,904)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Door-to-groin puncture (minutes)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72 (45-106) (n=3,538)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69 (47-99) (n=6,184)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0.025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Number of passages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 (1-3) (n=3,714)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 (1-3) (n=6,044)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0.797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General anaesthesia during MT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82.5% (3,284/3,983)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73.9% (4,644/6,282)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i/>
                <w:sz w:val="20"/>
                <w:szCs w:val="20"/>
              </w:rPr>
              <w:t>Complications during hospital stay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Intracerebral haemorrhage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8.7% (360/4,140)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12.8% (825/6,451)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Device malfunction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0.3% (11/4,135)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0.3% (22/6,445)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0.498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Dissection/Perforation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2.5% (102/4,135)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2.5% (163/6,445)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0.841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Clot migration/embolization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3.1% (127/4,135)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3.6% (233/6,445)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0.132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Vasospasm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4.1% (171/4,135)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4.4% (283/6,445)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0.527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lastRenderedPageBreak/>
              <w:t>Malignant media infarction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2.0% (74/3,772)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1.9% (122/6,478)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0.780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Myocardial infarction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1.1% (40/3,772)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1.1% (69/6,478)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0.982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i/>
                <w:sz w:val="20"/>
                <w:szCs w:val="20"/>
              </w:rPr>
              <w:t>Outcome parameters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Successful reperfusion (TICI 2b-3)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88.3% (3,589/4,063)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88.4% (5,631/6,368)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0.885</w:t>
            </w:r>
          </w:p>
        </w:tc>
      </w:tr>
      <w:tr w:rsidR="002014BA" w:rsidRPr="00652382" w:rsidTr="00342F3B">
        <w:trPr>
          <w:jc w:val="center"/>
        </w:trPr>
        <w:tc>
          <w:tcPr>
            <w:tcW w:w="2835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Duration of hospital stay (days)</w:t>
            </w:r>
          </w:p>
        </w:tc>
        <w:tc>
          <w:tcPr>
            <w:tcW w:w="2410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7 (4-12) (n=3,665)</w:t>
            </w:r>
          </w:p>
        </w:tc>
        <w:tc>
          <w:tcPr>
            <w:tcW w:w="2552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2382">
              <w:rPr>
                <w:rFonts w:ascii="Arial" w:hAnsi="Arial" w:cs="Arial"/>
                <w:sz w:val="20"/>
                <w:szCs w:val="20"/>
              </w:rPr>
              <w:t>10 (7-15) (n=6,497)</w:t>
            </w:r>
          </w:p>
        </w:tc>
        <w:tc>
          <w:tcPr>
            <w:tcW w:w="1276" w:type="dxa"/>
            <w:shd w:val="clear" w:color="auto" w:fill="auto"/>
          </w:tcPr>
          <w:p w:rsidR="002014BA" w:rsidRPr="00652382" w:rsidRDefault="002014BA" w:rsidP="00342F3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52382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</w:tbl>
    <w:p w:rsidR="002014BA" w:rsidRPr="00652382" w:rsidRDefault="002014BA" w:rsidP="002014BA">
      <w:pPr>
        <w:spacing w:after="0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52382">
        <w:rPr>
          <w:rFonts w:ascii="Arial" w:hAnsi="Arial" w:cs="Arial"/>
          <w:i/>
          <w:sz w:val="20"/>
          <w:szCs w:val="20"/>
        </w:rPr>
        <w:t>Table legend: Data are presented as percentage (absolute number) except for age and NIHSS on admission: median (IQR). Abbreviations: NIHSS: National Institutes of Health Stroke Scale.</w:t>
      </w:r>
    </w:p>
    <w:p w:rsidR="002014BA" w:rsidRPr="00652382" w:rsidRDefault="002014BA">
      <w:pPr>
        <w:rPr>
          <w:rFonts w:ascii="Arial" w:hAnsi="Arial" w:cs="Arial"/>
          <w:b/>
          <w:sz w:val="20"/>
          <w:szCs w:val="20"/>
        </w:rPr>
      </w:pPr>
    </w:p>
    <w:p w:rsidR="002014BA" w:rsidRPr="00652382" w:rsidRDefault="002014BA">
      <w:pPr>
        <w:rPr>
          <w:rFonts w:ascii="Arial" w:hAnsi="Arial" w:cs="Arial"/>
          <w:b/>
          <w:sz w:val="20"/>
          <w:szCs w:val="20"/>
        </w:rPr>
      </w:pPr>
      <w:r w:rsidRPr="00652382">
        <w:rPr>
          <w:rFonts w:ascii="Arial" w:hAnsi="Arial" w:cs="Arial"/>
          <w:b/>
          <w:sz w:val="20"/>
          <w:szCs w:val="20"/>
        </w:rPr>
        <w:br w:type="page"/>
      </w:r>
    </w:p>
    <w:p w:rsidR="00211E14" w:rsidRPr="00652382" w:rsidRDefault="00211E14" w:rsidP="00211E14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652382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Table S2. Sensitivity analysis of 90-day mortality rate in patients with nonfatal LVO treated by mechanical </w:t>
      </w:r>
      <w:proofErr w:type="spellStart"/>
      <w:r w:rsidRPr="00652382">
        <w:rPr>
          <w:rFonts w:ascii="Arial" w:hAnsi="Arial" w:cs="Arial"/>
          <w:b/>
          <w:sz w:val="20"/>
          <w:szCs w:val="20"/>
          <w:lang w:val="en-GB"/>
        </w:rPr>
        <w:t>thrombectomy</w:t>
      </w:r>
      <w:proofErr w:type="spellEnd"/>
      <w:r w:rsidRPr="00652382">
        <w:rPr>
          <w:rFonts w:ascii="Arial" w:hAnsi="Arial" w:cs="Arial"/>
          <w:b/>
          <w:sz w:val="20"/>
          <w:szCs w:val="20"/>
          <w:lang w:val="en-GB"/>
        </w:rPr>
        <w:t>: minimum-maximum bias assumptions by alteration of survival status in patients excluded from the primary analysis.</w:t>
      </w:r>
    </w:p>
    <w:p w:rsidR="00211E14" w:rsidRPr="00652382" w:rsidRDefault="00211E14" w:rsidP="00211E14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1417"/>
        <w:gridCol w:w="2268"/>
        <w:gridCol w:w="2121"/>
      </w:tblGrid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Scenario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proofErr w:type="spellStart"/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 discharge unknown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proofErr w:type="spellStart"/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 day 90 unknown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Transfer to another hospital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90-day mortality rate of nonfatal LVO</w:t>
            </w:r>
          </w:p>
          <w:p w:rsidR="00211E14" w:rsidRPr="00652382" w:rsidRDefault="00211E14" w:rsidP="00342F3B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(deceased day 90/ discharge survivors)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Original manuscript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excluded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excluded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excluded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11.6%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(757/6,518)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1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In-house mortality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deceased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In-house mortality,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22.4%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(2,070/9,231)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2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In-house mortality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deceased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Mortality after discharge,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26.9%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(2,641/9,802)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3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In-house mortality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alive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In-house mortality,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8.2%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(757/9,231)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4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In-house mortality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alive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Mortality after discharge,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13.5%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(1,328/9,802)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5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Discharged alive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deceased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In-house mortality,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31.8%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(3,337/10,498)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6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Discharged alive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deceased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Mortality after discharge,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35.3%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(3,908/11,069)</w:t>
            </w:r>
          </w:p>
        </w:tc>
      </w:tr>
      <w:tr w:rsidR="00211E14" w:rsidRPr="00652382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7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Discharged alive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alive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In-house mortality,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7.2%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(757/10,498)</w:t>
            </w:r>
          </w:p>
        </w:tc>
      </w:tr>
      <w:tr w:rsidR="00211E14" w:rsidRPr="00DF4494" w:rsidTr="00342F3B">
        <w:tc>
          <w:tcPr>
            <w:tcW w:w="141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8</w:t>
            </w:r>
          </w:p>
        </w:tc>
        <w:tc>
          <w:tcPr>
            <w:tcW w:w="1843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Discharged alive</w:t>
            </w:r>
          </w:p>
        </w:tc>
        <w:tc>
          <w:tcPr>
            <w:tcW w:w="1417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Day 90 alive</w:t>
            </w:r>
          </w:p>
        </w:tc>
        <w:tc>
          <w:tcPr>
            <w:tcW w:w="2268" w:type="dxa"/>
          </w:tcPr>
          <w:p w:rsidR="00211E14" w:rsidRPr="00652382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Mortality after discharge, if day 90 </w:t>
            </w:r>
            <w:proofErr w:type="spellStart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mRS</w:t>
            </w:r>
            <w:proofErr w:type="spellEnd"/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>=6</w:t>
            </w:r>
          </w:p>
        </w:tc>
        <w:tc>
          <w:tcPr>
            <w:tcW w:w="2121" w:type="dxa"/>
          </w:tcPr>
          <w:p w:rsidR="00211E14" w:rsidRPr="00DF4494" w:rsidRDefault="00211E14" w:rsidP="00342F3B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652382">
              <w:rPr>
                <w:rFonts w:ascii="Arial" w:hAnsi="Arial" w:cs="Arial"/>
                <w:b/>
                <w:sz w:val="18"/>
                <w:szCs w:val="20"/>
                <w:lang w:val="en-GB"/>
              </w:rPr>
              <w:t>12.0%</w:t>
            </w:r>
            <w:r w:rsidRPr="00652382">
              <w:rPr>
                <w:rFonts w:ascii="Arial" w:hAnsi="Arial" w:cs="Arial"/>
                <w:sz w:val="18"/>
                <w:szCs w:val="20"/>
                <w:lang w:val="en-GB"/>
              </w:rPr>
              <w:t xml:space="preserve"> (1,328/11,069)</w:t>
            </w:r>
          </w:p>
        </w:tc>
      </w:tr>
    </w:tbl>
    <w:p w:rsidR="006C3E4C" w:rsidRDefault="006C3E4C"/>
    <w:sectPr w:rsidR="006C3E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D316A"/>
    <w:multiLevelType w:val="hybridMultilevel"/>
    <w:tmpl w:val="A380F792"/>
    <w:lvl w:ilvl="0" w:tplc="B7002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CD"/>
    <w:rsid w:val="002014BA"/>
    <w:rsid w:val="00211E14"/>
    <w:rsid w:val="003A2E64"/>
    <w:rsid w:val="005203B6"/>
    <w:rsid w:val="00636035"/>
    <w:rsid w:val="00652382"/>
    <w:rsid w:val="00692FCD"/>
    <w:rsid w:val="006C3E4C"/>
    <w:rsid w:val="007876DB"/>
    <w:rsid w:val="008660D5"/>
    <w:rsid w:val="00B47AE1"/>
    <w:rsid w:val="00E86EB2"/>
    <w:rsid w:val="00F5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C880C-3E81-4E32-B627-490E3B3D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1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4050</Characters>
  <Application>Microsoft Office Word</Application>
  <DocSecurity>0</DocSecurity>
  <Lines>311</Lines>
  <Paragraphs>243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Hahn, Marianne</dc:creator>
  <cp:keywords/>
  <dc:description/>
  <cp:lastModifiedBy>Murugaprabu Pazhanichamy</cp:lastModifiedBy>
  <cp:revision>7</cp:revision>
  <dcterms:created xsi:type="dcterms:W3CDTF">2024-11-27T19:45:00Z</dcterms:created>
  <dcterms:modified xsi:type="dcterms:W3CDTF">2025-09-09T05:33:00Z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c5248bc8-ecbf-4b94-881f-feff6c02403a</vt:lpwstr>
  </property>
</Properties>
</file>