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A60D1" w14:textId="0ED1EC28" w:rsidR="00F37ED6" w:rsidRPr="00E46980" w:rsidRDefault="00137F95" w:rsidP="0005750A">
      <w:pPr>
        <w:pStyle w:val="StandardWeb"/>
        <w:spacing w:line="276" w:lineRule="auto"/>
        <w:jc w:val="both"/>
        <w:rPr>
          <w:rFonts w:ascii="Arial" w:hAnsi="Arial" w:cs="Arial"/>
          <w:color w:val="1A1718"/>
          <w:sz w:val="22"/>
          <w:szCs w:val="22"/>
          <w:lang w:val="en-US"/>
        </w:rPr>
      </w:pPr>
      <w:r w:rsidRPr="00E46980">
        <w:rPr>
          <w:rFonts w:ascii="Arial" w:hAnsi="Arial" w:cs="Arial"/>
          <w:b/>
          <w:sz w:val="22"/>
          <w:szCs w:val="22"/>
          <w:lang w:val="en-GB"/>
        </w:rPr>
        <w:t>Supple</w:t>
      </w:r>
      <w:r w:rsidR="003D359F">
        <w:rPr>
          <w:rFonts w:ascii="Arial" w:hAnsi="Arial" w:cs="Arial"/>
          <w:b/>
          <w:sz w:val="22"/>
          <w:szCs w:val="22"/>
          <w:lang w:val="en-GB"/>
        </w:rPr>
        <w:t xml:space="preserve">mentary </w:t>
      </w:r>
      <w:r w:rsidR="007D0B81" w:rsidRPr="00E46980">
        <w:rPr>
          <w:rFonts w:ascii="Arial" w:hAnsi="Arial" w:cs="Arial"/>
          <w:b/>
          <w:sz w:val="22"/>
          <w:szCs w:val="22"/>
          <w:lang w:val="en-GB"/>
        </w:rPr>
        <w:t xml:space="preserve">Figure </w:t>
      </w:r>
      <w:r w:rsidRPr="00E46980">
        <w:rPr>
          <w:rFonts w:ascii="Arial" w:hAnsi="Arial" w:cs="Arial"/>
          <w:b/>
          <w:sz w:val="22"/>
          <w:szCs w:val="22"/>
          <w:lang w:val="en-GB"/>
        </w:rPr>
        <w:t>2</w:t>
      </w:r>
      <w:r w:rsidR="00910525" w:rsidRPr="00E46980">
        <w:rPr>
          <w:rFonts w:ascii="Arial" w:hAnsi="Arial" w:cs="Arial"/>
          <w:b/>
          <w:sz w:val="22"/>
          <w:szCs w:val="22"/>
          <w:lang w:val="en-GB"/>
        </w:rPr>
        <w:t>:</w:t>
      </w:r>
      <w:r w:rsidR="00910525" w:rsidRPr="00E46980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bookmarkStart w:id="0" w:name="_Hlk203504483"/>
      <w:r w:rsidR="00F37ED6" w:rsidRPr="00E46980">
        <w:rPr>
          <w:rFonts w:ascii="Arial" w:hAnsi="Arial" w:cs="Arial"/>
          <w:sz w:val="22"/>
          <w:szCs w:val="22"/>
          <w:lang w:val="en-GB"/>
        </w:rPr>
        <w:t xml:space="preserve">Number of stroke unit beds and reports by leads on negotiations with </w:t>
      </w:r>
      <w:r w:rsidR="00F37ED6" w:rsidRPr="00E46980">
        <w:rPr>
          <w:rFonts w:ascii="Arial" w:hAnsi="Arial" w:cs="Arial"/>
          <w:color w:val="1A1718"/>
          <w:sz w:val="22"/>
          <w:szCs w:val="22"/>
          <w:lang w:val="en-US"/>
        </w:rPr>
        <w:t xml:space="preserve">TOE providers: With an escalating number of beds, it was increasingly often reported that the indication for TOE examinations often has to be negotiated vigorously with TOE providers (p=0.047, </w:t>
      </w:r>
      <w:r w:rsidR="00E43FE8">
        <w:rPr>
          <w:rFonts w:ascii="Arial" w:hAnsi="Arial" w:cs="Arial"/>
          <w:color w:val="1A1718"/>
          <w:sz w:val="22"/>
          <w:szCs w:val="22"/>
          <w:lang w:val="en-US"/>
        </w:rPr>
        <w:t>T</w:t>
      </w:r>
      <w:r w:rsidR="00F37ED6" w:rsidRPr="00E46980">
        <w:rPr>
          <w:rFonts w:ascii="Arial" w:hAnsi="Arial" w:cs="Arial"/>
          <w:color w:val="1A1718"/>
          <w:sz w:val="22"/>
          <w:szCs w:val="22"/>
          <w:lang w:val="en-US"/>
        </w:rPr>
        <w:t>able 2).</w:t>
      </w:r>
    </w:p>
    <w:bookmarkEnd w:id="0"/>
    <w:p w14:paraId="1F1D3BF3" w14:textId="77777777" w:rsidR="007D0B81" w:rsidRPr="00910525" w:rsidRDefault="007D0B81" w:rsidP="007D0B81">
      <w:pPr>
        <w:rPr>
          <w:lang w:val="en-GB"/>
        </w:rPr>
      </w:pPr>
    </w:p>
    <w:p w14:paraId="3F918988" w14:textId="04BEB520" w:rsidR="007D0B81" w:rsidRPr="00F37ED6" w:rsidRDefault="0097422C" w:rsidP="001832F8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518F37C" wp14:editId="0F2AC587">
            <wp:extent cx="5760720" cy="3839845"/>
            <wp:effectExtent l="0" t="0" r="11430" b="8255"/>
            <wp:docPr id="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FC4D0C48-F2DE-4113-9DFF-A220EA644B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731C41C" w14:textId="77777777" w:rsidR="00BF72E4" w:rsidRPr="00F37ED6" w:rsidRDefault="00BF72E4">
      <w:pPr>
        <w:rPr>
          <w:lang w:val="en-US"/>
        </w:rPr>
      </w:pPr>
    </w:p>
    <w:p w14:paraId="1D7CA294" w14:textId="582BAA90" w:rsidR="009F56A6" w:rsidRPr="00D00D67" w:rsidRDefault="004F2420" w:rsidP="00D00D67">
      <w:pPr>
        <w:pStyle w:val="StandardWeb"/>
      </w:pPr>
      <w:bookmarkStart w:id="1" w:name="_Hlk203504768"/>
      <w:r w:rsidRPr="0005750A">
        <w:rPr>
          <w:rFonts w:ascii="Arial" w:hAnsi="Arial" w:cs="Arial"/>
          <w:sz w:val="22"/>
          <w:szCs w:val="22"/>
          <w:lang w:val="en-US"/>
        </w:rPr>
        <w:t xml:space="preserve">Legend: TOE – </w:t>
      </w:r>
      <w:r w:rsidR="006B10A9" w:rsidRPr="0032665F">
        <w:rPr>
          <w:rFonts w:ascii="Arial" w:hAnsi="Arial" w:cs="Arial"/>
          <w:sz w:val="22"/>
          <w:szCs w:val="22"/>
          <w:highlight w:val="yellow"/>
        </w:rPr>
        <w:t>transoesophageal echocardiography</w:t>
      </w:r>
      <w:bookmarkEnd w:id="1"/>
    </w:p>
    <w:sectPr w:rsidR="009F56A6" w:rsidRPr="00D00D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B81"/>
    <w:rsid w:val="0005750A"/>
    <w:rsid w:val="00137F95"/>
    <w:rsid w:val="001832F8"/>
    <w:rsid w:val="0029715E"/>
    <w:rsid w:val="0032665F"/>
    <w:rsid w:val="003D359F"/>
    <w:rsid w:val="004242B7"/>
    <w:rsid w:val="004F2420"/>
    <w:rsid w:val="006B10A9"/>
    <w:rsid w:val="00706482"/>
    <w:rsid w:val="007D0B81"/>
    <w:rsid w:val="00805D1F"/>
    <w:rsid w:val="00910525"/>
    <w:rsid w:val="0097422C"/>
    <w:rsid w:val="009F56A6"/>
    <w:rsid w:val="00A354CF"/>
    <w:rsid w:val="00AB3DEB"/>
    <w:rsid w:val="00BC3118"/>
    <w:rsid w:val="00BF72E4"/>
    <w:rsid w:val="00D00D67"/>
    <w:rsid w:val="00D06475"/>
    <w:rsid w:val="00E43FE8"/>
    <w:rsid w:val="00E46980"/>
    <w:rsid w:val="00E737BD"/>
    <w:rsid w:val="00E83D4D"/>
    <w:rsid w:val="00F37ED6"/>
    <w:rsid w:val="00F7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4D39C"/>
  <w15:chartTrackingRefBased/>
  <w15:docId w15:val="{C014DF7A-0BB1-6642-B8BD-1EA539A8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0B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91052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37E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37ED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37E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7E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7E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0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x23\NEU-BAS\mirkovdamjan\Desktop\Universit&#228;tsklinikum%20Heidelberg\STUDIEN\TEE%20Studie\Manuskript%20und%20Tabellen\Version%201.4%20-%2011.09.2025\Figures%20-%20SPSS%20in%20Excel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2"/>
          <c:order val="2"/>
          <c:tx>
            <c:v>The indication for TOE examinations often has to be negotiated vigorously with TOE providers</c:v>
          </c:tx>
          <c:spPr>
            <a:noFill/>
          </c:spPr>
          <c:invertIfNegative val="0"/>
          <c:cat>
            <c:strLit>
              <c:ptCount val="4"/>
              <c:pt idx="0">
                <c:v>≤ 4</c:v>
              </c:pt>
              <c:pt idx="1">
                <c:v>5 - 6</c:v>
              </c:pt>
              <c:pt idx="2">
                <c:v>7 - 8</c:v>
              </c:pt>
              <c:pt idx="3">
                <c:v>9 - 12</c:v>
              </c:pt>
            </c:strLit>
          </c:cat>
          <c:val>
            <c:numLit>
              <c:formatCode>General</c:formatCode>
              <c:ptCount val="2"/>
            </c:numLit>
          </c:val>
          <c:extLst>
            <c:ext xmlns:c16="http://schemas.microsoft.com/office/drawing/2014/chart" uri="{C3380CC4-5D6E-409C-BE32-E72D297353CC}">
              <c16:uniqueId val="{00000000-D8A8-4A1F-B014-057BF458D722}"/>
            </c:ext>
          </c:extLst>
        </c:ser>
        <c:ser>
          <c:idx val="0"/>
          <c:order val="0"/>
          <c:tx>
            <c:v>No</c:v>
          </c:tx>
          <c:spPr>
            <a:solidFill>
              <a:schemeClr val="tx2"/>
            </a:solidFill>
          </c:spPr>
          <c:invertIfNegative val="0"/>
          <c:cat>
            <c:strLit>
              <c:ptCount val="4"/>
              <c:pt idx="0">
                <c:v>≤ 4</c:v>
              </c:pt>
              <c:pt idx="1">
                <c:v>5 - 6</c:v>
              </c:pt>
              <c:pt idx="2">
                <c:v>7 - 8</c:v>
              </c:pt>
              <c:pt idx="3">
                <c:v>9 - 12</c:v>
              </c:pt>
            </c:strLit>
          </c:cat>
          <c:val>
            <c:numLit>
              <c:formatCode>General</c:formatCode>
              <c:ptCount val="4"/>
              <c:pt idx="0">
                <c:v>24</c:v>
              </c:pt>
              <c:pt idx="1">
                <c:v>54</c:v>
              </c:pt>
              <c:pt idx="2">
                <c:v>44</c:v>
              </c:pt>
              <c:pt idx="3">
                <c:v>55</c:v>
              </c:pt>
            </c:numLit>
          </c:val>
          <c:extLst>
            <c:ext xmlns:c16="http://schemas.microsoft.com/office/drawing/2014/chart" uri="{C3380CC4-5D6E-409C-BE32-E72D297353CC}">
              <c16:uniqueId val="{00000001-D8A8-4A1F-B014-057BF458D722}"/>
            </c:ext>
          </c:extLst>
        </c:ser>
        <c:ser>
          <c:idx val="1"/>
          <c:order val="1"/>
          <c:tx>
            <c:v>Yes</c:v>
          </c:tx>
          <c:spPr>
            <a:solidFill>
              <a:srgbClr val="FF0000"/>
            </a:solidFill>
          </c:spPr>
          <c:invertIfNegative val="0"/>
          <c:cat>
            <c:strLit>
              <c:ptCount val="4"/>
              <c:pt idx="0">
                <c:v>≤ 4</c:v>
              </c:pt>
              <c:pt idx="1">
                <c:v>5 - 6</c:v>
              </c:pt>
              <c:pt idx="2">
                <c:v>7 - 8</c:v>
              </c:pt>
              <c:pt idx="3">
                <c:v>9 - 12</c:v>
              </c:pt>
            </c:strLit>
          </c:cat>
          <c:val>
            <c:numLit>
              <c:formatCode>General</c:formatCode>
              <c:ptCount val="4"/>
              <c:pt idx="0">
                <c:v>2</c:v>
              </c:pt>
              <c:pt idx="1">
                <c:v>8</c:v>
              </c:pt>
              <c:pt idx="2">
                <c:v>10</c:v>
              </c:pt>
              <c:pt idx="3">
                <c:v>20</c:v>
              </c:pt>
            </c:numLit>
          </c:val>
          <c:extLst>
            <c:ext xmlns:c16="http://schemas.microsoft.com/office/drawing/2014/chart" uri="{C3380CC4-5D6E-409C-BE32-E72D297353CC}">
              <c16:uniqueId val="{00000002-D8A8-4A1F-B014-057BF458D7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7013112"/>
        <c:axId val="397794112"/>
      </c:barChart>
      <c:catAx>
        <c:axId val="3970131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50"/>
                </a:pPr>
                <a:r>
                  <a:rPr lang="en-US" sz="1050" b="0" i="0" baseline="0">
                    <a:solidFill>
                      <a:sysClr val="windowText" lastClr="000000"/>
                    </a:solidFill>
                    <a:effectLst/>
                  </a:rPr>
                  <a:t>Number of stroke unit beds (N)</a:t>
                </a:r>
                <a:endParaRPr lang="de-DE" sz="1050">
                  <a:solidFill>
                    <a:sysClr val="windowText" lastClr="000000"/>
                  </a:solidFill>
                  <a:effectLst/>
                </a:endParaRP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000">
                <a:solidFill>
                  <a:sysClr val="windowText" lastClr="000000"/>
                </a:solidFill>
              </a:defRPr>
            </a:pPr>
            <a:endParaRPr lang="de-DE"/>
          </a:p>
        </c:txPr>
        <c:crossAx val="397794112"/>
        <c:crosses val="autoZero"/>
        <c:auto val="1"/>
        <c:lblAlgn val="ctr"/>
        <c:lblOffset val="100"/>
        <c:noMultiLvlLbl val="0"/>
      </c:catAx>
      <c:valAx>
        <c:axId val="39779411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050" b="0"/>
                </a:pPr>
                <a:r>
                  <a:rPr lang="en-US" sz="1050" b="0" baseline="0">
                    <a:solidFill>
                      <a:sysClr val="windowText" lastClr="000000"/>
                    </a:solidFill>
                  </a:rPr>
                  <a:t> %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000">
                <a:solidFill>
                  <a:sysClr val="windowText" lastClr="000000"/>
                </a:solidFill>
              </a:defRPr>
            </a:pPr>
            <a:endParaRPr lang="de-DE"/>
          </a:p>
        </c:txPr>
        <c:crossAx val="3970131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74338277159799"/>
          <c:y val="0.3232680296741649"/>
          <c:w val="0.3525661722840201"/>
          <c:h val="0.40643150960520535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/>
      </a:pPr>
      <a:endParaRPr lang="de-DE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301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Mirkov, Damjan, Dr. med. univ.</cp:lastModifiedBy>
  <cp:revision>24</cp:revision>
  <dcterms:created xsi:type="dcterms:W3CDTF">2025-06-26T12:06:00Z</dcterms:created>
  <dcterms:modified xsi:type="dcterms:W3CDTF">2026-03-19T19:01:00Z</dcterms:modified>
</cp:coreProperties>
</file>