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E4178" w:rsidRDefault="007E4178" w:rsidP="007E4178">
      <w:pPr>
        <w:jc w:val="center"/>
        <w:rPr>
          <w:rFonts w:ascii="Times New Roman" w:hAnsi="Times New Roman" w:cs="Times New Roman"/>
          <w:b/>
          <w:bCs/>
        </w:rPr>
      </w:pPr>
      <w:r w:rsidRPr="001A10B5">
        <w:rPr>
          <w:rFonts w:ascii="Times New Roman" w:hAnsi="Times New Roman" w:cs="Times New Roman"/>
          <w:b/>
          <w:bCs/>
        </w:rPr>
        <w:t>Supplemental Information</w:t>
      </w:r>
    </w:p>
    <w:p w:rsidR="007E4178" w:rsidRDefault="007E4178" w:rsidP="007E4178">
      <w:pPr>
        <w:jc w:val="center"/>
        <w:rPr>
          <w:rFonts w:ascii="Times New Roman" w:hAnsi="Times New Roman" w:cs="Times New Roman"/>
          <w:b/>
          <w:bCs/>
        </w:rPr>
      </w:pPr>
    </w:p>
    <w:p w:rsidR="00DB0A01" w:rsidRDefault="0064162A" w:rsidP="00DB0A01">
      <w:pPr>
        <w:spacing w:line="276" w:lineRule="auto"/>
        <w:jc w:val="center"/>
        <w:rPr>
          <w:rFonts w:ascii="Times New Roman" w:hAnsi="Times New Roman" w:cs="Times New Roman"/>
          <w:b/>
          <w:bCs/>
        </w:rPr>
      </w:pPr>
      <w:r w:rsidRPr="0064162A">
        <w:rPr>
          <w:rFonts w:ascii="Times New Roman" w:hAnsi="Times New Roman" w:cs="Times New Roman"/>
          <w:b/>
          <w:bCs/>
        </w:rPr>
        <w:t>Genetic Signatures Responsive to Mechanical Stimuli Reveal the Guiding Role of Mechanical Signals in The Prognosis and Treatment of Glioma Patients</w:t>
      </w:r>
    </w:p>
    <w:p w:rsidR="00E8588F" w:rsidRDefault="00E8588F">
      <w:pPr>
        <w:rPr>
          <w:lang w:val="en-GB"/>
        </w:rPr>
      </w:pPr>
    </w:p>
    <w:p w:rsidR="00706C0A" w:rsidRPr="002822DE" w:rsidRDefault="002822DE">
      <w:pPr>
        <w:rPr>
          <w:lang w:val="en-GB"/>
        </w:rPr>
      </w:pPr>
      <w:r>
        <w:rPr>
          <w:noProof/>
          <w:lang w:val="en-GB"/>
        </w:rPr>
        <w:drawing>
          <wp:inline distT="0" distB="0" distL="0" distR="0">
            <wp:extent cx="5270500" cy="3161030"/>
            <wp:effectExtent l="0" t="0" r="0" b="1270"/>
            <wp:docPr id="20663913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391330" name="图片 2066391330"/>
                    <pic:cNvPicPr/>
                  </pic:nvPicPr>
                  <pic:blipFill>
                    <a:blip r:embed="rId4" cstate="print">
                      <a:extLst>
                        <a:ext uri="{28A0092B-C50C-407E-A947-70E740481C1C}">
                          <a14:useLocalDpi xmlns:a14="http://schemas.microsoft.com/office/drawing/2010/main" val="0"/>
                        </a:ext>
                      </a:extLst>
                    </a:blip>
                    <a:stretch>
                      <a:fillRect/>
                    </a:stretch>
                  </pic:blipFill>
                  <pic:spPr>
                    <a:xfrm>
                      <a:off x="0" y="0"/>
                      <a:ext cx="5270500" cy="3161030"/>
                    </a:xfrm>
                    <a:prstGeom prst="rect">
                      <a:avLst/>
                    </a:prstGeom>
                  </pic:spPr>
                </pic:pic>
              </a:graphicData>
            </a:graphic>
          </wp:inline>
        </w:drawing>
      </w:r>
    </w:p>
    <w:p w:rsidR="00B45D75" w:rsidRDefault="00B45D75" w:rsidP="00B45D75">
      <w:pPr>
        <w:spacing w:line="480" w:lineRule="auto"/>
        <w:rPr>
          <w:rFonts w:ascii="Times New Roman" w:hAnsi="Times New Roman" w:cs="Times New Roman"/>
          <w:sz w:val="18"/>
          <w:szCs w:val="18"/>
        </w:rPr>
      </w:pPr>
      <w:r w:rsidRPr="006C2FCB">
        <w:rPr>
          <w:rFonts w:ascii="Times New Roman" w:hAnsi="Times New Roman" w:cs="Times New Roman"/>
          <w:b/>
          <w:bCs/>
          <w:sz w:val="18"/>
          <w:szCs w:val="18"/>
        </w:rPr>
        <w:t>Extended Data Fig. 1:</w:t>
      </w:r>
      <w:r>
        <w:rPr>
          <w:rFonts w:ascii="Times New Roman" w:hAnsi="Times New Roman" w:cs="Times New Roman"/>
          <w:b/>
          <w:bCs/>
          <w:sz w:val="18"/>
          <w:szCs w:val="18"/>
        </w:rPr>
        <w:t xml:space="preserve"> </w:t>
      </w:r>
      <w:r w:rsidRPr="00CB190F">
        <w:rPr>
          <w:rFonts w:ascii="Times New Roman" w:hAnsi="Times New Roman" w:cs="Times New Roman"/>
          <w:b/>
          <w:bCs/>
          <w:sz w:val="18"/>
          <w:szCs w:val="18"/>
        </w:rPr>
        <w:t xml:space="preserve">Mechanical feature risk scores across different clinicopathological characteristics in the </w:t>
      </w:r>
      <w:r w:rsidR="002A59AE" w:rsidRPr="002A59AE">
        <w:rPr>
          <w:rFonts w:ascii="Times New Roman" w:hAnsi="Times New Roman" w:cs="Times New Roman"/>
          <w:b/>
          <w:bCs/>
          <w:sz w:val="18"/>
          <w:szCs w:val="18"/>
        </w:rPr>
        <w:t xml:space="preserve">Chinese Glioma Genome Atlas </w:t>
      </w:r>
      <w:r w:rsidR="002A59AE">
        <w:rPr>
          <w:rFonts w:ascii="Times New Roman" w:hAnsi="Times New Roman" w:cs="Times New Roman"/>
          <w:b/>
          <w:bCs/>
          <w:sz w:val="18"/>
          <w:szCs w:val="18"/>
        </w:rPr>
        <w:t>(</w:t>
      </w:r>
      <w:r w:rsidRPr="00CB190F">
        <w:rPr>
          <w:rFonts w:ascii="Times New Roman" w:hAnsi="Times New Roman" w:cs="Times New Roman"/>
          <w:b/>
          <w:bCs/>
          <w:sz w:val="18"/>
          <w:szCs w:val="18"/>
        </w:rPr>
        <w:t>CGGA</w:t>
      </w:r>
      <w:r w:rsidR="002A59AE">
        <w:rPr>
          <w:rFonts w:ascii="Times New Roman" w:hAnsi="Times New Roman" w:cs="Times New Roman"/>
          <w:b/>
          <w:bCs/>
          <w:sz w:val="18"/>
          <w:szCs w:val="18"/>
        </w:rPr>
        <w:t>)</w:t>
      </w:r>
      <w:r w:rsidRPr="00CB190F">
        <w:rPr>
          <w:rFonts w:ascii="Times New Roman" w:hAnsi="Times New Roman" w:cs="Times New Roman"/>
          <w:b/>
          <w:bCs/>
          <w:sz w:val="18"/>
          <w:szCs w:val="18"/>
        </w:rPr>
        <w:t xml:space="preserve"> 325 and CGGA 301 </w:t>
      </w:r>
      <w:r w:rsidR="007548D0">
        <w:rPr>
          <w:rFonts w:ascii="Times New Roman" w:hAnsi="Times New Roman" w:cs="Times New Roman"/>
          <w:b/>
          <w:bCs/>
          <w:sz w:val="18"/>
          <w:szCs w:val="18"/>
        </w:rPr>
        <w:t>c</w:t>
      </w:r>
      <w:r w:rsidRPr="00CB190F">
        <w:rPr>
          <w:rFonts w:ascii="Times New Roman" w:hAnsi="Times New Roman" w:cs="Times New Roman"/>
          <w:b/>
          <w:bCs/>
          <w:sz w:val="18"/>
          <w:szCs w:val="18"/>
        </w:rPr>
        <w:t>ohorts</w:t>
      </w:r>
    </w:p>
    <w:p w:rsidR="00B45D75" w:rsidRPr="00CB190F" w:rsidRDefault="00B45D75" w:rsidP="00B45D75">
      <w:pPr>
        <w:spacing w:line="480" w:lineRule="auto"/>
        <w:rPr>
          <w:rFonts w:ascii="Times New Roman" w:hAnsi="Times New Roman" w:cs="Times New Roman"/>
          <w:sz w:val="18"/>
          <w:szCs w:val="18"/>
        </w:rPr>
      </w:pPr>
      <w:r w:rsidRPr="00CB190F">
        <w:rPr>
          <w:rFonts w:ascii="Times New Roman" w:hAnsi="Times New Roman" w:cs="Times New Roman"/>
          <w:sz w:val="18"/>
          <w:szCs w:val="18"/>
        </w:rPr>
        <w:t xml:space="preserve">(A) Risk scores stratified by 1p19q co-deletion status, </w:t>
      </w:r>
      <w:r w:rsidR="002A59AE">
        <w:rPr>
          <w:rFonts w:ascii="Times New Roman" w:hAnsi="Times New Roman" w:cs="Times New Roman" w:hint="eastAsia"/>
          <w:color w:val="000000"/>
          <w:kern w:val="24"/>
          <w:sz w:val="18"/>
          <w:szCs w:val="18"/>
        </w:rPr>
        <w:t>isocitrate dehydrogenase</w:t>
      </w:r>
      <w:r w:rsidR="002A59AE" w:rsidRPr="00CB190F">
        <w:rPr>
          <w:rFonts w:ascii="Times New Roman" w:hAnsi="Times New Roman" w:cs="Times New Roman"/>
          <w:sz w:val="18"/>
          <w:szCs w:val="18"/>
        </w:rPr>
        <w:t xml:space="preserve"> </w:t>
      </w:r>
      <w:r w:rsidR="002A59AE">
        <w:rPr>
          <w:rFonts w:ascii="Times New Roman" w:hAnsi="Times New Roman" w:cs="Times New Roman"/>
          <w:sz w:val="18"/>
          <w:szCs w:val="18"/>
        </w:rPr>
        <w:t>(</w:t>
      </w:r>
      <w:r w:rsidRPr="00CB190F">
        <w:rPr>
          <w:rFonts w:ascii="Times New Roman" w:hAnsi="Times New Roman" w:cs="Times New Roman"/>
          <w:sz w:val="18"/>
          <w:szCs w:val="18"/>
        </w:rPr>
        <w:t>IDH</w:t>
      </w:r>
      <w:r w:rsidR="002A59AE">
        <w:rPr>
          <w:rFonts w:ascii="Times New Roman" w:hAnsi="Times New Roman" w:cs="Times New Roman"/>
          <w:sz w:val="18"/>
          <w:szCs w:val="18"/>
        </w:rPr>
        <w:t>)</w:t>
      </w:r>
      <w:r w:rsidRPr="00CB190F">
        <w:rPr>
          <w:rFonts w:ascii="Times New Roman" w:hAnsi="Times New Roman" w:cs="Times New Roman"/>
          <w:sz w:val="18"/>
          <w:szCs w:val="18"/>
        </w:rPr>
        <w:t xml:space="preserve"> mutation status, and MGMT promoter methylation status in the CGGA 325 cohort. (B) Risk scores stratified by IDH mutation status and MGMT promoter methylation status in the CGGA 301 cohort (Wilcoxon test).</w:t>
      </w:r>
    </w:p>
    <w:p w:rsidR="00706C0A" w:rsidRPr="00B45D75" w:rsidRDefault="00706C0A"/>
    <w:p w:rsidR="00706C0A" w:rsidRDefault="002822DE">
      <w:pPr>
        <w:rPr>
          <w:lang w:val="en-GB"/>
        </w:rPr>
      </w:pPr>
      <w:r>
        <w:rPr>
          <w:noProof/>
          <w:lang w:val="en-GB"/>
        </w:rPr>
        <w:lastRenderedPageBreak/>
        <w:drawing>
          <wp:inline distT="0" distB="0" distL="0" distR="0">
            <wp:extent cx="5270500" cy="4180840"/>
            <wp:effectExtent l="0" t="0" r="0" b="0"/>
            <wp:docPr id="47888229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882290" name="图片 478882290"/>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70500" cy="4180840"/>
                    </a:xfrm>
                    <a:prstGeom prst="rect">
                      <a:avLst/>
                    </a:prstGeom>
                  </pic:spPr>
                </pic:pic>
              </a:graphicData>
            </a:graphic>
          </wp:inline>
        </w:drawing>
      </w:r>
    </w:p>
    <w:p w:rsidR="00B45D75" w:rsidRDefault="00B45D75" w:rsidP="00B45D75">
      <w:pPr>
        <w:spacing w:line="480" w:lineRule="auto"/>
        <w:rPr>
          <w:rFonts w:ascii="Times New Roman" w:hAnsi="Times New Roman" w:cs="Times New Roman"/>
          <w:b/>
          <w:bCs/>
          <w:sz w:val="18"/>
          <w:szCs w:val="18"/>
        </w:rPr>
      </w:pPr>
      <w:r w:rsidRPr="006C2FCB">
        <w:rPr>
          <w:rFonts w:ascii="Times New Roman" w:hAnsi="Times New Roman" w:cs="Times New Roman"/>
          <w:b/>
          <w:bCs/>
          <w:sz w:val="18"/>
          <w:szCs w:val="18"/>
        </w:rPr>
        <w:t xml:space="preserve">Extended Data Fig. </w:t>
      </w:r>
      <w:r>
        <w:rPr>
          <w:rFonts w:ascii="Times New Roman" w:hAnsi="Times New Roman" w:cs="Times New Roman"/>
          <w:b/>
          <w:bCs/>
          <w:sz w:val="18"/>
          <w:szCs w:val="18"/>
        </w:rPr>
        <w:t>2</w:t>
      </w:r>
      <w:r w:rsidRPr="006C2FCB">
        <w:rPr>
          <w:rFonts w:ascii="Times New Roman" w:hAnsi="Times New Roman" w:cs="Times New Roman"/>
          <w:b/>
          <w:bCs/>
          <w:sz w:val="18"/>
          <w:szCs w:val="18"/>
        </w:rPr>
        <w:t>:</w:t>
      </w:r>
      <w:r>
        <w:rPr>
          <w:rFonts w:ascii="Times New Roman" w:hAnsi="Times New Roman" w:cs="Times New Roman"/>
          <w:b/>
          <w:bCs/>
          <w:sz w:val="18"/>
          <w:szCs w:val="18"/>
        </w:rPr>
        <w:t xml:space="preserve"> </w:t>
      </w:r>
      <w:r w:rsidRPr="00CB190F">
        <w:rPr>
          <w:rFonts w:ascii="Times New Roman" w:hAnsi="Times New Roman" w:cs="Times New Roman"/>
          <w:b/>
          <w:bCs/>
          <w:sz w:val="18"/>
          <w:szCs w:val="18"/>
        </w:rPr>
        <w:t xml:space="preserve">Univariate and multivariate independent prognostic analyses in the </w:t>
      </w:r>
      <w:r w:rsidR="005C4D8E" w:rsidRPr="002A59AE">
        <w:rPr>
          <w:rFonts w:ascii="Times New Roman" w:hAnsi="Times New Roman" w:cs="Times New Roman"/>
          <w:b/>
          <w:bCs/>
          <w:sz w:val="18"/>
          <w:szCs w:val="18"/>
        </w:rPr>
        <w:t xml:space="preserve">Chinese Glioma Genome Atlas </w:t>
      </w:r>
      <w:r w:rsidR="005C4D8E">
        <w:rPr>
          <w:rFonts w:ascii="Times New Roman" w:hAnsi="Times New Roman" w:cs="Times New Roman"/>
          <w:b/>
          <w:bCs/>
          <w:sz w:val="18"/>
          <w:szCs w:val="18"/>
        </w:rPr>
        <w:t>(</w:t>
      </w:r>
      <w:r w:rsidR="005C4D8E" w:rsidRPr="00CB190F">
        <w:rPr>
          <w:rFonts w:ascii="Times New Roman" w:hAnsi="Times New Roman" w:cs="Times New Roman"/>
          <w:b/>
          <w:bCs/>
          <w:sz w:val="18"/>
          <w:szCs w:val="18"/>
        </w:rPr>
        <w:t>CGGA</w:t>
      </w:r>
      <w:r w:rsidR="005C4D8E">
        <w:rPr>
          <w:rFonts w:ascii="Times New Roman" w:hAnsi="Times New Roman" w:cs="Times New Roman"/>
          <w:b/>
          <w:bCs/>
          <w:sz w:val="18"/>
          <w:szCs w:val="18"/>
        </w:rPr>
        <w:t>)</w:t>
      </w:r>
      <w:r w:rsidRPr="00CB190F">
        <w:rPr>
          <w:rFonts w:ascii="Times New Roman" w:hAnsi="Times New Roman" w:cs="Times New Roman"/>
          <w:b/>
          <w:bCs/>
          <w:sz w:val="18"/>
          <w:szCs w:val="18"/>
        </w:rPr>
        <w:t xml:space="preserve"> 301 and CGGA 325 </w:t>
      </w:r>
      <w:r w:rsidR="007548D0">
        <w:rPr>
          <w:rFonts w:ascii="Times New Roman" w:hAnsi="Times New Roman" w:cs="Times New Roman"/>
          <w:b/>
          <w:bCs/>
          <w:sz w:val="18"/>
          <w:szCs w:val="18"/>
        </w:rPr>
        <w:t>c</w:t>
      </w:r>
      <w:r w:rsidRPr="00CB190F">
        <w:rPr>
          <w:rFonts w:ascii="Times New Roman" w:hAnsi="Times New Roman" w:cs="Times New Roman"/>
          <w:b/>
          <w:bCs/>
          <w:sz w:val="18"/>
          <w:szCs w:val="18"/>
        </w:rPr>
        <w:t>ohorts</w:t>
      </w:r>
    </w:p>
    <w:p w:rsidR="00B45D75" w:rsidRDefault="00B45D75" w:rsidP="00B45D75">
      <w:pPr>
        <w:spacing w:line="480" w:lineRule="auto"/>
        <w:rPr>
          <w:rFonts w:ascii="Times New Roman" w:hAnsi="Times New Roman" w:cs="Times New Roman"/>
          <w:sz w:val="18"/>
          <w:szCs w:val="18"/>
        </w:rPr>
      </w:pPr>
      <w:r w:rsidRPr="00CB190F">
        <w:rPr>
          <w:rFonts w:ascii="Times New Roman" w:hAnsi="Times New Roman" w:cs="Times New Roman"/>
          <w:sz w:val="18"/>
          <w:szCs w:val="18"/>
        </w:rPr>
        <w:t>(A, B) Forest plots of univariate (A) and multivariate (B) Cox regression analyses in the CGGA 301 cohort. (C, D) Forest plots of univariate (C) and multivariate (D) Cox regression analyses in the CGGA 325 cohort.</w:t>
      </w:r>
    </w:p>
    <w:p w:rsidR="00706C0A" w:rsidRDefault="00706C0A">
      <w:pPr>
        <w:rPr>
          <w:lang w:val="en-GB"/>
        </w:rPr>
      </w:pPr>
    </w:p>
    <w:p w:rsidR="00706C0A" w:rsidRDefault="002822DE">
      <w:pPr>
        <w:rPr>
          <w:lang w:val="en-GB"/>
        </w:rPr>
      </w:pPr>
      <w:r>
        <w:rPr>
          <w:noProof/>
          <w:lang w:val="en-GB"/>
        </w:rPr>
        <w:lastRenderedPageBreak/>
        <w:drawing>
          <wp:inline distT="0" distB="0" distL="0" distR="0">
            <wp:extent cx="5270500" cy="5130800"/>
            <wp:effectExtent l="0" t="0" r="0" b="0"/>
            <wp:docPr id="70055555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555550" name="图片 700555550"/>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70500" cy="5130800"/>
                    </a:xfrm>
                    <a:prstGeom prst="rect">
                      <a:avLst/>
                    </a:prstGeom>
                  </pic:spPr>
                </pic:pic>
              </a:graphicData>
            </a:graphic>
          </wp:inline>
        </w:drawing>
      </w:r>
    </w:p>
    <w:p w:rsidR="00B45D75" w:rsidRDefault="00B45D75" w:rsidP="00B45D75">
      <w:pPr>
        <w:spacing w:line="480" w:lineRule="auto"/>
        <w:rPr>
          <w:rFonts w:ascii="Times New Roman" w:hAnsi="Times New Roman" w:cs="Times New Roman"/>
          <w:b/>
          <w:bCs/>
          <w:sz w:val="18"/>
          <w:szCs w:val="18"/>
        </w:rPr>
      </w:pPr>
      <w:r w:rsidRPr="006C2FCB">
        <w:rPr>
          <w:rFonts w:ascii="Times New Roman" w:hAnsi="Times New Roman" w:cs="Times New Roman"/>
          <w:b/>
          <w:bCs/>
          <w:sz w:val="18"/>
          <w:szCs w:val="18"/>
        </w:rPr>
        <w:t xml:space="preserve">Extended Data Fig. </w:t>
      </w:r>
      <w:r>
        <w:rPr>
          <w:rFonts w:ascii="Times New Roman" w:hAnsi="Times New Roman" w:cs="Times New Roman"/>
          <w:b/>
          <w:bCs/>
          <w:sz w:val="18"/>
          <w:szCs w:val="18"/>
        </w:rPr>
        <w:t>3</w:t>
      </w:r>
      <w:r w:rsidRPr="006C2FCB">
        <w:rPr>
          <w:rFonts w:ascii="Times New Roman" w:hAnsi="Times New Roman" w:cs="Times New Roman"/>
          <w:b/>
          <w:bCs/>
          <w:sz w:val="18"/>
          <w:szCs w:val="18"/>
        </w:rPr>
        <w:t>:</w:t>
      </w:r>
      <w:r>
        <w:rPr>
          <w:rFonts w:ascii="Times New Roman" w:hAnsi="Times New Roman" w:cs="Times New Roman"/>
          <w:b/>
          <w:bCs/>
          <w:sz w:val="18"/>
          <w:szCs w:val="18"/>
        </w:rPr>
        <w:t xml:space="preserve"> </w:t>
      </w:r>
      <w:r w:rsidRPr="00CB190F">
        <w:rPr>
          <w:rFonts w:ascii="Times New Roman" w:hAnsi="Times New Roman" w:cs="Times New Roman"/>
          <w:b/>
          <w:bCs/>
          <w:sz w:val="18"/>
          <w:szCs w:val="18"/>
        </w:rPr>
        <w:t xml:space="preserve">Analysis of immune checkpoints and immunosuppressive factors in the </w:t>
      </w:r>
      <w:r w:rsidR="005C4D8E" w:rsidRPr="002A59AE">
        <w:rPr>
          <w:rFonts w:ascii="Times New Roman" w:hAnsi="Times New Roman" w:cs="Times New Roman"/>
          <w:b/>
          <w:bCs/>
          <w:sz w:val="18"/>
          <w:szCs w:val="18"/>
        </w:rPr>
        <w:t xml:space="preserve">Chinese Glioma Genome Atlas </w:t>
      </w:r>
      <w:r w:rsidR="005C4D8E">
        <w:rPr>
          <w:rFonts w:ascii="Times New Roman" w:hAnsi="Times New Roman" w:cs="Times New Roman"/>
          <w:b/>
          <w:bCs/>
          <w:sz w:val="18"/>
          <w:szCs w:val="18"/>
        </w:rPr>
        <w:t>(</w:t>
      </w:r>
      <w:r w:rsidR="005C4D8E" w:rsidRPr="00CB190F">
        <w:rPr>
          <w:rFonts w:ascii="Times New Roman" w:hAnsi="Times New Roman" w:cs="Times New Roman"/>
          <w:b/>
          <w:bCs/>
          <w:sz w:val="18"/>
          <w:szCs w:val="18"/>
        </w:rPr>
        <w:t>CGGA</w:t>
      </w:r>
      <w:r w:rsidR="005C4D8E">
        <w:rPr>
          <w:rFonts w:ascii="Times New Roman" w:hAnsi="Times New Roman" w:cs="Times New Roman"/>
          <w:b/>
          <w:bCs/>
          <w:sz w:val="18"/>
          <w:szCs w:val="18"/>
        </w:rPr>
        <w:t>)</w:t>
      </w:r>
      <w:r w:rsidRPr="00CB190F">
        <w:rPr>
          <w:rFonts w:ascii="Times New Roman" w:hAnsi="Times New Roman" w:cs="Times New Roman"/>
          <w:b/>
          <w:bCs/>
          <w:sz w:val="18"/>
          <w:szCs w:val="18"/>
        </w:rPr>
        <w:t xml:space="preserve"> 325 and GSE16011 </w:t>
      </w:r>
      <w:r w:rsidR="007548D0">
        <w:rPr>
          <w:rFonts w:ascii="Times New Roman" w:hAnsi="Times New Roman" w:cs="Times New Roman"/>
          <w:b/>
          <w:bCs/>
          <w:sz w:val="18"/>
          <w:szCs w:val="18"/>
        </w:rPr>
        <w:t>c</w:t>
      </w:r>
      <w:r w:rsidRPr="00CB190F">
        <w:rPr>
          <w:rFonts w:ascii="Times New Roman" w:hAnsi="Times New Roman" w:cs="Times New Roman"/>
          <w:b/>
          <w:bCs/>
          <w:sz w:val="18"/>
          <w:szCs w:val="18"/>
        </w:rPr>
        <w:t>ohorts</w:t>
      </w:r>
    </w:p>
    <w:p w:rsidR="00B45D75" w:rsidRPr="00692C6F" w:rsidRDefault="00B45D75" w:rsidP="00B45D75">
      <w:pPr>
        <w:spacing w:line="480" w:lineRule="auto"/>
        <w:rPr>
          <w:rFonts w:ascii="Times New Roman" w:hAnsi="Times New Roman" w:cs="Times New Roman"/>
          <w:sz w:val="18"/>
          <w:szCs w:val="18"/>
        </w:rPr>
      </w:pPr>
      <w:r w:rsidRPr="00CB190F">
        <w:rPr>
          <w:rFonts w:ascii="Times New Roman" w:hAnsi="Times New Roman" w:cs="Times New Roman"/>
          <w:sz w:val="18"/>
          <w:szCs w:val="18"/>
        </w:rPr>
        <w:t xml:space="preserve">(A, B) mRNA expression levels of </w:t>
      </w:r>
      <w:r w:rsidRPr="001E09B0">
        <w:rPr>
          <w:rFonts w:ascii="Times New Roman" w:hAnsi="Times New Roman" w:cs="Times New Roman"/>
          <w:i/>
          <w:iCs/>
          <w:sz w:val="18"/>
          <w:szCs w:val="18"/>
        </w:rPr>
        <w:t>PDCD1</w:t>
      </w:r>
      <w:r w:rsidRPr="00CB190F">
        <w:rPr>
          <w:rFonts w:ascii="Times New Roman" w:hAnsi="Times New Roman" w:cs="Times New Roman"/>
          <w:sz w:val="18"/>
          <w:szCs w:val="18"/>
        </w:rPr>
        <w:t xml:space="preserve">, </w:t>
      </w:r>
      <w:r w:rsidRPr="001E09B0">
        <w:rPr>
          <w:rFonts w:ascii="Times New Roman" w:hAnsi="Times New Roman" w:cs="Times New Roman"/>
          <w:i/>
          <w:iCs/>
          <w:sz w:val="18"/>
          <w:szCs w:val="18"/>
        </w:rPr>
        <w:t>CD274</w:t>
      </w:r>
      <w:r w:rsidRPr="00CB190F">
        <w:rPr>
          <w:rFonts w:ascii="Times New Roman" w:hAnsi="Times New Roman" w:cs="Times New Roman"/>
          <w:sz w:val="18"/>
          <w:szCs w:val="18"/>
        </w:rPr>
        <w:t xml:space="preserve">, and </w:t>
      </w:r>
      <w:r w:rsidRPr="001E09B0">
        <w:rPr>
          <w:rFonts w:ascii="Times New Roman" w:hAnsi="Times New Roman" w:cs="Times New Roman"/>
          <w:i/>
          <w:iCs/>
          <w:sz w:val="18"/>
          <w:szCs w:val="18"/>
        </w:rPr>
        <w:t>LAG3</w:t>
      </w:r>
      <w:r w:rsidRPr="00CB190F">
        <w:rPr>
          <w:rFonts w:ascii="Times New Roman" w:hAnsi="Times New Roman" w:cs="Times New Roman"/>
          <w:sz w:val="18"/>
          <w:szCs w:val="18"/>
        </w:rPr>
        <w:t xml:space="preserve"> in high-risk and low-risk groups in the CGGA 325 and GSE16011 cohorts. (C, D) mRNA expression levels of </w:t>
      </w:r>
      <w:r w:rsidRPr="001E09B0">
        <w:rPr>
          <w:rFonts w:ascii="Times New Roman" w:hAnsi="Times New Roman" w:cs="Times New Roman"/>
          <w:i/>
          <w:iCs/>
          <w:sz w:val="18"/>
          <w:szCs w:val="18"/>
        </w:rPr>
        <w:t>IL10</w:t>
      </w:r>
      <w:r w:rsidRPr="00CB190F">
        <w:rPr>
          <w:rFonts w:ascii="Times New Roman" w:hAnsi="Times New Roman" w:cs="Times New Roman"/>
          <w:sz w:val="18"/>
          <w:szCs w:val="18"/>
        </w:rPr>
        <w:t xml:space="preserve">, </w:t>
      </w:r>
      <w:r w:rsidRPr="001E09B0">
        <w:rPr>
          <w:rFonts w:ascii="Times New Roman" w:hAnsi="Times New Roman" w:cs="Times New Roman"/>
          <w:i/>
          <w:iCs/>
          <w:sz w:val="18"/>
          <w:szCs w:val="18"/>
        </w:rPr>
        <w:t>TGFβ1</w:t>
      </w:r>
      <w:r w:rsidRPr="00CB190F">
        <w:rPr>
          <w:rFonts w:ascii="Times New Roman" w:hAnsi="Times New Roman" w:cs="Times New Roman"/>
          <w:sz w:val="18"/>
          <w:szCs w:val="18"/>
        </w:rPr>
        <w:t xml:space="preserve">, </w:t>
      </w:r>
      <w:r w:rsidRPr="001E09B0">
        <w:rPr>
          <w:rFonts w:ascii="Times New Roman" w:hAnsi="Times New Roman" w:cs="Times New Roman"/>
          <w:i/>
          <w:iCs/>
          <w:sz w:val="18"/>
          <w:szCs w:val="18"/>
        </w:rPr>
        <w:t>ARG1</w:t>
      </w:r>
      <w:r w:rsidRPr="00CB190F">
        <w:rPr>
          <w:rFonts w:ascii="Times New Roman" w:hAnsi="Times New Roman" w:cs="Times New Roman"/>
          <w:sz w:val="18"/>
          <w:szCs w:val="18"/>
        </w:rPr>
        <w:t xml:space="preserve">, </w:t>
      </w:r>
      <w:r w:rsidRPr="001E09B0">
        <w:rPr>
          <w:rFonts w:ascii="Times New Roman" w:hAnsi="Times New Roman" w:cs="Times New Roman"/>
          <w:i/>
          <w:iCs/>
          <w:sz w:val="18"/>
          <w:szCs w:val="18"/>
        </w:rPr>
        <w:t>VEGFA</w:t>
      </w:r>
      <w:r w:rsidRPr="00CB190F">
        <w:rPr>
          <w:rFonts w:ascii="Times New Roman" w:hAnsi="Times New Roman" w:cs="Times New Roman"/>
          <w:sz w:val="18"/>
          <w:szCs w:val="18"/>
        </w:rPr>
        <w:t xml:space="preserve">, </w:t>
      </w:r>
      <w:r w:rsidRPr="001E09B0">
        <w:rPr>
          <w:rFonts w:ascii="Times New Roman" w:hAnsi="Times New Roman" w:cs="Times New Roman"/>
          <w:i/>
          <w:iCs/>
          <w:sz w:val="18"/>
          <w:szCs w:val="18"/>
        </w:rPr>
        <w:t>CD70</w:t>
      </w:r>
      <w:r w:rsidRPr="00CB190F">
        <w:rPr>
          <w:rFonts w:ascii="Times New Roman" w:hAnsi="Times New Roman" w:cs="Times New Roman"/>
          <w:sz w:val="18"/>
          <w:szCs w:val="18"/>
        </w:rPr>
        <w:t xml:space="preserve">, and </w:t>
      </w:r>
      <w:r w:rsidRPr="001E09B0">
        <w:rPr>
          <w:rFonts w:ascii="Times New Roman" w:hAnsi="Times New Roman" w:cs="Times New Roman"/>
          <w:i/>
          <w:iCs/>
          <w:sz w:val="18"/>
          <w:szCs w:val="18"/>
        </w:rPr>
        <w:t>IL6</w:t>
      </w:r>
      <w:r w:rsidRPr="00CB190F">
        <w:rPr>
          <w:rFonts w:ascii="Times New Roman" w:hAnsi="Times New Roman" w:cs="Times New Roman"/>
          <w:sz w:val="18"/>
          <w:szCs w:val="18"/>
        </w:rPr>
        <w:t xml:space="preserve"> in high-risk and low-risk groups in the CGGA 325 and GSE16011 cohorts.</w:t>
      </w:r>
    </w:p>
    <w:p w:rsidR="004A03FB" w:rsidRDefault="004A03FB">
      <w:r>
        <w:br w:type="page"/>
      </w:r>
    </w:p>
    <w:p w:rsidR="00383222" w:rsidRDefault="004A03FB">
      <w:r>
        <w:rPr>
          <w:noProof/>
        </w:rPr>
        <w:lastRenderedPageBreak/>
        <w:drawing>
          <wp:inline distT="0" distB="0" distL="0" distR="0">
            <wp:extent cx="5270500" cy="6316980"/>
            <wp:effectExtent l="0" t="0" r="0" b="0"/>
            <wp:docPr id="116322930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229302" name="图片 1163229302"/>
                    <pic:cNvPicPr/>
                  </pic:nvPicPr>
                  <pic:blipFill>
                    <a:blip r:embed="rId7">
                      <a:extLst>
                        <a:ext uri="{28A0092B-C50C-407E-A947-70E740481C1C}">
                          <a14:useLocalDpi xmlns:a14="http://schemas.microsoft.com/office/drawing/2010/main" val="0"/>
                        </a:ext>
                      </a:extLst>
                    </a:blip>
                    <a:stretch>
                      <a:fillRect/>
                    </a:stretch>
                  </pic:blipFill>
                  <pic:spPr>
                    <a:xfrm>
                      <a:off x="0" y="0"/>
                      <a:ext cx="5270500" cy="6316980"/>
                    </a:xfrm>
                    <a:prstGeom prst="rect">
                      <a:avLst/>
                    </a:prstGeom>
                  </pic:spPr>
                </pic:pic>
              </a:graphicData>
            </a:graphic>
          </wp:inline>
        </w:drawing>
      </w:r>
    </w:p>
    <w:p w:rsidR="00C71D2B" w:rsidRDefault="004A03FB" w:rsidP="00C71D2B">
      <w:pPr>
        <w:spacing w:line="480" w:lineRule="auto"/>
        <w:rPr>
          <w:rFonts w:ascii="Times New Roman" w:hAnsi="Times New Roman" w:cs="Times New Roman"/>
          <w:b/>
          <w:bCs/>
          <w:sz w:val="18"/>
          <w:szCs w:val="18"/>
        </w:rPr>
      </w:pPr>
      <w:r w:rsidRPr="006C2FCB">
        <w:rPr>
          <w:rFonts w:ascii="Times New Roman" w:hAnsi="Times New Roman" w:cs="Times New Roman"/>
          <w:b/>
          <w:bCs/>
          <w:sz w:val="18"/>
          <w:szCs w:val="18"/>
        </w:rPr>
        <w:t xml:space="preserve">Extended Data Fig. </w:t>
      </w:r>
      <w:r>
        <w:rPr>
          <w:rFonts w:ascii="Times New Roman" w:hAnsi="Times New Roman" w:cs="Times New Roman"/>
          <w:b/>
          <w:bCs/>
          <w:sz w:val="18"/>
          <w:szCs w:val="18"/>
        </w:rPr>
        <w:t>4</w:t>
      </w:r>
      <w:r w:rsidRPr="006C2FCB">
        <w:rPr>
          <w:rFonts w:ascii="Times New Roman" w:hAnsi="Times New Roman" w:cs="Times New Roman"/>
          <w:b/>
          <w:bCs/>
          <w:sz w:val="18"/>
          <w:szCs w:val="18"/>
        </w:rPr>
        <w:t>:</w:t>
      </w:r>
      <w:r w:rsidR="00C71D2B">
        <w:rPr>
          <w:rFonts w:ascii="Times New Roman" w:hAnsi="Times New Roman" w:cs="Times New Roman"/>
          <w:b/>
          <w:bCs/>
          <w:sz w:val="18"/>
          <w:szCs w:val="18"/>
        </w:rPr>
        <w:t xml:space="preserve"> </w:t>
      </w:r>
      <w:r w:rsidR="00C71D2B" w:rsidRPr="00C71D2B">
        <w:rPr>
          <w:rFonts w:ascii="Times New Roman" w:hAnsi="Times New Roman" w:cs="Times New Roman"/>
          <w:b/>
          <w:bCs/>
          <w:sz w:val="18"/>
          <w:szCs w:val="18"/>
        </w:rPr>
        <w:t>Correlation between the nine-gene risk score and SPP1 expression in bulk glioma cohorts.</w:t>
      </w:r>
    </w:p>
    <w:p w:rsidR="004A03FB" w:rsidRPr="00C71D2B" w:rsidRDefault="00C71D2B" w:rsidP="00C71D2B">
      <w:pPr>
        <w:spacing w:line="480" w:lineRule="auto"/>
        <w:rPr>
          <w:rFonts w:ascii="Times New Roman" w:hAnsi="Times New Roman" w:cs="Times New Roman" w:hint="eastAsia"/>
          <w:sz w:val="18"/>
          <w:szCs w:val="18"/>
        </w:rPr>
      </w:pPr>
      <w:r w:rsidRPr="00C71D2B">
        <w:rPr>
          <w:rFonts w:ascii="Times New Roman" w:hAnsi="Times New Roman" w:cs="Times New Roman"/>
          <w:sz w:val="18"/>
          <w:szCs w:val="18"/>
        </w:rPr>
        <w:t xml:space="preserve">Spearman correlation analyses between the risk score and SPP1 expression in the TCGA, CGGA-301, CGGA-325, and GSE16011 cohorts. Spearman correlation coefficients (R) and corresponding </w:t>
      </w:r>
      <w:r w:rsidRPr="00FC1E4B">
        <w:rPr>
          <w:rFonts w:ascii="Times New Roman" w:hAnsi="Times New Roman" w:cs="Times New Roman"/>
          <w:i/>
          <w:iCs/>
          <w:sz w:val="18"/>
          <w:szCs w:val="18"/>
        </w:rPr>
        <w:t>P</w:t>
      </w:r>
      <w:r w:rsidRPr="00C71D2B">
        <w:rPr>
          <w:rFonts w:ascii="Times New Roman" w:hAnsi="Times New Roman" w:cs="Times New Roman"/>
          <w:sz w:val="18"/>
          <w:szCs w:val="18"/>
        </w:rPr>
        <w:t xml:space="preserve"> values are shown in panels.</w:t>
      </w:r>
    </w:p>
    <w:p w:rsidR="00383222" w:rsidRDefault="002822DE">
      <w:pPr>
        <w:rPr>
          <w:lang w:val="en-GB"/>
        </w:rPr>
      </w:pPr>
      <w:r>
        <w:rPr>
          <w:noProof/>
          <w:lang w:val="en-GB"/>
        </w:rPr>
        <w:lastRenderedPageBreak/>
        <w:drawing>
          <wp:inline distT="0" distB="0" distL="0" distR="0">
            <wp:extent cx="5270500" cy="5023485"/>
            <wp:effectExtent l="0" t="0" r="0" b="5715"/>
            <wp:docPr id="67076344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763440" name="图片 67076344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0500" cy="5023485"/>
                    </a:xfrm>
                    <a:prstGeom prst="rect">
                      <a:avLst/>
                    </a:prstGeom>
                  </pic:spPr>
                </pic:pic>
              </a:graphicData>
            </a:graphic>
          </wp:inline>
        </w:drawing>
      </w:r>
    </w:p>
    <w:p w:rsidR="00B45D75" w:rsidRPr="001E09B0" w:rsidRDefault="00B45D75" w:rsidP="00B45D75">
      <w:pPr>
        <w:spacing w:line="480" w:lineRule="auto"/>
        <w:rPr>
          <w:rFonts w:ascii="Times New Roman" w:hAnsi="Times New Roman" w:cs="Times New Roman"/>
          <w:b/>
          <w:bCs/>
          <w:sz w:val="18"/>
          <w:szCs w:val="18"/>
        </w:rPr>
      </w:pPr>
      <w:r w:rsidRPr="006C2FCB">
        <w:rPr>
          <w:rFonts w:ascii="Times New Roman" w:hAnsi="Times New Roman" w:cs="Times New Roman"/>
          <w:b/>
          <w:bCs/>
          <w:sz w:val="18"/>
          <w:szCs w:val="18"/>
        </w:rPr>
        <w:t xml:space="preserve">Extended Data Fig. </w:t>
      </w:r>
      <w:r w:rsidR="004A03FB">
        <w:rPr>
          <w:rFonts w:ascii="Times New Roman" w:hAnsi="Times New Roman" w:cs="Times New Roman"/>
          <w:b/>
          <w:bCs/>
          <w:sz w:val="18"/>
          <w:szCs w:val="18"/>
        </w:rPr>
        <w:t>5</w:t>
      </w:r>
      <w:r w:rsidRPr="006C2FCB">
        <w:rPr>
          <w:rFonts w:ascii="Times New Roman" w:hAnsi="Times New Roman" w:cs="Times New Roman"/>
          <w:b/>
          <w:bCs/>
          <w:sz w:val="18"/>
          <w:szCs w:val="18"/>
        </w:rPr>
        <w:t>:</w:t>
      </w:r>
      <w:r>
        <w:rPr>
          <w:rFonts w:ascii="Times New Roman" w:hAnsi="Times New Roman" w:cs="Times New Roman"/>
          <w:b/>
          <w:bCs/>
          <w:sz w:val="18"/>
          <w:szCs w:val="18"/>
        </w:rPr>
        <w:t xml:space="preserve"> </w:t>
      </w:r>
      <w:r w:rsidRPr="001E09B0">
        <w:rPr>
          <w:rFonts w:ascii="Times New Roman" w:hAnsi="Times New Roman" w:cs="Times New Roman"/>
          <w:b/>
          <w:bCs/>
          <w:sz w:val="18"/>
          <w:szCs w:val="18"/>
        </w:rPr>
        <w:t>The expression profiles of the proteins encoded by</w:t>
      </w:r>
      <w:r w:rsidRPr="00C80CD3">
        <w:rPr>
          <w:rFonts w:ascii="Times New Roman" w:hAnsi="Times New Roman" w:cs="Times New Roman"/>
          <w:b/>
          <w:bCs/>
          <w:sz w:val="18"/>
          <w:szCs w:val="18"/>
        </w:rPr>
        <w:t xml:space="preserve"> </w:t>
      </w:r>
      <w:r w:rsidRPr="00C80CD3">
        <w:rPr>
          <w:rFonts w:ascii="Times New Roman" w:hAnsi="Times New Roman" w:cs="Times New Roman" w:hint="eastAsia"/>
          <w:b/>
          <w:bCs/>
          <w:sz w:val="18"/>
          <w:szCs w:val="18"/>
        </w:rPr>
        <w:t>TNFSF1</w:t>
      </w:r>
      <w:r w:rsidRPr="00C80CD3">
        <w:rPr>
          <w:rFonts w:ascii="Times New Roman" w:hAnsi="Times New Roman" w:cs="Times New Roman"/>
          <w:b/>
          <w:bCs/>
          <w:sz w:val="18"/>
          <w:szCs w:val="18"/>
        </w:rPr>
        <w:t>4, AQP1</w:t>
      </w:r>
      <w:r w:rsidR="003D176A" w:rsidRPr="00C80CD3">
        <w:rPr>
          <w:rFonts w:ascii="Times New Roman" w:hAnsi="Times New Roman" w:cs="Times New Roman"/>
          <w:b/>
          <w:bCs/>
          <w:sz w:val="18"/>
          <w:szCs w:val="18"/>
        </w:rPr>
        <w:t>,</w:t>
      </w:r>
      <w:r w:rsidRPr="00C80CD3">
        <w:rPr>
          <w:rFonts w:ascii="Times New Roman" w:hAnsi="Times New Roman" w:cs="Times New Roman"/>
          <w:b/>
          <w:bCs/>
          <w:sz w:val="18"/>
          <w:szCs w:val="18"/>
        </w:rPr>
        <w:t xml:space="preserve"> and BDKRB1 i</w:t>
      </w:r>
      <w:r w:rsidRPr="001E09B0">
        <w:rPr>
          <w:rFonts w:ascii="Times New Roman" w:hAnsi="Times New Roman" w:cs="Times New Roman"/>
          <w:b/>
          <w:bCs/>
          <w:sz w:val="18"/>
          <w:szCs w:val="18"/>
        </w:rPr>
        <w:t>n glial cells of cerebral cortex, low-grade</w:t>
      </w:r>
      <w:r w:rsidR="003D176A">
        <w:rPr>
          <w:rFonts w:ascii="Times New Roman" w:hAnsi="Times New Roman" w:cs="Times New Roman"/>
          <w:b/>
          <w:bCs/>
          <w:sz w:val="18"/>
          <w:szCs w:val="18"/>
        </w:rPr>
        <w:t>,</w:t>
      </w:r>
      <w:r w:rsidRPr="001E09B0">
        <w:rPr>
          <w:rFonts w:ascii="Times New Roman" w:hAnsi="Times New Roman" w:cs="Times New Roman"/>
          <w:b/>
          <w:bCs/>
          <w:sz w:val="18"/>
          <w:szCs w:val="18"/>
        </w:rPr>
        <w:t xml:space="preserve"> and high-grade glioma tissues using clinical specimens from the Human Protein Profiles </w:t>
      </w:r>
      <w:r w:rsidRPr="001E09B0">
        <w:rPr>
          <w:rFonts w:ascii="Times New Roman" w:hAnsi="Times New Roman" w:cs="Times New Roman" w:hint="eastAsia"/>
          <w:b/>
          <w:bCs/>
          <w:sz w:val="18"/>
          <w:szCs w:val="18"/>
        </w:rPr>
        <w:t>(</w:t>
      </w:r>
      <w:r w:rsidRPr="001E09B0">
        <w:rPr>
          <w:rFonts w:ascii="Times New Roman" w:hAnsi="Times New Roman" w:cs="Times New Roman"/>
          <w:b/>
          <w:bCs/>
          <w:sz w:val="18"/>
          <w:szCs w:val="18"/>
        </w:rPr>
        <w:t>expression levels determined by antibody staining</w:t>
      </w:r>
      <w:r w:rsidRPr="001E09B0">
        <w:rPr>
          <w:rFonts w:ascii="Times New Roman" w:hAnsi="Times New Roman" w:cs="Times New Roman" w:hint="eastAsia"/>
          <w:b/>
          <w:bCs/>
          <w:sz w:val="18"/>
          <w:szCs w:val="18"/>
        </w:rPr>
        <w:t>)</w:t>
      </w:r>
    </w:p>
    <w:p w:rsidR="00683875" w:rsidRPr="00953772" w:rsidRDefault="00683875">
      <w:pPr>
        <w:rPr>
          <w:lang w:val="en-GB"/>
        </w:rPr>
      </w:pPr>
    </w:p>
    <w:sectPr w:rsidR="00683875" w:rsidRPr="00953772" w:rsidSect="001570DA">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Palatino Linotype">
    <w:panose1 w:val="02040502050505030304"/>
    <w:charset w:val="00"/>
    <w:family w:val="roman"/>
    <w:pitch w:val="variable"/>
    <w:sig w:usb0="E0000287" w:usb1="4000001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178"/>
    <w:rsid w:val="00020195"/>
    <w:rsid w:val="00020C51"/>
    <w:rsid w:val="0003302E"/>
    <w:rsid w:val="000331EC"/>
    <w:rsid w:val="00045776"/>
    <w:rsid w:val="00051783"/>
    <w:rsid w:val="00076DB5"/>
    <w:rsid w:val="00080BBB"/>
    <w:rsid w:val="00081FE2"/>
    <w:rsid w:val="00095DBB"/>
    <w:rsid w:val="000A095A"/>
    <w:rsid w:val="000A5F27"/>
    <w:rsid w:val="000A6B3D"/>
    <w:rsid w:val="000C1802"/>
    <w:rsid w:val="000E2C55"/>
    <w:rsid w:val="000F1F4A"/>
    <w:rsid w:val="000F3BF2"/>
    <w:rsid w:val="001067FF"/>
    <w:rsid w:val="001161F1"/>
    <w:rsid w:val="001320B7"/>
    <w:rsid w:val="00136BF4"/>
    <w:rsid w:val="0013778E"/>
    <w:rsid w:val="00151C50"/>
    <w:rsid w:val="00156D92"/>
    <w:rsid w:val="001570DA"/>
    <w:rsid w:val="00167D23"/>
    <w:rsid w:val="001762F3"/>
    <w:rsid w:val="001779E9"/>
    <w:rsid w:val="00184F54"/>
    <w:rsid w:val="001C57AE"/>
    <w:rsid w:val="001C5EC0"/>
    <w:rsid w:val="001D1F22"/>
    <w:rsid w:val="001D22B1"/>
    <w:rsid w:val="001D6C7F"/>
    <w:rsid w:val="001F3FF7"/>
    <w:rsid w:val="002043D0"/>
    <w:rsid w:val="002228E3"/>
    <w:rsid w:val="00224615"/>
    <w:rsid w:val="00243771"/>
    <w:rsid w:val="002515E5"/>
    <w:rsid w:val="00261A9B"/>
    <w:rsid w:val="002772CC"/>
    <w:rsid w:val="00277E6A"/>
    <w:rsid w:val="002822DE"/>
    <w:rsid w:val="00284D2A"/>
    <w:rsid w:val="00287F76"/>
    <w:rsid w:val="002A18EC"/>
    <w:rsid w:val="002A5634"/>
    <w:rsid w:val="002A59AE"/>
    <w:rsid w:val="002B7FA5"/>
    <w:rsid w:val="002D326E"/>
    <w:rsid w:val="002F70C9"/>
    <w:rsid w:val="00320970"/>
    <w:rsid w:val="00331ACF"/>
    <w:rsid w:val="003355D4"/>
    <w:rsid w:val="00340774"/>
    <w:rsid w:val="00342B79"/>
    <w:rsid w:val="00346203"/>
    <w:rsid w:val="003526B9"/>
    <w:rsid w:val="0035310E"/>
    <w:rsid w:val="00355650"/>
    <w:rsid w:val="00355966"/>
    <w:rsid w:val="0035798F"/>
    <w:rsid w:val="00370D66"/>
    <w:rsid w:val="00373E30"/>
    <w:rsid w:val="00374B2B"/>
    <w:rsid w:val="00383222"/>
    <w:rsid w:val="0038630A"/>
    <w:rsid w:val="003A1C43"/>
    <w:rsid w:val="003A4609"/>
    <w:rsid w:val="003B03A5"/>
    <w:rsid w:val="003C02A4"/>
    <w:rsid w:val="003D176A"/>
    <w:rsid w:val="003D4655"/>
    <w:rsid w:val="003E00C0"/>
    <w:rsid w:val="003E623A"/>
    <w:rsid w:val="003E70B7"/>
    <w:rsid w:val="003F6F97"/>
    <w:rsid w:val="00407C27"/>
    <w:rsid w:val="00415BA2"/>
    <w:rsid w:val="004168EF"/>
    <w:rsid w:val="00450A1B"/>
    <w:rsid w:val="00451945"/>
    <w:rsid w:val="0045619B"/>
    <w:rsid w:val="004736E8"/>
    <w:rsid w:val="004751E3"/>
    <w:rsid w:val="004774CB"/>
    <w:rsid w:val="00481019"/>
    <w:rsid w:val="004A03FB"/>
    <w:rsid w:val="004A5F15"/>
    <w:rsid w:val="004B679B"/>
    <w:rsid w:val="004D1927"/>
    <w:rsid w:val="004E49B3"/>
    <w:rsid w:val="0051128C"/>
    <w:rsid w:val="00511ACF"/>
    <w:rsid w:val="00521107"/>
    <w:rsid w:val="00523AE7"/>
    <w:rsid w:val="0053466B"/>
    <w:rsid w:val="00534ECC"/>
    <w:rsid w:val="00540D89"/>
    <w:rsid w:val="00544C1B"/>
    <w:rsid w:val="00546090"/>
    <w:rsid w:val="00556F1C"/>
    <w:rsid w:val="00556FAE"/>
    <w:rsid w:val="005610C1"/>
    <w:rsid w:val="005636F1"/>
    <w:rsid w:val="00577D15"/>
    <w:rsid w:val="00585AB5"/>
    <w:rsid w:val="005871AA"/>
    <w:rsid w:val="0059759D"/>
    <w:rsid w:val="005A193C"/>
    <w:rsid w:val="005A7B5A"/>
    <w:rsid w:val="005B65D6"/>
    <w:rsid w:val="005C4D8E"/>
    <w:rsid w:val="005C642A"/>
    <w:rsid w:val="005D76F1"/>
    <w:rsid w:val="005E0238"/>
    <w:rsid w:val="0060246B"/>
    <w:rsid w:val="00610482"/>
    <w:rsid w:val="0064162A"/>
    <w:rsid w:val="0064786D"/>
    <w:rsid w:val="00662010"/>
    <w:rsid w:val="006751D0"/>
    <w:rsid w:val="00681404"/>
    <w:rsid w:val="00683875"/>
    <w:rsid w:val="00683C66"/>
    <w:rsid w:val="00687185"/>
    <w:rsid w:val="006955F9"/>
    <w:rsid w:val="00696856"/>
    <w:rsid w:val="00697476"/>
    <w:rsid w:val="006A7AC7"/>
    <w:rsid w:val="006B519A"/>
    <w:rsid w:val="006B79C3"/>
    <w:rsid w:val="006D1D42"/>
    <w:rsid w:val="006D6A8D"/>
    <w:rsid w:val="006E1F27"/>
    <w:rsid w:val="006E3B0B"/>
    <w:rsid w:val="006E5E3B"/>
    <w:rsid w:val="00701FF0"/>
    <w:rsid w:val="00706C0A"/>
    <w:rsid w:val="00713F96"/>
    <w:rsid w:val="00715467"/>
    <w:rsid w:val="007179AC"/>
    <w:rsid w:val="00720C6D"/>
    <w:rsid w:val="00722A9C"/>
    <w:rsid w:val="00726D93"/>
    <w:rsid w:val="00736017"/>
    <w:rsid w:val="007367A9"/>
    <w:rsid w:val="0074022D"/>
    <w:rsid w:val="007548D0"/>
    <w:rsid w:val="007551A1"/>
    <w:rsid w:val="0077780A"/>
    <w:rsid w:val="007778A2"/>
    <w:rsid w:val="007B1E8F"/>
    <w:rsid w:val="007B442E"/>
    <w:rsid w:val="007B6ABC"/>
    <w:rsid w:val="007C1304"/>
    <w:rsid w:val="007C36B5"/>
    <w:rsid w:val="007D5CA9"/>
    <w:rsid w:val="007E4178"/>
    <w:rsid w:val="007E4AED"/>
    <w:rsid w:val="007E5DCB"/>
    <w:rsid w:val="00800039"/>
    <w:rsid w:val="00803A5B"/>
    <w:rsid w:val="0081458F"/>
    <w:rsid w:val="00816EAF"/>
    <w:rsid w:val="0082701E"/>
    <w:rsid w:val="008340D7"/>
    <w:rsid w:val="00841C9C"/>
    <w:rsid w:val="00865909"/>
    <w:rsid w:val="00875022"/>
    <w:rsid w:val="0087654E"/>
    <w:rsid w:val="008A1B34"/>
    <w:rsid w:val="008A59CE"/>
    <w:rsid w:val="008B361A"/>
    <w:rsid w:val="00916155"/>
    <w:rsid w:val="00920039"/>
    <w:rsid w:val="00924BAE"/>
    <w:rsid w:val="0093428E"/>
    <w:rsid w:val="009424D2"/>
    <w:rsid w:val="00953772"/>
    <w:rsid w:val="0095708C"/>
    <w:rsid w:val="00975481"/>
    <w:rsid w:val="00993CEB"/>
    <w:rsid w:val="009B7432"/>
    <w:rsid w:val="009C54AD"/>
    <w:rsid w:val="009D00F2"/>
    <w:rsid w:val="009D3A31"/>
    <w:rsid w:val="009E1996"/>
    <w:rsid w:val="009E682C"/>
    <w:rsid w:val="009F243B"/>
    <w:rsid w:val="00A013B7"/>
    <w:rsid w:val="00A06F62"/>
    <w:rsid w:val="00A3497B"/>
    <w:rsid w:val="00A43B79"/>
    <w:rsid w:val="00A46E46"/>
    <w:rsid w:val="00A56465"/>
    <w:rsid w:val="00A64BBE"/>
    <w:rsid w:val="00A90013"/>
    <w:rsid w:val="00A92420"/>
    <w:rsid w:val="00A9509D"/>
    <w:rsid w:val="00AA4BBB"/>
    <w:rsid w:val="00AA619B"/>
    <w:rsid w:val="00AB245D"/>
    <w:rsid w:val="00AC0629"/>
    <w:rsid w:val="00AD22CB"/>
    <w:rsid w:val="00AE28CD"/>
    <w:rsid w:val="00AF75D3"/>
    <w:rsid w:val="00B024BC"/>
    <w:rsid w:val="00B106F5"/>
    <w:rsid w:val="00B15E08"/>
    <w:rsid w:val="00B17753"/>
    <w:rsid w:val="00B17D51"/>
    <w:rsid w:val="00B24697"/>
    <w:rsid w:val="00B26FC1"/>
    <w:rsid w:val="00B338F1"/>
    <w:rsid w:val="00B35DD6"/>
    <w:rsid w:val="00B452C9"/>
    <w:rsid w:val="00B45D75"/>
    <w:rsid w:val="00B46EDD"/>
    <w:rsid w:val="00B52AF7"/>
    <w:rsid w:val="00B55BEE"/>
    <w:rsid w:val="00B833C1"/>
    <w:rsid w:val="00B8527A"/>
    <w:rsid w:val="00B908D7"/>
    <w:rsid w:val="00B94109"/>
    <w:rsid w:val="00BB4FC5"/>
    <w:rsid w:val="00BB6E07"/>
    <w:rsid w:val="00BE495C"/>
    <w:rsid w:val="00BF2354"/>
    <w:rsid w:val="00BF49F0"/>
    <w:rsid w:val="00C065BA"/>
    <w:rsid w:val="00C10000"/>
    <w:rsid w:val="00C103C1"/>
    <w:rsid w:val="00C3457D"/>
    <w:rsid w:val="00C435F3"/>
    <w:rsid w:val="00C45744"/>
    <w:rsid w:val="00C50D8F"/>
    <w:rsid w:val="00C551E9"/>
    <w:rsid w:val="00C659D5"/>
    <w:rsid w:val="00C708D3"/>
    <w:rsid w:val="00C71D2B"/>
    <w:rsid w:val="00C80CD3"/>
    <w:rsid w:val="00CA3014"/>
    <w:rsid w:val="00CC76D9"/>
    <w:rsid w:val="00CD037E"/>
    <w:rsid w:val="00CD0E5D"/>
    <w:rsid w:val="00CD1D22"/>
    <w:rsid w:val="00CE2173"/>
    <w:rsid w:val="00CF2C1E"/>
    <w:rsid w:val="00CF44F1"/>
    <w:rsid w:val="00CF5C11"/>
    <w:rsid w:val="00D13070"/>
    <w:rsid w:val="00D20965"/>
    <w:rsid w:val="00D31B85"/>
    <w:rsid w:val="00D410E2"/>
    <w:rsid w:val="00D45378"/>
    <w:rsid w:val="00D5254E"/>
    <w:rsid w:val="00D533BC"/>
    <w:rsid w:val="00D55EE2"/>
    <w:rsid w:val="00D604A7"/>
    <w:rsid w:val="00D65C5A"/>
    <w:rsid w:val="00D71F38"/>
    <w:rsid w:val="00D84F8E"/>
    <w:rsid w:val="00DB0A01"/>
    <w:rsid w:val="00DB2680"/>
    <w:rsid w:val="00DB5D33"/>
    <w:rsid w:val="00DC0196"/>
    <w:rsid w:val="00DD21A4"/>
    <w:rsid w:val="00DD2E57"/>
    <w:rsid w:val="00DD3574"/>
    <w:rsid w:val="00DD4BC2"/>
    <w:rsid w:val="00DE17A8"/>
    <w:rsid w:val="00DE2538"/>
    <w:rsid w:val="00E01242"/>
    <w:rsid w:val="00E21A28"/>
    <w:rsid w:val="00E23836"/>
    <w:rsid w:val="00E250AB"/>
    <w:rsid w:val="00E26C9A"/>
    <w:rsid w:val="00E31D56"/>
    <w:rsid w:val="00E446E8"/>
    <w:rsid w:val="00E62055"/>
    <w:rsid w:val="00E7438F"/>
    <w:rsid w:val="00E76F8F"/>
    <w:rsid w:val="00E82642"/>
    <w:rsid w:val="00E8588F"/>
    <w:rsid w:val="00E900EB"/>
    <w:rsid w:val="00EB08CA"/>
    <w:rsid w:val="00EB4A95"/>
    <w:rsid w:val="00EB7D32"/>
    <w:rsid w:val="00ED4807"/>
    <w:rsid w:val="00ED58AB"/>
    <w:rsid w:val="00EE0A78"/>
    <w:rsid w:val="00F05F43"/>
    <w:rsid w:val="00F06126"/>
    <w:rsid w:val="00F0793C"/>
    <w:rsid w:val="00F21207"/>
    <w:rsid w:val="00F30519"/>
    <w:rsid w:val="00F50D8A"/>
    <w:rsid w:val="00F6221B"/>
    <w:rsid w:val="00F62DA9"/>
    <w:rsid w:val="00F634A8"/>
    <w:rsid w:val="00F679B4"/>
    <w:rsid w:val="00F70915"/>
    <w:rsid w:val="00F730B1"/>
    <w:rsid w:val="00F97FDB"/>
    <w:rsid w:val="00FA6C17"/>
    <w:rsid w:val="00FB3C31"/>
    <w:rsid w:val="00FB4B43"/>
    <w:rsid w:val="00FB5128"/>
    <w:rsid w:val="00FC09DB"/>
    <w:rsid w:val="00FC1E4B"/>
    <w:rsid w:val="00FC34F7"/>
    <w:rsid w:val="00FC357E"/>
    <w:rsid w:val="00FC3E87"/>
    <w:rsid w:val="00FD0E89"/>
    <w:rsid w:val="00FD3CAB"/>
    <w:rsid w:val="00FD464C"/>
    <w:rsid w:val="00FD706B"/>
    <w:rsid w:val="00FF3344"/>
    <w:rsid w:val="00FF63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FCC9F3A"/>
  <w15:chartTrackingRefBased/>
  <w15:docId w15:val="{E2619201-E4EC-3946-85A3-8A51E01D0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E4178"/>
    <w:rPr>
      <w:rFonts w:ascii="宋体" w:eastAsia="宋体" w:hAnsi="宋体" w:cs="宋体"/>
      <w:kern w:val="0"/>
      <w:sz w:val="24"/>
    </w:rPr>
  </w:style>
  <w:style w:type="paragraph" w:styleId="1">
    <w:name w:val="heading 1"/>
    <w:basedOn w:val="a"/>
    <w:next w:val="a"/>
    <w:link w:val="10"/>
    <w:uiPriority w:val="9"/>
    <w:qFormat/>
    <w:rsid w:val="007E4178"/>
    <w:pPr>
      <w:keepNext/>
      <w:keepLines/>
      <w:widowControl w:val="0"/>
      <w:spacing w:before="480" w:after="80"/>
      <w:jc w:val="both"/>
      <w:outlineLvl w:val="0"/>
    </w:pPr>
    <w:rPr>
      <w:rFonts w:asciiTheme="majorHAnsi" w:eastAsiaTheme="majorEastAsia" w:hAnsiTheme="majorHAnsi" w:cstheme="majorBidi"/>
      <w:color w:val="0F4761" w:themeColor="accent1" w:themeShade="BF"/>
      <w:kern w:val="2"/>
      <w:sz w:val="48"/>
      <w:szCs w:val="48"/>
    </w:rPr>
  </w:style>
  <w:style w:type="paragraph" w:styleId="2">
    <w:name w:val="heading 2"/>
    <w:basedOn w:val="a"/>
    <w:next w:val="a"/>
    <w:link w:val="20"/>
    <w:uiPriority w:val="9"/>
    <w:semiHidden/>
    <w:unhideWhenUsed/>
    <w:qFormat/>
    <w:rsid w:val="007E4178"/>
    <w:pPr>
      <w:keepNext/>
      <w:keepLines/>
      <w:widowControl w:val="0"/>
      <w:spacing w:before="160" w:after="80"/>
      <w:jc w:val="both"/>
      <w:outlineLvl w:val="1"/>
    </w:pPr>
    <w:rPr>
      <w:rFonts w:asciiTheme="majorHAnsi" w:eastAsiaTheme="majorEastAsia" w:hAnsiTheme="majorHAnsi" w:cstheme="majorBidi"/>
      <w:color w:val="0F4761" w:themeColor="accent1" w:themeShade="BF"/>
      <w:kern w:val="2"/>
      <w:sz w:val="40"/>
      <w:szCs w:val="40"/>
    </w:rPr>
  </w:style>
  <w:style w:type="paragraph" w:styleId="3">
    <w:name w:val="heading 3"/>
    <w:basedOn w:val="a"/>
    <w:next w:val="a"/>
    <w:link w:val="30"/>
    <w:uiPriority w:val="9"/>
    <w:semiHidden/>
    <w:unhideWhenUsed/>
    <w:qFormat/>
    <w:rsid w:val="007E4178"/>
    <w:pPr>
      <w:keepNext/>
      <w:keepLines/>
      <w:widowControl w:val="0"/>
      <w:spacing w:before="160" w:after="80"/>
      <w:jc w:val="both"/>
      <w:outlineLvl w:val="2"/>
    </w:pPr>
    <w:rPr>
      <w:rFonts w:asciiTheme="majorHAnsi" w:eastAsiaTheme="majorEastAsia" w:hAnsiTheme="majorHAnsi" w:cstheme="majorBidi"/>
      <w:color w:val="0F4761" w:themeColor="accent1" w:themeShade="BF"/>
      <w:kern w:val="2"/>
      <w:sz w:val="32"/>
      <w:szCs w:val="32"/>
    </w:rPr>
  </w:style>
  <w:style w:type="paragraph" w:styleId="4">
    <w:name w:val="heading 4"/>
    <w:basedOn w:val="a"/>
    <w:next w:val="a"/>
    <w:link w:val="40"/>
    <w:uiPriority w:val="9"/>
    <w:semiHidden/>
    <w:unhideWhenUsed/>
    <w:qFormat/>
    <w:rsid w:val="007E4178"/>
    <w:pPr>
      <w:keepNext/>
      <w:keepLines/>
      <w:widowControl w:val="0"/>
      <w:spacing w:before="80" w:after="40"/>
      <w:jc w:val="both"/>
      <w:outlineLvl w:val="3"/>
    </w:pPr>
    <w:rPr>
      <w:rFonts w:asciiTheme="minorHAnsi" w:eastAsiaTheme="minorEastAsia" w:hAnsiTheme="minorHAnsi" w:cstheme="majorBidi"/>
      <w:color w:val="0F4761" w:themeColor="accent1" w:themeShade="BF"/>
      <w:kern w:val="2"/>
      <w:sz w:val="28"/>
      <w:szCs w:val="28"/>
    </w:rPr>
  </w:style>
  <w:style w:type="paragraph" w:styleId="5">
    <w:name w:val="heading 5"/>
    <w:basedOn w:val="a"/>
    <w:next w:val="a"/>
    <w:link w:val="50"/>
    <w:uiPriority w:val="9"/>
    <w:semiHidden/>
    <w:unhideWhenUsed/>
    <w:qFormat/>
    <w:rsid w:val="007E4178"/>
    <w:pPr>
      <w:keepNext/>
      <w:keepLines/>
      <w:widowControl w:val="0"/>
      <w:spacing w:before="80" w:after="40"/>
      <w:jc w:val="both"/>
      <w:outlineLvl w:val="4"/>
    </w:pPr>
    <w:rPr>
      <w:rFonts w:asciiTheme="minorHAnsi" w:eastAsiaTheme="minorEastAsia" w:hAnsiTheme="minorHAnsi" w:cstheme="majorBidi"/>
      <w:color w:val="0F4761" w:themeColor="accent1" w:themeShade="BF"/>
      <w:kern w:val="2"/>
    </w:rPr>
  </w:style>
  <w:style w:type="paragraph" w:styleId="6">
    <w:name w:val="heading 6"/>
    <w:basedOn w:val="a"/>
    <w:next w:val="a"/>
    <w:link w:val="60"/>
    <w:uiPriority w:val="9"/>
    <w:semiHidden/>
    <w:unhideWhenUsed/>
    <w:qFormat/>
    <w:rsid w:val="007E4178"/>
    <w:pPr>
      <w:keepNext/>
      <w:keepLines/>
      <w:widowControl w:val="0"/>
      <w:spacing w:before="40"/>
      <w:jc w:val="both"/>
      <w:outlineLvl w:val="5"/>
    </w:pPr>
    <w:rPr>
      <w:rFonts w:asciiTheme="minorHAnsi" w:eastAsiaTheme="minorEastAsia" w:hAnsiTheme="minorHAnsi" w:cstheme="majorBidi"/>
      <w:b/>
      <w:bCs/>
      <w:color w:val="0F4761" w:themeColor="accent1" w:themeShade="BF"/>
      <w:kern w:val="2"/>
      <w:sz w:val="21"/>
    </w:rPr>
  </w:style>
  <w:style w:type="paragraph" w:styleId="7">
    <w:name w:val="heading 7"/>
    <w:basedOn w:val="a"/>
    <w:next w:val="a"/>
    <w:link w:val="70"/>
    <w:uiPriority w:val="9"/>
    <w:semiHidden/>
    <w:unhideWhenUsed/>
    <w:qFormat/>
    <w:rsid w:val="007E4178"/>
    <w:pPr>
      <w:keepNext/>
      <w:keepLines/>
      <w:widowControl w:val="0"/>
      <w:spacing w:before="40"/>
      <w:jc w:val="both"/>
      <w:outlineLvl w:val="6"/>
    </w:pPr>
    <w:rPr>
      <w:rFonts w:asciiTheme="minorHAnsi" w:eastAsiaTheme="minorEastAsia" w:hAnsiTheme="minorHAnsi" w:cstheme="majorBidi"/>
      <w:b/>
      <w:bCs/>
      <w:color w:val="595959" w:themeColor="text1" w:themeTint="A6"/>
      <w:kern w:val="2"/>
      <w:sz w:val="21"/>
    </w:rPr>
  </w:style>
  <w:style w:type="paragraph" w:styleId="8">
    <w:name w:val="heading 8"/>
    <w:basedOn w:val="a"/>
    <w:next w:val="a"/>
    <w:link w:val="80"/>
    <w:uiPriority w:val="9"/>
    <w:semiHidden/>
    <w:unhideWhenUsed/>
    <w:qFormat/>
    <w:rsid w:val="007E4178"/>
    <w:pPr>
      <w:keepNext/>
      <w:keepLines/>
      <w:widowControl w:val="0"/>
      <w:jc w:val="both"/>
      <w:outlineLvl w:val="7"/>
    </w:pPr>
    <w:rPr>
      <w:rFonts w:asciiTheme="minorHAnsi" w:eastAsiaTheme="minorEastAsia" w:hAnsiTheme="minorHAnsi" w:cstheme="majorBidi"/>
      <w:color w:val="595959" w:themeColor="text1" w:themeTint="A6"/>
      <w:kern w:val="2"/>
      <w:sz w:val="21"/>
    </w:rPr>
  </w:style>
  <w:style w:type="paragraph" w:styleId="9">
    <w:name w:val="heading 9"/>
    <w:basedOn w:val="a"/>
    <w:next w:val="a"/>
    <w:link w:val="90"/>
    <w:uiPriority w:val="9"/>
    <w:semiHidden/>
    <w:unhideWhenUsed/>
    <w:qFormat/>
    <w:rsid w:val="007E4178"/>
    <w:pPr>
      <w:keepNext/>
      <w:keepLines/>
      <w:widowControl w:val="0"/>
      <w:jc w:val="both"/>
      <w:outlineLvl w:val="8"/>
    </w:pPr>
    <w:rPr>
      <w:rFonts w:asciiTheme="minorHAnsi" w:eastAsiaTheme="majorEastAsia" w:hAnsiTheme="minorHAnsi" w:cstheme="majorBidi"/>
      <w:color w:val="595959" w:themeColor="text1" w:themeTint="A6"/>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E4178"/>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7E4178"/>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7E4178"/>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7E4178"/>
    <w:rPr>
      <w:rFonts w:cstheme="majorBidi"/>
      <w:color w:val="0F4761" w:themeColor="accent1" w:themeShade="BF"/>
      <w:sz w:val="28"/>
      <w:szCs w:val="28"/>
    </w:rPr>
  </w:style>
  <w:style w:type="character" w:customStyle="1" w:styleId="50">
    <w:name w:val="标题 5 字符"/>
    <w:basedOn w:val="a0"/>
    <w:link w:val="5"/>
    <w:uiPriority w:val="9"/>
    <w:semiHidden/>
    <w:rsid w:val="007E4178"/>
    <w:rPr>
      <w:rFonts w:cstheme="majorBidi"/>
      <w:color w:val="0F4761" w:themeColor="accent1" w:themeShade="BF"/>
      <w:sz w:val="24"/>
    </w:rPr>
  </w:style>
  <w:style w:type="character" w:customStyle="1" w:styleId="60">
    <w:name w:val="标题 6 字符"/>
    <w:basedOn w:val="a0"/>
    <w:link w:val="6"/>
    <w:uiPriority w:val="9"/>
    <w:semiHidden/>
    <w:rsid w:val="007E4178"/>
    <w:rPr>
      <w:rFonts w:cstheme="majorBidi"/>
      <w:b/>
      <w:bCs/>
      <w:color w:val="0F4761" w:themeColor="accent1" w:themeShade="BF"/>
    </w:rPr>
  </w:style>
  <w:style w:type="character" w:customStyle="1" w:styleId="70">
    <w:name w:val="标题 7 字符"/>
    <w:basedOn w:val="a0"/>
    <w:link w:val="7"/>
    <w:uiPriority w:val="9"/>
    <w:semiHidden/>
    <w:rsid w:val="007E4178"/>
    <w:rPr>
      <w:rFonts w:cstheme="majorBidi"/>
      <w:b/>
      <w:bCs/>
      <w:color w:val="595959" w:themeColor="text1" w:themeTint="A6"/>
    </w:rPr>
  </w:style>
  <w:style w:type="character" w:customStyle="1" w:styleId="80">
    <w:name w:val="标题 8 字符"/>
    <w:basedOn w:val="a0"/>
    <w:link w:val="8"/>
    <w:uiPriority w:val="9"/>
    <w:semiHidden/>
    <w:rsid w:val="007E4178"/>
    <w:rPr>
      <w:rFonts w:cstheme="majorBidi"/>
      <w:color w:val="595959" w:themeColor="text1" w:themeTint="A6"/>
    </w:rPr>
  </w:style>
  <w:style w:type="character" w:customStyle="1" w:styleId="90">
    <w:name w:val="标题 9 字符"/>
    <w:basedOn w:val="a0"/>
    <w:link w:val="9"/>
    <w:uiPriority w:val="9"/>
    <w:semiHidden/>
    <w:rsid w:val="007E4178"/>
    <w:rPr>
      <w:rFonts w:eastAsiaTheme="majorEastAsia" w:cstheme="majorBidi"/>
      <w:color w:val="595959" w:themeColor="text1" w:themeTint="A6"/>
    </w:rPr>
  </w:style>
  <w:style w:type="paragraph" w:styleId="a3">
    <w:name w:val="Title"/>
    <w:basedOn w:val="a"/>
    <w:next w:val="a"/>
    <w:link w:val="a4"/>
    <w:uiPriority w:val="10"/>
    <w:qFormat/>
    <w:rsid w:val="007E4178"/>
    <w:pPr>
      <w:widowControl w:val="0"/>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7E417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E4178"/>
    <w:pPr>
      <w:widowControl w:val="0"/>
      <w:numPr>
        <w:ilvl w:val="1"/>
      </w:numPr>
      <w:spacing w:after="160"/>
      <w:jc w:val="center"/>
    </w:pPr>
    <w:rPr>
      <w:rFonts w:asciiTheme="majorHAnsi" w:eastAsiaTheme="majorEastAsia" w:hAnsiTheme="majorHAnsi" w:cstheme="majorBidi"/>
      <w:color w:val="595959" w:themeColor="text1" w:themeTint="A6"/>
      <w:spacing w:val="15"/>
      <w:kern w:val="2"/>
      <w:sz w:val="28"/>
      <w:szCs w:val="28"/>
    </w:rPr>
  </w:style>
  <w:style w:type="character" w:customStyle="1" w:styleId="a6">
    <w:name w:val="副标题 字符"/>
    <w:basedOn w:val="a0"/>
    <w:link w:val="a5"/>
    <w:uiPriority w:val="11"/>
    <w:rsid w:val="007E417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E4178"/>
    <w:pPr>
      <w:widowControl w:val="0"/>
      <w:spacing w:before="160" w:after="160"/>
      <w:jc w:val="center"/>
    </w:pPr>
    <w:rPr>
      <w:rFonts w:asciiTheme="minorHAnsi" w:eastAsiaTheme="minorEastAsia" w:hAnsiTheme="minorHAnsi" w:cstheme="minorBidi"/>
      <w:i/>
      <w:iCs/>
      <w:color w:val="404040" w:themeColor="text1" w:themeTint="BF"/>
      <w:kern w:val="2"/>
      <w:sz w:val="21"/>
    </w:rPr>
  </w:style>
  <w:style w:type="character" w:customStyle="1" w:styleId="a8">
    <w:name w:val="引用 字符"/>
    <w:basedOn w:val="a0"/>
    <w:link w:val="a7"/>
    <w:uiPriority w:val="29"/>
    <w:rsid w:val="007E4178"/>
    <w:rPr>
      <w:i/>
      <w:iCs/>
      <w:color w:val="404040" w:themeColor="text1" w:themeTint="BF"/>
    </w:rPr>
  </w:style>
  <w:style w:type="paragraph" w:styleId="a9">
    <w:name w:val="List Paragraph"/>
    <w:basedOn w:val="a"/>
    <w:uiPriority w:val="34"/>
    <w:qFormat/>
    <w:rsid w:val="007E4178"/>
    <w:pPr>
      <w:widowControl w:val="0"/>
      <w:ind w:left="720"/>
      <w:contextualSpacing/>
      <w:jc w:val="both"/>
    </w:pPr>
    <w:rPr>
      <w:rFonts w:asciiTheme="minorHAnsi" w:eastAsiaTheme="minorEastAsia" w:hAnsiTheme="minorHAnsi" w:cstheme="minorBidi"/>
      <w:kern w:val="2"/>
      <w:sz w:val="21"/>
    </w:rPr>
  </w:style>
  <w:style w:type="character" w:styleId="aa">
    <w:name w:val="Intense Emphasis"/>
    <w:basedOn w:val="a0"/>
    <w:uiPriority w:val="21"/>
    <w:qFormat/>
    <w:rsid w:val="007E4178"/>
    <w:rPr>
      <w:i/>
      <w:iCs/>
      <w:color w:val="0F4761" w:themeColor="accent1" w:themeShade="BF"/>
    </w:rPr>
  </w:style>
  <w:style w:type="paragraph" w:styleId="ab">
    <w:name w:val="Intense Quote"/>
    <w:basedOn w:val="a"/>
    <w:next w:val="a"/>
    <w:link w:val="ac"/>
    <w:uiPriority w:val="30"/>
    <w:qFormat/>
    <w:rsid w:val="007E4178"/>
    <w:pPr>
      <w:widowControl w:val="0"/>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EastAsia" w:hAnsiTheme="minorHAnsi" w:cstheme="minorBidi"/>
      <w:i/>
      <w:iCs/>
      <w:color w:val="0F4761" w:themeColor="accent1" w:themeShade="BF"/>
      <w:kern w:val="2"/>
      <w:sz w:val="21"/>
    </w:rPr>
  </w:style>
  <w:style w:type="character" w:customStyle="1" w:styleId="ac">
    <w:name w:val="明显引用 字符"/>
    <w:basedOn w:val="a0"/>
    <w:link w:val="ab"/>
    <w:uiPriority w:val="30"/>
    <w:rsid w:val="007E4178"/>
    <w:rPr>
      <w:i/>
      <w:iCs/>
      <w:color w:val="0F4761" w:themeColor="accent1" w:themeShade="BF"/>
    </w:rPr>
  </w:style>
  <w:style w:type="character" w:styleId="ad">
    <w:name w:val="Intense Reference"/>
    <w:basedOn w:val="a0"/>
    <w:uiPriority w:val="32"/>
    <w:qFormat/>
    <w:rsid w:val="007E4178"/>
    <w:rPr>
      <w:b/>
      <w:bCs/>
      <w:smallCaps/>
      <w:color w:val="0F4761" w:themeColor="accent1" w:themeShade="BF"/>
      <w:spacing w:val="5"/>
    </w:rPr>
  </w:style>
  <w:style w:type="paragraph" w:customStyle="1" w:styleId="MDPI13authornames">
    <w:name w:val="MDPI_1.3_authornames"/>
    <w:basedOn w:val="a"/>
    <w:next w:val="MDPI14history"/>
    <w:qFormat/>
    <w:rsid w:val="00800039"/>
    <w:pPr>
      <w:widowControl w:val="0"/>
      <w:adjustRightInd w:val="0"/>
      <w:snapToGrid w:val="0"/>
      <w:spacing w:after="120" w:line="260" w:lineRule="atLeast"/>
      <w:jc w:val="both"/>
    </w:pPr>
    <w:rPr>
      <w:rFonts w:ascii="Palatino Linotype" w:eastAsia="Times New Roman" w:hAnsi="Palatino Linotype" w:cs="Times New Roman"/>
      <w:b/>
      <w:color w:val="000000"/>
      <w:kern w:val="2"/>
      <w:sz w:val="20"/>
      <w:szCs w:val="22"/>
      <w:lang w:eastAsia="de-DE" w:bidi="en-US"/>
    </w:rPr>
  </w:style>
  <w:style w:type="paragraph" w:customStyle="1" w:styleId="MDPI14history">
    <w:name w:val="MDPI_1.4_history"/>
    <w:basedOn w:val="a"/>
    <w:next w:val="a"/>
    <w:qFormat/>
    <w:rsid w:val="00800039"/>
    <w:pPr>
      <w:widowControl w:val="0"/>
      <w:adjustRightInd w:val="0"/>
      <w:snapToGrid w:val="0"/>
      <w:spacing w:before="120" w:line="200" w:lineRule="atLeast"/>
      <w:ind w:left="113"/>
      <w:jc w:val="both"/>
    </w:pPr>
    <w:rPr>
      <w:rFonts w:ascii="Palatino Linotype" w:eastAsia="Times New Roman" w:hAnsi="Palatino Linotype" w:cs="Times New Roman"/>
      <w:color w:val="000000"/>
      <w:kern w:val="2"/>
      <w:sz w:val="18"/>
      <w:szCs w:val="20"/>
      <w:lang w:eastAsia="de-DE" w:bidi="en-US"/>
    </w:rPr>
  </w:style>
  <w:style w:type="paragraph" w:styleId="ae">
    <w:name w:val="Normal (Web)"/>
    <w:basedOn w:val="a"/>
    <w:link w:val="af"/>
    <w:uiPriority w:val="99"/>
    <w:unhideWhenUsed/>
    <w:rsid w:val="001C5EC0"/>
    <w:pPr>
      <w:spacing w:before="100" w:beforeAutospacing="1" w:after="100" w:afterAutospacing="1"/>
    </w:pPr>
    <w:rPr>
      <w:lang w:val="en-GB"/>
    </w:rPr>
  </w:style>
  <w:style w:type="character" w:customStyle="1" w:styleId="af">
    <w:name w:val="普通(网站) 字符"/>
    <w:basedOn w:val="a0"/>
    <w:link w:val="ae"/>
    <w:uiPriority w:val="99"/>
    <w:rsid w:val="001C5EC0"/>
    <w:rPr>
      <w:rFonts w:ascii="宋体" w:eastAsia="宋体" w:hAnsi="宋体" w:cs="宋体"/>
      <w:kern w:val="0"/>
      <w:sz w:val="24"/>
      <w:lang w:val="en-GB"/>
    </w:rPr>
  </w:style>
  <w:style w:type="table" w:styleId="af0">
    <w:name w:val="Table Grid"/>
    <w:basedOn w:val="a1"/>
    <w:uiPriority w:val="39"/>
    <w:rsid w:val="001C5E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5</Pages>
  <Words>305</Words>
  <Characters>1743</Characters>
  <Application>Microsoft Office Word</Application>
  <DocSecurity>0</DocSecurity>
  <Lines>14</Lines>
  <Paragraphs>4</Paragraphs>
  <ScaleCrop>false</ScaleCrop>
  <Company/>
  <LinksUpToDate>false</LinksUpToDate>
  <CharactersWithSpaces>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1240300750@qq.com</dc:creator>
  <cp:keywords/>
  <dc:description/>
  <cp:lastModifiedBy>1240300750@qq.com</cp:lastModifiedBy>
  <cp:revision>18</cp:revision>
  <dcterms:created xsi:type="dcterms:W3CDTF">2024-08-19T05:27:00Z</dcterms:created>
  <dcterms:modified xsi:type="dcterms:W3CDTF">2026-07-01T11:08:00Z</dcterms:modified>
</cp:coreProperties>
</file>