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5B030" w14:textId="77777777" w:rsidR="00466AFE" w:rsidRDefault="00466AFE" w:rsidP="00466AFE">
      <w:pPr>
        <w:rPr>
          <w:b/>
          <w:bCs/>
          <w:lang w:val="en-US"/>
        </w:rPr>
      </w:pPr>
      <w:r w:rsidRPr="00AA3C37">
        <w:rPr>
          <w:b/>
          <w:bCs/>
          <w:lang w:val="en-US"/>
        </w:rPr>
        <w:t>Supplementary</w:t>
      </w:r>
    </w:p>
    <w:p w14:paraId="1124E9F9" w14:textId="77777777" w:rsidR="00466AFE" w:rsidRPr="00325212" w:rsidRDefault="00466AFE" w:rsidP="00466AFE">
      <w:pPr>
        <w:rPr>
          <w:b/>
          <w:lang w:val="en-US"/>
        </w:rPr>
      </w:pPr>
    </w:p>
    <w:p w14:paraId="5030A257" w14:textId="77777777" w:rsidR="00466AFE" w:rsidRPr="0094693A" w:rsidRDefault="00466AFE" w:rsidP="00466AFE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Table S1: </w:t>
      </w:r>
      <w:r w:rsidRPr="00D83DA5">
        <w:rPr>
          <w:lang w:val="en-US"/>
        </w:rPr>
        <w:t>Study populations used for the individual analyses</w:t>
      </w:r>
    </w:p>
    <w:tbl>
      <w:tblPr>
        <w:tblpPr w:leftFromText="141" w:rightFromText="141" w:vertAnchor="text" w:horzAnchor="margin" w:tblpY="85"/>
        <w:tblW w:w="9660" w:type="dxa"/>
        <w:tblLayout w:type="fixed"/>
        <w:tblLook w:val="0420" w:firstRow="1" w:lastRow="0" w:firstColumn="0" w:lastColumn="0" w:noHBand="0" w:noVBand="1"/>
      </w:tblPr>
      <w:tblGrid>
        <w:gridCol w:w="1747"/>
        <w:gridCol w:w="4263"/>
        <w:gridCol w:w="2523"/>
        <w:gridCol w:w="1127"/>
      </w:tblGrid>
      <w:tr w:rsidR="00466AFE" w:rsidRPr="002B18FC" w14:paraId="63094863" w14:textId="77777777" w:rsidTr="0039680C">
        <w:trPr>
          <w:trHeight w:val="289"/>
          <w:tblHeader/>
        </w:trPr>
        <w:tc>
          <w:tcPr>
            <w:tcW w:w="17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B5E0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b/>
                <w:color w:val="000000"/>
                <w:sz w:val="18"/>
                <w:lang w:val="en-US"/>
              </w:rPr>
            </w:pPr>
            <w:r w:rsidRPr="00325212">
              <w:rPr>
                <w:b/>
                <w:color w:val="000000"/>
                <w:sz w:val="18"/>
                <w:lang w:val="en-US"/>
              </w:rPr>
              <w:t>Analysis</w:t>
            </w:r>
          </w:p>
        </w:tc>
        <w:tc>
          <w:tcPr>
            <w:tcW w:w="426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E3D27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b/>
                <w:color w:val="000000"/>
                <w:sz w:val="18"/>
                <w:lang w:val="en-US"/>
              </w:rPr>
            </w:pPr>
            <w:r w:rsidRPr="00325212">
              <w:rPr>
                <w:b/>
                <w:color w:val="000000"/>
                <w:sz w:val="18"/>
                <w:lang w:val="en-US"/>
              </w:rPr>
              <w:t>Study population</w:t>
            </w:r>
          </w:p>
        </w:tc>
        <w:tc>
          <w:tcPr>
            <w:tcW w:w="252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AE80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b/>
                <w:color w:val="000000"/>
                <w:sz w:val="18"/>
                <w:szCs w:val="18"/>
                <w:lang w:val="en-US"/>
              </w:rPr>
            </w:pPr>
            <w:r w:rsidRPr="002B18FC">
              <w:rPr>
                <w:rFonts w:eastAsia="Arial" w:cstheme="minorHAnsi"/>
                <w:b/>
                <w:color w:val="000000"/>
                <w:sz w:val="18"/>
                <w:szCs w:val="18"/>
                <w:lang w:val="en-US"/>
              </w:rPr>
              <w:t>Covariates included in adjusted model</w:t>
            </w:r>
          </w:p>
        </w:tc>
        <w:tc>
          <w:tcPr>
            <w:tcW w:w="112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3A37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b/>
                <w:color w:val="000000"/>
                <w:sz w:val="18"/>
                <w:szCs w:val="18"/>
                <w:lang w:val="en-US"/>
              </w:rPr>
            </w:pPr>
            <w:r w:rsidRPr="002B18FC">
              <w:rPr>
                <w:rFonts w:eastAsia="Arial" w:cstheme="minorHAnsi"/>
                <w:b/>
                <w:color w:val="000000"/>
                <w:sz w:val="18"/>
                <w:szCs w:val="18"/>
                <w:lang w:val="en-US"/>
              </w:rPr>
              <w:t>Final model, n</w:t>
            </w:r>
          </w:p>
        </w:tc>
      </w:tr>
      <w:tr w:rsidR="00466AFE" w:rsidRPr="002B18FC" w14:paraId="082B4CFA" w14:textId="77777777" w:rsidTr="0039680C">
        <w:trPr>
          <w:trHeight w:val="390"/>
        </w:trPr>
        <w:tc>
          <w:tcPr>
            <w:tcW w:w="174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AFA31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Overall IVT utilization</w:t>
            </w:r>
          </w:p>
        </w:tc>
        <w:tc>
          <w:tcPr>
            <w:tcW w:w="426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3025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All patients with acute ischemic stroke. Outcome: intravenous thrombolysis performed in the treating hospital.</w:t>
            </w:r>
          </w:p>
        </w:tc>
        <w:tc>
          <w:tcPr>
            <w:tcW w:w="252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EF80" w14:textId="77777777" w:rsidR="00466AFE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Age, sex, admission NIHSS, diabetes mellitus, previous stroke, hypertension, atrial fibrillation, anticoagulation, interhospital transfer</w:t>
            </w:r>
          </w:p>
          <w:p w14:paraId="0E3D0F91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112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F023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56,432</w:t>
            </w:r>
          </w:p>
        </w:tc>
      </w:tr>
      <w:tr w:rsidR="00466AFE" w:rsidRPr="002B18FC" w14:paraId="7AB0D059" w14:textId="77777777" w:rsidTr="0039680C">
        <w:trPr>
          <w:trHeight w:val="618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4D9A2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IVT within the conventional treatment window (≤4.5 h)</w:t>
            </w:r>
            <w:r w:rsidRPr="00325212">
              <w:rPr>
                <w:b/>
                <w:sz w:val="20"/>
                <w:lang w:val="en-US"/>
              </w:rPr>
              <w:t xml:space="preserve"> </w:t>
            </w:r>
            <w:r w:rsidRPr="0004773A">
              <w:rPr>
                <w:rFonts w:eastAsia="Arial" w:cstheme="minorHAnsi"/>
                <w:b/>
                <w:bCs/>
                <w:color w:val="000000"/>
                <w:sz w:val="17"/>
                <w:szCs w:val="17"/>
              </w:rPr>
              <w:t>ᵃ</w:t>
            </w:r>
          </w:p>
        </w:tc>
        <w:tc>
          <w:tcPr>
            <w:tcW w:w="42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C1EB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Patients with symptom onset-to-admission time ≤4 h, including in-hospital strokes</w:t>
            </w:r>
            <w:r w:rsidRPr="000E4E68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, allowing sufficient time for in-hospital evaluation and treatment within the 4.5h treatment window</w:t>
            </w:r>
            <w:r w:rsidRPr="00325212">
              <w:rPr>
                <w:color w:val="000000"/>
                <w:sz w:val="17"/>
                <w:lang w:val="en-US"/>
              </w:rPr>
              <w:t>. Excluding patients transferred for thrombolysis, patients receiving thrombolysis at a referring hospital, patients with documented pre-stroke anticoagulation, and patients undergoing isolated mechanical thrombectomy</w:t>
            </w:r>
            <w:r w:rsidRPr="000E4E68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 xml:space="preserve"> without IVT.</w:t>
            </w:r>
          </w:p>
          <w:p w14:paraId="07551258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</w:p>
        </w:tc>
        <w:tc>
          <w:tcPr>
            <w:tcW w:w="2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5DC5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Age, sex, admission NIHSS, diabetes mellitus, previous stroke, hypertension, atrial fibrillation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3122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13,603</w:t>
            </w:r>
          </w:p>
        </w:tc>
      </w:tr>
      <w:tr w:rsidR="00466AFE" w:rsidRPr="002B18FC" w14:paraId="465F8EF9" w14:textId="77777777" w:rsidTr="0039680C">
        <w:trPr>
          <w:trHeight w:val="607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5CEDB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 xml:space="preserve">IVT within the extended treatment window </w:t>
            </w: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(</w:t>
            </w:r>
            <w:r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&gt;</w:t>
            </w:r>
            <w:r w:rsidRPr="00325212">
              <w:rPr>
                <w:color w:val="000000"/>
                <w:sz w:val="17"/>
                <w:lang w:val="en-US"/>
              </w:rPr>
              <w:t>4.5–24 h)</w:t>
            </w:r>
            <w:r w:rsidRPr="00325212">
              <w:rPr>
                <w:b/>
                <w:sz w:val="20"/>
                <w:lang w:val="en-US"/>
              </w:rPr>
              <w:t xml:space="preserve"> </w:t>
            </w:r>
            <w:r w:rsidRPr="0004773A">
              <w:rPr>
                <w:rFonts w:eastAsia="Arial" w:cstheme="minorHAnsi"/>
                <w:b/>
                <w:bCs/>
                <w:color w:val="000000"/>
                <w:sz w:val="17"/>
                <w:szCs w:val="17"/>
              </w:rPr>
              <w:t>ᵃ</w:t>
            </w:r>
          </w:p>
        </w:tc>
        <w:tc>
          <w:tcPr>
            <w:tcW w:w="42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D9062" w14:textId="77777777" w:rsidR="00466AFE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 xml:space="preserve">Patients with symptom onset-to-admission time between </w:t>
            </w:r>
            <w:r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&gt;</w:t>
            </w:r>
            <w:r w:rsidRPr="00325212">
              <w:rPr>
                <w:color w:val="000000"/>
                <w:sz w:val="17"/>
                <w:lang w:val="en-US"/>
              </w:rPr>
              <w:t>4 and 24 h. Excluding patients transferred for thrombolysis, patients receiving thrombolysis at a referring hospital, patients with documented pre-stroke anticoagulation, and patients undergoing isolated mechanical thrombectomy without IVT</w:t>
            </w: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.</w:t>
            </w:r>
          </w:p>
          <w:p w14:paraId="25A8DDF0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</w:p>
        </w:tc>
        <w:tc>
          <w:tcPr>
            <w:tcW w:w="2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0DF6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Age, sex, admission NIHSS, diabetes mellitus, previous stroke, hypertension, atrial fibrillation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F8509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12,769</w:t>
            </w:r>
          </w:p>
        </w:tc>
      </w:tr>
      <w:tr w:rsidR="00466AFE" w:rsidRPr="002B18FC" w14:paraId="4FCA8573" w14:textId="77777777" w:rsidTr="0039680C">
        <w:trPr>
          <w:trHeight w:val="499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CC517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IVT Wake-Up-Stroke</w:t>
            </w:r>
          </w:p>
        </w:tc>
        <w:tc>
          <w:tcPr>
            <w:tcW w:w="42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ED01" w14:textId="77777777" w:rsidR="00466AFE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Patients with unknown symptom onset (Wake-</w:t>
            </w: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Up</w:t>
            </w:r>
            <w:r w:rsidRPr="00325212">
              <w:rPr>
                <w:color w:val="000000"/>
                <w:sz w:val="17"/>
                <w:lang w:val="en-US"/>
              </w:rPr>
              <w:t xml:space="preserve">-Stroke). Excluding patients transferred for thrombolysis, patients receiving thrombolysis at a referring hospital, patients with documented pre-stroke anticoagulation, and patients undergoing isolated mechanical thrombectomy </w:t>
            </w:r>
            <w:r w:rsidRPr="00223C84">
              <w:rPr>
                <w:rFonts w:cstheme="minorHAnsi"/>
                <w:color w:val="000000"/>
                <w:sz w:val="17"/>
                <w:szCs w:val="17"/>
                <w:lang w:val="en-US"/>
              </w:rPr>
              <w:t>without IVT</w:t>
            </w:r>
            <w:r w:rsidRPr="00223C84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 xml:space="preserve">. </w:t>
            </w:r>
            <w:r w:rsidRPr="00466AFE">
              <w:rPr>
                <w:rFonts w:cstheme="minorHAnsi"/>
                <w:kern w:val="0"/>
                <w:sz w:val="17"/>
                <w:szCs w:val="17"/>
                <w:lang w:val="en-US"/>
              </w:rPr>
              <w:t xml:space="preserve"> </w:t>
            </w:r>
            <w:r w:rsidRPr="007D7908">
              <w:rPr>
                <w:rFonts w:cstheme="minorHAnsi"/>
                <w:kern w:val="0"/>
                <w:sz w:val="17"/>
                <w:szCs w:val="17"/>
                <w:lang w:val="en-US"/>
              </w:rPr>
              <w:t>Wake-Up-Stroke data were available from 2022 onwards.</w:t>
            </w:r>
            <w:r>
              <w:rPr>
                <w:rFonts w:ascii="Helvetica" w:hAnsi="Helvetica" w:cs="Helvetica"/>
                <w:kern w:val="0"/>
              </w:rPr>
              <w:t xml:space="preserve"> </w:t>
            </w:r>
          </w:p>
          <w:p w14:paraId="668E1D8C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</w:p>
        </w:tc>
        <w:tc>
          <w:tcPr>
            <w:tcW w:w="2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6A0F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Age, sex, admission NIHSS, diabetes mellitus, previous stroke, hypertension, atrial fibrillation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B85D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2,169</w:t>
            </w:r>
          </w:p>
        </w:tc>
      </w:tr>
      <w:tr w:rsidR="00466AFE" w:rsidRPr="002B18FC" w14:paraId="4B9496CB" w14:textId="77777777" w:rsidTr="0039680C">
        <w:trPr>
          <w:trHeight w:val="390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E796D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Overall door-to-needle time (DTN)</w:t>
            </w:r>
            <w:r w:rsidRPr="00F855B3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74749">
              <w:rPr>
                <w:rFonts w:eastAsia="Arial" w:cstheme="minorHAnsi"/>
                <w:b/>
                <w:bCs/>
                <w:color w:val="000000"/>
                <w:sz w:val="17"/>
                <w:szCs w:val="17"/>
              </w:rPr>
              <w:t>ᵇ</w:t>
            </w:r>
          </w:p>
        </w:tc>
        <w:tc>
          <w:tcPr>
            <w:tcW w:w="42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0C9C" w14:textId="77777777" w:rsidR="00466AFE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Patients receiving IVT in the treating hospital. In-hospital strokes excluded. Analyses restricted to documented DTN values between 0 and 120 min.</w:t>
            </w:r>
            <w:r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 xml:space="preserve"> </w:t>
            </w:r>
            <w:r w:rsidRPr="00A76C65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ᶜ</w:t>
            </w:r>
          </w:p>
          <w:p w14:paraId="1231977D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</w:p>
        </w:tc>
        <w:tc>
          <w:tcPr>
            <w:tcW w:w="2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D4F95" w14:textId="77777777" w:rsidR="00466AFE" w:rsidRPr="00327736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327736">
              <w:rPr>
                <w:rFonts w:eastAsia="Arial" w:cstheme="minorHAnsi"/>
                <w:b/>
                <w:bCs/>
                <w:color w:val="000000"/>
                <w:sz w:val="17"/>
                <w:szCs w:val="17"/>
                <w:lang w:val="en-US"/>
              </w:rPr>
              <w:t>-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2D14F" w14:textId="77777777" w:rsidR="00466AFE" w:rsidRPr="00327736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327736">
              <w:rPr>
                <w:rFonts w:eastAsia="Arial" w:cstheme="minorHAnsi"/>
                <w:b/>
                <w:bCs/>
                <w:color w:val="000000"/>
                <w:sz w:val="17"/>
                <w:szCs w:val="17"/>
                <w:lang w:val="en-US"/>
              </w:rPr>
              <w:t>-</w:t>
            </w:r>
          </w:p>
        </w:tc>
      </w:tr>
      <w:tr w:rsidR="00466AFE" w:rsidRPr="002B18FC" w14:paraId="58BCFCD2" w14:textId="77777777" w:rsidTr="0039680C">
        <w:trPr>
          <w:trHeight w:val="390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D472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DTN ≤60 min</w:t>
            </w:r>
          </w:p>
        </w:tc>
        <w:tc>
          <w:tcPr>
            <w:tcW w:w="42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E610" w14:textId="77777777" w:rsidR="00466AFE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Patients with acute ischemic stroke receiving IVT in the treating hospital and symptom onset-to-admission time ≤4 h. In-hospital strokes excluded.</w:t>
            </w:r>
          </w:p>
          <w:p w14:paraId="1311ED0D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</w:p>
        </w:tc>
        <w:tc>
          <w:tcPr>
            <w:tcW w:w="2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BB27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Age, sex, admission NIHSS, diabetes mellitus, previous stroke, hypertension, atrial fibrillation, anticoagulation, interhospital transfer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A02F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7,400</w:t>
            </w:r>
          </w:p>
        </w:tc>
      </w:tr>
      <w:tr w:rsidR="00466AFE" w:rsidRPr="002B18FC" w14:paraId="09DD1FBF" w14:textId="77777777" w:rsidTr="0039680C">
        <w:trPr>
          <w:trHeight w:val="390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BE4A5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DTN ≤30 min</w:t>
            </w:r>
          </w:p>
        </w:tc>
        <w:tc>
          <w:tcPr>
            <w:tcW w:w="426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7E69" w14:textId="77777777" w:rsidR="00466AFE" w:rsidRPr="00325212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color w:val="000000"/>
                <w:sz w:val="17"/>
                <w:lang w:val="en-US"/>
              </w:rPr>
            </w:pPr>
            <w:r w:rsidRPr="00325212">
              <w:rPr>
                <w:color w:val="000000"/>
                <w:sz w:val="17"/>
                <w:lang w:val="en-US"/>
              </w:rPr>
              <w:t>Patients with acute ischemic stroke receiving IVT in the treating hospital and symptom onset-to-admission time ≤4 h. In-hospital strokes excluded.</w:t>
            </w:r>
          </w:p>
        </w:tc>
        <w:tc>
          <w:tcPr>
            <w:tcW w:w="252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4E45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Age, sex, admission NIHSS, diabetes mellitus, previous stroke, hypertension, atrial fibrillation, anticoagulation, interhospital transfer</w:t>
            </w:r>
          </w:p>
        </w:tc>
        <w:tc>
          <w:tcPr>
            <w:tcW w:w="11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49BE2" w14:textId="77777777" w:rsidR="00466AFE" w:rsidRPr="002B18FC" w:rsidRDefault="00466AFE" w:rsidP="0039680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80" w:right="80"/>
              <w:jc w:val="center"/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</w:pPr>
            <w:r w:rsidRPr="002B18FC">
              <w:rPr>
                <w:rFonts w:eastAsia="Arial" w:cstheme="minorHAnsi"/>
                <w:color w:val="000000"/>
                <w:sz w:val="17"/>
                <w:szCs w:val="17"/>
                <w:lang w:val="en-US"/>
              </w:rPr>
              <w:t>7,400</w:t>
            </w:r>
          </w:p>
        </w:tc>
      </w:tr>
    </w:tbl>
    <w:p w14:paraId="0317926B" w14:textId="77777777" w:rsidR="00466AFE" w:rsidRDefault="00466AFE" w:rsidP="00466AFE">
      <w:pPr>
        <w:rPr>
          <w:b/>
          <w:bCs/>
          <w:sz w:val="18"/>
          <w:szCs w:val="18"/>
          <w:lang w:val="en-US"/>
        </w:rPr>
      </w:pPr>
    </w:p>
    <w:p w14:paraId="3A58D6E8" w14:textId="77777777" w:rsidR="00466AFE" w:rsidRPr="00325212" w:rsidRDefault="00466AFE" w:rsidP="00466AFE">
      <w:pPr>
        <w:rPr>
          <w:sz w:val="18"/>
          <w:lang w:val="en-US"/>
        </w:rPr>
      </w:pPr>
      <w:r w:rsidRPr="00D728C8">
        <w:rPr>
          <w:b/>
          <w:bCs/>
          <w:sz w:val="18"/>
          <w:szCs w:val="18"/>
          <w:lang w:val="en-US"/>
        </w:rPr>
        <w:t>ᵃ</w:t>
      </w:r>
      <w:r w:rsidRPr="00D728C8">
        <w:rPr>
          <w:sz w:val="18"/>
          <w:szCs w:val="18"/>
          <w:lang w:val="en-US"/>
        </w:rPr>
        <w:t xml:space="preserve"> </w:t>
      </w:r>
      <w:proofErr w:type="gramStart"/>
      <w:r w:rsidRPr="00D728C8">
        <w:rPr>
          <w:sz w:val="18"/>
          <w:szCs w:val="18"/>
          <w:lang w:val="en-US"/>
        </w:rPr>
        <w:t>As</w:t>
      </w:r>
      <w:proofErr w:type="gramEnd"/>
      <w:r w:rsidRPr="00D728C8">
        <w:rPr>
          <w:sz w:val="18"/>
          <w:szCs w:val="18"/>
          <w:lang w:val="en-US"/>
        </w:rPr>
        <w:t xml:space="preserve"> the exact time from</w:t>
      </w:r>
      <w:r w:rsidRPr="00325212">
        <w:rPr>
          <w:sz w:val="18"/>
          <w:lang w:val="en-US"/>
        </w:rPr>
        <w:t xml:space="preserve"> symptom onset to </w:t>
      </w:r>
      <w:r w:rsidRPr="00D728C8">
        <w:rPr>
          <w:sz w:val="18"/>
          <w:szCs w:val="18"/>
          <w:lang w:val="en-US"/>
        </w:rPr>
        <w:t xml:space="preserve">IVT administration was not available, </w:t>
      </w:r>
      <w:r w:rsidRPr="00325212">
        <w:rPr>
          <w:sz w:val="18"/>
          <w:lang w:val="en-US"/>
        </w:rPr>
        <w:t xml:space="preserve">treatment </w:t>
      </w:r>
      <w:r w:rsidRPr="00D728C8">
        <w:rPr>
          <w:sz w:val="18"/>
          <w:szCs w:val="18"/>
          <w:lang w:val="en-US"/>
        </w:rPr>
        <w:t>windows were approximated using</w:t>
      </w:r>
      <w:r w:rsidRPr="00325212">
        <w:rPr>
          <w:sz w:val="18"/>
          <w:lang w:val="en-US"/>
        </w:rPr>
        <w:t xml:space="preserve"> the </w:t>
      </w:r>
      <w:r w:rsidRPr="00D728C8">
        <w:rPr>
          <w:sz w:val="18"/>
          <w:szCs w:val="18"/>
          <w:lang w:val="en-US"/>
        </w:rPr>
        <w:t>documented symptom onset-to-admission time and door-to-needle time</w:t>
      </w:r>
      <w:r w:rsidRPr="00325212">
        <w:rPr>
          <w:sz w:val="18"/>
          <w:lang w:val="en-US"/>
        </w:rPr>
        <w:t>.</w:t>
      </w:r>
    </w:p>
    <w:p w14:paraId="7D39596C" w14:textId="77777777" w:rsidR="00466AFE" w:rsidRDefault="00466AFE" w:rsidP="00466AFE">
      <w:pPr>
        <w:rPr>
          <w:sz w:val="18"/>
          <w:szCs w:val="18"/>
          <w:lang w:val="en-US"/>
        </w:rPr>
      </w:pPr>
      <w:r w:rsidRPr="00D728C8">
        <w:rPr>
          <w:b/>
          <w:bCs/>
          <w:sz w:val="18"/>
          <w:szCs w:val="18"/>
          <w:lang w:val="en-US"/>
        </w:rPr>
        <w:t>ᵇ</w:t>
      </w:r>
      <w:r w:rsidRPr="00D728C8">
        <w:rPr>
          <w:sz w:val="18"/>
          <w:szCs w:val="18"/>
          <w:lang w:val="en-US"/>
        </w:rPr>
        <w:t xml:space="preserve"> Overall DTN was analyzed descriptively as a continuous variable and was not included in a multivariable mixed-effects model.</w:t>
      </w:r>
    </w:p>
    <w:p w14:paraId="1C287E98" w14:textId="77777777" w:rsidR="00466AFE" w:rsidRDefault="00466AFE" w:rsidP="00466AFE">
      <w:pPr>
        <w:rPr>
          <w:sz w:val="18"/>
          <w:szCs w:val="18"/>
          <w:lang w:val="en-US"/>
        </w:rPr>
      </w:pPr>
      <w:r w:rsidRPr="00A76C65">
        <w:rPr>
          <w:sz w:val="18"/>
          <w:szCs w:val="18"/>
          <w:lang w:val="en-US"/>
        </w:rPr>
        <w:t>ᶜ DTN values &gt;120 minutes were excluded as potentially implausible to reduce potential distortion of the process-time analyses.</w:t>
      </w:r>
    </w:p>
    <w:p w14:paraId="588D5885" w14:textId="77777777" w:rsidR="00466AFE" w:rsidRPr="00325212" w:rsidRDefault="00466AFE" w:rsidP="00466AFE">
      <w:pPr>
        <w:rPr>
          <w:sz w:val="18"/>
          <w:lang w:val="en-US"/>
        </w:rPr>
      </w:pPr>
      <w:r w:rsidRPr="00325212">
        <w:rPr>
          <w:b/>
          <w:sz w:val="18"/>
          <w:lang w:val="en-US"/>
        </w:rPr>
        <w:t>Abbreviations:</w:t>
      </w:r>
      <w:r w:rsidRPr="00325212">
        <w:rPr>
          <w:sz w:val="18"/>
          <w:lang w:val="en-US"/>
        </w:rPr>
        <w:t xml:space="preserve"> IVT, intravenous thrombolysis; DTN, door-to-needle time.</w:t>
      </w:r>
    </w:p>
    <w:p w14:paraId="4189D536" w14:textId="77777777" w:rsidR="00466AFE" w:rsidRPr="003F7677" w:rsidRDefault="00466AFE" w:rsidP="00466AFE">
      <w:pPr>
        <w:rPr>
          <w:lang w:val="en-US"/>
        </w:rPr>
      </w:pPr>
    </w:p>
    <w:p w14:paraId="5E58005F" w14:textId="77777777" w:rsidR="009F54C5" w:rsidRPr="00466AFE" w:rsidRDefault="009F54C5">
      <w:pPr>
        <w:rPr>
          <w:lang w:val="en-US"/>
        </w:rPr>
      </w:pPr>
    </w:p>
    <w:sectPr w:rsidR="009F54C5" w:rsidRPr="00466AFE" w:rsidSect="00E03BAB">
      <w:footerReference w:type="even" r:id="rId4"/>
      <w:footerReference w:type="default" r:id="rId5"/>
      <w:footerReference w:type="first" r:id="rId6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72097951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FC54BDC" w14:textId="77777777" w:rsidR="004D0AC1" w:rsidRDefault="00466AFE" w:rsidP="004B07CE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sdt>
    <w:sdtPr>
      <w:rPr>
        <w:rStyle w:val="Seitenzahl"/>
      </w:rPr>
      <w:id w:val="47396549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EFC2F8F" w14:textId="77777777" w:rsidR="00E7654C" w:rsidRDefault="00466AFE" w:rsidP="004B07C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1BB9455C" w14:textId="77777777" w:rsidR="00E7654C" w:rsidRDefault="00466AFE" w:rsidP="00D5214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6076086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6E6FAABE" w14:textId="77777777" w:rsidR="004D0AC1" w:rsidRDefault="00466AFE" w:rsidP="004B07CE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4CF6378E" w14:textId="77777777" w:rsidR="00E7654C" w:rsidRDefault="00466AFE" w:rsidP="00D52142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45A83" w14:textId="77777777" w:rsidR="004D0AC1" w:rsidRDefault="00466AFE" w:rsidP="004B07CE">
    <w:pPr>
      <w:pStyle w:val="Fuzeile"/>
      <w:framePr w:wrap="none" w:vAnchor="text" w:hAnchor="margin" w:xAlign="right" w:y="1"/>
      <w:rPr>
        <w:rStyle w:val="Seitenzahl"/>
      </w:rPr>
    </w:pPr>
  </w:p>
  <w:p w14:paraId="79012D93" w14:textId="77777777" w:rsidR="00461592" w:rsidRDefault="00466AFE" w:rsidP="004D0AC1">
    <w:pPr>
      <w:pStyle w:val="Fuzeile"/>
      <w:framePr w:wrap="none" w:vAnchor="text" w:hAnchor="margin" w:xAlign="right" w:y="1"/>
      <w:ind w:right="360"/>
      <w:rPr>
        <w:rStyle w:val="Seitenzahl"/>
      </w:rPr>
    </w:pPr>
  </w:p>
  <w:p w14:paraId="3D3E6660" w14:textId="77777777" w:rsidR="009B7931" w:rsidRDefault="00466AFE" w:rsidP="00461592">
    <w:pPr>
      <w:pStyle w:val="Fuzeile"/>
      <w:framePr w:wrap="none" w:vAnchor="text" w:hAnchor="margin" w:xAlign="right" w:y="1"/>
      <w:ind w:right="360"/>
      <w:rPr>
        <w:rStyle w:val="Seitenzahl"/>
      </w:rPr>
    </w:pPr>
  </w:p>
  <w:p w14:paraId="1DEA4206" w14:textId="77777777" w:rsidR="001D63F8" w:rsidRDefault="00466AFE" w:rsidP="00FA1790">
    <w:pPr>
      <w:pStyle w:val="Fuzeile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FE"/>
    <w:rsid w:val="00466AFE"/>
    <w:rsid w:val="009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C8C0"/>
  <w15:chartTrackingRefBased/>
  <w15:docId w15:val="{D6F371D0-68C0-4AFB-AA1E-9C03B56E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6AF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466AF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6AFE"/>
    <w:rPr>
      <w:kern w:val="2"/>
      <w:sz w:val="24"/>
      <w:szCs w:val="24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466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2810</Characters>
  <Application>Microsoft Office Word</Application>
  <DocSecurity>0</DocSecurity>
  <Lines>23</Lines>
  <Paragraphs>6</Paragraphs>
  <ScaleCrop>false</ScaleCrop>
  <Company>Klinikum Fulda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Neumann-Haefelin, Tobias, Prof. Dr.</dc:creator>
  <cp:keywords/>
  <dc:description/>
  <cp:lastModifiedBy>Neumann-Haefelin, Tobias, Prof. Dr.</cp:lastModifiedBy>
  <cp:revision>1</cp:revision>
  <dcterms:created xsi:type="dcterms:W3CDTF">2026-08-17T14:58:00Z</dcterms:created>
  <dcterms:modified xsi:type="dcterms:W3CDTF">2026-08-17T14:58:00Z</dcterms:modified>
</cp:coreProperties>
</file>