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844" w:rsidRPr="001924DA" w:rsidRDefault="008E7844" w:rsidP="008E7844">
      <w:pPr>
        <w:spacing w:line="360" w:lineRule="auto"/>
        <w:rPr>
          <w:rFonts w:ascii="Times New Roman" w:hAnsi="Times New Roman"/>
          <w:b/>
          <w:sz w:val="28"/>
          <w:szCs w:val="28"/>
          <w:lang w:val="en-GB"/>
        </w:rPr>
      </w:pPr>
      <w:r w:rsidRPr="001924DA">
        <w:rPr>
          <w:rFonts w:ascii="Times New Roman" w:hAnsi="Times New Roman"/>
          <w:b/>
          <w:sz w:val="28"/>
          <w:szCs w:val="28"/>
          <w:lang w:val="en-GB"/>
        </w:rPr>
        <w:t>Additional file 1</w:t>
      </w:r>
    </w:p>
    <w:p w:rsidR="008E7844" w:rsidRDefault="008E7844" w:rsidP="00D33B43">
      <w:pPr>
        <w:spacing w:line="360" w:lineRule="auto"/>
        <w:rPr>
          <w:rFonts w:ascii="Times New Roman" w:hAnsi="Times New Roman" w:hint="eastAsia"/>
          <w:b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D33B43">
        <w:rPr>
          <w:noProof/>
        </w:rPr>
        <w:drawing>
          <wp:anchor distT="0" distB="0" distL="114300" distR="114300" simplePos="0" relativeHeight="251658240" behindDoc="1" locked="0" layoutInCell="1" allowOverlap="1" wp14:anchorId="6D0F32A7" wp14:editId="7B17258E">
            <wp:simplePos x="0" y="0"/>
            <wp:positionH relativeFrom="margin">
              <wp:posOffset>914400</wp:posOffset>
            </wp:positionH>
            <wp:positionV relativeFrom="paragraph">
              <wp:posOffset>46990</wp:posOffset>
            </wp:positionV>
            <wp:extent cx="3260090" cy="2780030"/>
            <wp:effectExtent l="0" t="0" r="0" b="1270"/>
            <wp:wrapTight wrapText="bothSides">
              <wp:wrapPolygon edited="0">
                <wp:start x="0" y="0"/>
                <wp:lineTo x="0" y="21462"/>
                <wp:lineTo x="21457" y="21462"/>
                <wp:lineTo x="21457" y="0"/>
                <wp:lineTo x="0" y="0"/>
              </wp:wrapPolygon>
            </wp:wrapTight>
            <wp:docPr id="2" name="图片 2" descr="F:\FgBzip16\PR\2023.7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FgBzip16\PR\2023.7\Figure S1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090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7844" w:rsidRDefault="008E7844" w:rsidP="00D33B43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 w:hint="eastAsia"/>
          <w:b/>
          <w:sz w:val="24"/>
          <w:szCs w:val="24"/>
          <w:lang w:val="en-GB"/>
        </w:rPr>
      </w:pPr>
    </w:p>
    <w:p w:rsidR="00C00EAA" w:rsidRDefault="00D33B43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Figure S1 </w:t>
      </w:r>
      <w:r w:rsidRPr="00277679">
        <w:rPr>
          <w:rFonts w:ascii="Times New Roman" w:hAnsi="Times New Roman"/>
          <w:sz w:val="24"/>
          <w:szCs w:val="24"/>
          <w:lang w:val="en-GB"/>
        </w:rPr>
        <w:t xml:space="preserve">The structural domains and expression profiles of </w:t>
      </w:r>
      <w:r w:rsidRPr="00277679">
        <w:rPr>
          <w:rFonts w:ascii="Times New Roman" w:hAnsi="Times New Roman"/>
          <w:i/>
          <w:sz w:val="24"/>
          <w:szCs w:val="24"/>
          <w:lang w:val="en-GB"/>
        </w:rPr>
        <w:t>FgBZIP16</w:t>
      </w:r>
      <w:r w:rsidRPr="00277679">
        <w:rPr>
          <w:rFonts w:ascii="Times New Roman" w:hAnsi="Times New Roman"/>
          <w:sz w:val="24"/>
          <w:szCs w:val="24"/>
          <w:lang w:val="en-GB"/>
        </w:rPr>
        <w:t>.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277679"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Schematic drawing of the conserved domains in FgBzip16. FgBzip16 has a b-zip domain (marked as a black box, 152-219 aa) at </w:t>
      </w:r>
      <w:r w:rsidR="008E7844">
        <w:rPr>
          <w:rFonts w:ascii="Times New Roman" w:hAnsi="Times New Roman"/>
          <w:bCs/>
          <w:sz w:val="24"/>
          <w:szCs w:val="24"/>
          <w:lang w:val="en-GB"/>
        </w:rPr>
        <w:t xml:space="preserve">the 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N-terminal region. </w:t>
      </w:r>
      <w:r w:rsidRPr="00277679">
        <w:rPr>
          <w:rFonts w:ascii="Times New Roman" w:hAnsi="Times New Roman"/>
          <w:b/>
          <w:bCs/>
          <w:sz w:val="24"/>
          <w:szCs w:val="24"/>
        </w:rPr>
        <w:t>b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The expression of </w:t>
      </w:r>
      <w:r>
        <w:rPr>
          <w:rFonts w:ascii="Times New Roman" w:hAnsi="Times New Roman"/>
          <w:bCs/>
          <w:i/>
          <w:iCs/>
          <w:sz w:val="24"/>
          <w:szCs w:val="24"/>
          <w:lang w:val="en-GB"/>
        </w:rPr>
        <w:t>FgBZIP16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was measured by quantitative real-time RT-PCR with cDNA from samplings for hyphae, conidia, infected wheat</w:t>
      </w:r>
      <w:r>
        <w:rPr>
          <w:rFonts w:ascii="Times New Roman" w:hAnsi="Times New Roman" w:hint="eastAsia"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GB"/>
        </w:rPr>
        <w:t>heads (infected wheat) and perithecium.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The relative abundance of </w:t>
      </w:r>
      <w:r>
        <w:rPr>
          <w:rFonts w:ascii="Times New Roman" w:hAnsi="Times New Roman"/>
          <w:bCs/>
          <w:i/>
          <w:iCs/>
          <w:sz w:val="24"/>
          <w:szCs w:val="24"/>
          <w:lang w:val="en-GB"/>
        </w:rPr>
        <w:t>FgBZIP16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transcripts during infectious was normalized by comparing with hyphae in liquid CM (arbitrarily set to 1). Each sample was harvested from 10 plants</w:t>
      </w:r>
      <w:r w:rsidR="008E7844">
        <w:rPr>
          <w:rFonts w:ascii="Times New Roman" w:hAnsi="Times New Roman"/>
          <w:bCs/>
          <w:sz w:val="24"/>
          <w:szCs w:val="24"/>
          <w:lang w:val="en-GB"/>
        </w:rPr>
        <w:t>,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and three independent experiments, each with three replicates, were performed. </w:t>
      </w:r>
      <w:r>
        <w:rPr>
          <w:rFonts w:ascii="Times New Roman" w:hAnsi="Times New Roman"/>
          <w:sz w:val="24"/>
          <w:szCs w:val="24"/>
          <w:lang w:val="en-GB"/>
        </w:rPr>
        <w:t xml:space="preserve">Line bars in each column denote </w:t>
      </w:r>
      <w:r w:rsidR="008E7844">
        <w:rPr>
          <w:rFonts w:ascii="Times New Roman" w:hAnsi="Times New Roman"/>
          <w:sz w:val="24"/>
          <w:szCs w:val="24"/>
          <w:lang w:val="en-GB"/>
        </w:rPr>
        <w:t xml:space="preserve">the </w:t>
      </w:r>
      <w:r>
        <w:rPr>
          <w:rFonts w:ascii="Times New Roman" w:hAnsi="Times New Roman"/>
          <w:sz w:val="24"/>
          <w:szCs w:val="24"/>
          <w:lang w:val="en-GB"/>
        </w:rPr>
        <w:t>standard errors of three repeated experiments.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The asterisks indicate a significant difference at </w:t>
      </w:r>
      <w:r>
        <w:rPr>
          <w:rFonts w:ascii="Times New Roman" w:hAnsi="Times New Roman"/>
          <w:bCs/>
          <w:i/>
          <w:iCs/>
          <w:sz w:val="24"/>
          <w:szCs w:val="24"/>
          <w:lang w:val="en-GB"/>
        </w:rPr>
        <w:t xml:space="preserve">P </w:t>
      </w:r>
      <w:r>
        <w:rPr>
          <w:rFonts w:ascii="Times New Roman" w:hAnsi="Times New Roman"/>
          <w:bCs/>
          <w:sz w:val="24"/>
          <w:szCs w:val="24"/>
          <w:lang w:val="en-GB"/>
        </w:rPr>
        <w:t>&lt; 0.01.</w:t>
      </w: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</w:pPr>
    </w:p>
    <w:p w:rsidR="00D33B43" w:rsidRDefault="008E7844" w:rsidP="00D33B43">
      <w:pPr>
        <w:spacing w:line="360" w:lineRule="auto"/>
      </w:pPr>
      <w:r w:rsidRPr="00D33B43">
        <w:rPr>
          <w:noProof/>
        </w:rPr>
        <w:drawing>
          <wp:anchor distT="0" distB="0" distL="114300" distR="114300" simplePos="0" relativeHeight="251659264" behindDoc="1" locked="0" layoutInCell="1" allowOverlap="1" wp14:anchorId="64589E18" wp14:editId="36B5DDE1">
            <wp:simplePos x="0" y="0"/>
            <wp:positionH relativeFrom="margin">
              <wp:posOffset>1336675</wp:posOffset>
            </wp:positionH>
            <wp:positionV relativeFrom="paragraph">
              <wp:posOffset>4445</wp:posOffset>
            </wp:positionV>
            <wp:extent cx="3013710" cy="2226310"/>
            <wp:effectExtent l="0" t="0" r="0" b="2540"/>
            <wp:wrapTight wrapText="bothSides">
              <wp:wrapPolygon edited="0">
                <wp:start x="0" y="0"/>
                <wp:lineTo x="0" y="21440"/>
                <wp:lineTo x="21436" y="21440"/>
                <wp:lineTo x="21436" y="0"/>
                <wp:lineTo x="0" y="0"/>
              </wp:wrapPolygon>
            </wp:wrapTight>
            <wp:docPr id="3" name="图片 3" descr="F:\FgBzip16\PR\2023.7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FgBzip16\PR\2023.7\Figure S2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</w:pPr>
    </w:p>
    <w:p w:rsidR="008E7844" w:rsidRDefault="008E7844" w:rsidP="00D33B43">
      <w:pPr>
        <w:spacing w:line="360" w:lineRule="auto"/>
      </w:pPr>
    </w:p>
    <w:p w:rsidR="008E7844" w:rsidRDefault="008E7844" w:rsidP="00D33B43">
      <w:pPr>
        <w:spacing w:line="360" w:lineRule="auto"/>
      </w:pPr>
    </w:p>
    <w:p w:rsidR="008E7844" w:rsidRDefault="008E7844" w:rsidP="00D33B43">
      <w:pPr>
        <w:spacing w:line="360" w:lineRule="auto"/>
      </w:pPr>
    </w:p>
    <w:p w:rsidR="008E7844" w:rsidRDefault="008E7844" w:rsidP="00D33B43">
      <w:pPr>
        <w:spacing w:line="360" w:lineRule="auto"/>
      </w:pPr>
    </w:p>
    <w:p w:rsidR="008E7844" w:rsidRDefault="008E7844" w:rsidP="00D33B43">
      <w:pPr>
        <w:spacing w:line="360" w:lineRule="auto"/>
        <w:rPr>
          <w:rFonts w:hint="eastAsia"/>
        </w:rPr>
      </w:pPr>
    </w:p>
    <w:p w:rsidR="00D33B43" w:rsidRDefault="00D33B43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Figure S2 </w:t>
      </w:r>
      <w:r w:rsidRPr="00277679">
        <w:rPr>
          <w:rFonts w:ascii="Times New Roman" w:hAnsi="Times New Roman"/>
          <w:sz w:val="24"/>
          <w:szCs w:val="24"/>
          <w:lang w:val="en-GB"/>
        </w:rPr>
        <w:t xml:space="preserve">Targeted gene replacement of </w:t>
      </w:r>
      <w:r w:rsidRPr="00277679">
        <w:rPr>
          <w:rFonts w:ascii="Times New Roman" w:hAnsi="Times New Roman"/>
          <w:i/>
          <w:iCs/>
          <w:sz w:val="24"/>
          <w:szCs w:val="24"/>
          <w:lang w:val="en-GB"/>
        </w:rPr>
        <w:t>FgBZIP16</w:t>
      </w:r>
      <w:r w:rsidRPr="00277679">
        <w:rPr>
          <w:rFonts w:ascii="Times New Roman" w:hAnsi="Times New Roman"/>
          <w:sz w:val="24"/>
          <w:szCs w:val="24"/>
          <w:lang w:val="en-GB"/>
        </w:rPr>
        <w:t xml:space="preserve"> in </w:t>
      </w:r>
      <w:r w:rsidRPr="00277679">
        <w:rPr>
          <w:rFonts w:ascii="Times New Roman" w:hAnsi="Times New Roman"/>
          <w:i/>
          <w:iCs/>
          <w:sz w:val="24"/>
          <w:szCs w:val="24"/>
          <w:lang w:val="en-GB"/>
        </w:rPr>
        <w:t>F. graminearum</w:t>
      </w:r>
      <w:r w:rsidRPr="00277679">
        <w:rPr>
          <w:rFonts w:ascii="Times New Roman" w:hAnsi="Times New Roman"/>
          <w:sz w:val="24"/>
          <w:szCs w:val="24"/>
          <w:lang w:val="en-GB"/>
        </w:rPr>
        <w:t>.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277679"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 w:hint="eastAsia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Schematic diagram of the split-marker gene deletion strategy for </w:t>
      </w:r>
      <w:r>
        <w:rPr>
          <w:rFonts w:ascii="Times New Roman" w:hAnsi="Times New Roman"/>
          <w:bCs/>
          <w:i/>
          <w:iCs/>
          <w:sz w:val="24"/>
          <w:szCs w:val="24"/>
          <w:lang w:val="en-GB"/>
        </w:rPr>
        <w:t>FgBZIP16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. </w:t>
      </w:r>
      <w:r w:rsidRPr="00277679">
        <w:rPr>
          <w:rFonts w:ascii="Times New Roman" w:hAnsi="Times New Roman"/>
          <w:b/>
          <w:bCs/>
          <w:sz w:val="24"/>
          <w:szCs w:val="24"/>
        </w:rPr>
        <w:t>b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Results from Southern blot analysis of genomic DNA using gene-specific or </w:t>
      </w:r>
      <w:r>
        <w:rPr>
          <w:rFonts w:ascii="Times New Roman" w:hAnsi="Times New Roman"/>
          <w:bCs/>
          <w:i/>
          <w:iCs/>
          <w:sz w:val="24"/>
          <w:szCs w:val="24"/>
          <w:lang w:val="en-GB"/>
        </w:rPr>
        <w:t>HPH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probes. DNA from the mutant hybridize</w:t>
      </w:r>
      <w:r w:rsidR="008E7844">
        <w:rPr>
          <w:rFonts w:ascii="Times New Roman" w:hAnsi="Times New Roman"/>
          <w:bCs/>
          <w:sz w:val="24"/>
          <w:szCs w:val="24"/>
          <w:lang w:val="en-GB"/>
        </w:rPr>
        <w:t>s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only to the </w:t>
      </w:r>
      <w:r>
        <w:rPr>
          <w:rFonts w:ascii="Times New Roman" w:hAnsi="Times New Roman"/>
          <w:bCs/>
          <w:i/>
          <w:iCs/>
          <w:sz w:val="24"/>
          <w:szCs w:val="24"/>
          <w:lang w:val="en-GB"/>
        </w:rPr>
        <w:t>HPH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probe, while that from</w:t>
      </w:r>
      <w:r w:rsidR="008E7844">
        <w:rPr>
          <w:rFonts w:ascii="Times New Roman" w:hAnsi="Times New Roman"/>
          <w:bCs/>
          <w:sz w:val="24"/>
          <w:szCs w:val="24"/>
          <w:lang w:val="en-GB"/>
        </w:rPr>
        <w:t xml:space="preserve"> the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wild type hybridizes only to the gene-specific probe.</w:t>
      </w:r>
    </w:p>
    <w:p w:rsidR="00D33B43" w:rsidRDefault="00D33B43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  <w:r w:rsidRPr="008E7844">
        <w:rPr>
          <w:rFonts w:ascii="Times New Roman" w:hAnsi="Times New Roman"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074FCEE5" wp14:editId="1BC0DC3E">
            <wp:simplePos x="0" y="0"/>
            <wp:positionH relativeFrom="margin">
              <wp:posOffset>1231900</wp:posOffset>
            </wp:positionH>
            <wp:positionV relativeFrom="paragraph">
              <wp:posOffset>260985</wp:posOffset>
            </wp:positionV>
            <wp:extent cx="2695575" cy="3354705"/>
            <wp:effectExtent l="0" t="0" r="9525" b="0"/>
            <wp:wrapTight wrapText="bothSides">
              <wp:wrapPolygon edited="0">
                <wp:start x="0" y="0"/>
                <wp:lineTo x="0" y="21465"/>
                <wp:lineTo x="21524" y="21465"/>
                <wp:lineTo x="21524" y="0"/>
                <wp:lineTo x="0" y="0"/>
              </wp:wrapPolygon>
            </wp:wrapTight>
            <wp:docPr id="1" name="图片 1" descr="F:\FgBzip16\PR\2023.7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gBzip16\PR\2023.7\Figure S3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35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7844" w:rsidRDefault="008E7844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D33B43" w:rsidRDefault="00D33B43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D33B43" w:rsidRDefault="00D33B43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D33B43" w:rsidRDefault="00D33B43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</w:p>
    <w:p w:rsidR="00D33B43" w:rsidRDefault="00D33B43" w:rsidP="00D33B43">
      <w:pPr>
        <w:spacing w:line="360" w:lineRule="auto"/>
      </w:pPr>
    </w:p>
    <w:p w:rsidR="008E7844" w:rsidRDefault="008E7844" w:rsidP="00D33B43">
      <w:pPr>
        <w:spacing w:line="360" w:lineRule="auto"/>
      </w:pPr>
    </w:p>
    <w:p w:rsidR="008E7844" w:rsidRDefault="008E7844" w:rsidP="00D33B43">
      <w:pPr>
        <w:spacing w:line="360" w:lineRule="auto"/>
      </w:pPr>
    </w:p>
    <w:p w:rsidR="008E7844" w:rsidRDefault="008E7844" w:rsidP="00D33B43">
      <w:pPr>
        <w:spacing w:line="360" w:lineRule="auto"/>
      </w:pPr>
    </w:p>
    <w:p w:rsidR="008E7844" w:rsidRDefault="008E7844" w:rsidP="00D33B43">
      <w:pPr>
        <w:spacing w:line="360" w:lineRule="auto"/>
      </w:pPr>
    </w:p>
    <w:p w:rsidR="008E7844" w:rsidRDefault="008E7844" w:rsidP="00D33B43">
      <w:pPr>
        <w:spacing w:line="360" w:lineRule="auto"/>
        <w:rPr>
          <w:rFonts w:hint="eastAsia"/>
        </w:rPr>
      </w:pP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</w:pPr>
    </w:p>
    <w:p w:rsidR="00D33B43" w:rsidRDefault="00D33B43" w:rsidP="00D33B43">
      <w:pPr>
        <w:spacing w:line="360" w:lineRule="auto"/>
        <w:rPr>
          <w:rFonts w:hint="eastAsia"/>
        </w:rPr>
      </w:pPr>
    </w:p>
    <w:p w:rsidR="00D33B43" w:rsidRDefault="00D33B43" w:rsidP="00D33B43">
      <w:pPr>
        <w:spacing w:line="360" w:lineRule="auto"/>
        <w:rPr>
          <w:rFonts w:ascii="Times New Roman" w:hAnsi="Times New Roman"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Figure S3 </w:t>
      </w:r>
      <w:r w:rsidRPr="00277679">
        <w:rPr>
          <w:rFonts w:ascii="Times New Roman" w:hAnsi="Times New Roman"/>
          <w:sz w:val="24"/>
          <w:szCs w:val="24"/>
          <w:lang w:val="en-GB"/>
        </w:rPr>
        <w:t>Deoxynivalenol (DON) production and the expression of DON biosynthesis genes.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277679"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DON production measurement in infected wheat kernels 20 days. </w:t>
      </w:r>
      <w:r>
        <w:rPr>
          <w:rFonts w:ascii="Times New Roman" w:hAnsi="Times New Roman"/>
          <w:sz w:val="24"/>
          <w:szCs w:val="24"/>
          <w:lang w:val="en-GB"/>
        </w:rPr>
        <w:t xml:space="preserve">Line bars in each column denote </w:t>
      </w:r>
      <w:r w:rsidR="008E7844">
        <w:rPr>
          <w:rFonts w:ascii="Times New Roman" w:hAnsi="Times New Roman"/>
          <w:sz w:val="24"/>
          <w:szCs w:val="24"/>
          <w:lang w:val="en-GB"/>
        </w:rPr>
        <w:t xml:space="preserve">the </w:t>
      </w:r>
      <w:r>
        <w:rPr>
          <w:rFonts w:ascii="Times New Roman" w:hAnsi="Times New Roman"/>
          <w:sz w:val="24"/>
          <w:szCs w:val="24"/>
          <w:lang w:val="en-GB"/>
        </w:rPr>
        <w:t>standard errors of three repeated experiments.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The asterisks indicate a significant difference at </w:t>
      </w:r>
      <w:r w:rsidR="008E7844">
        <w:rPr>
          <w:rFonts w:ascii="Times New Roman" w:hAnsi="Times New Roman"/>
          <w:bCs/>
          <w:i/>
          <w:iCs/>
          <w:sz w:val="24"/>
          <w:szCs w:val="24"/>
          <w:lang w:val="en-GB"/>
        </w:rPr>
        <w:t xml:space="preserve">P </w:t>
      </w:r>
      <w:r w:rsidR="008E7844">
        <w:rPr>
          <w:rFonts w:ascii="Times New Roman" w:hAnsi="Times New Roman"/>
          <w:bCs/>
          <w:sz w:val="24"/>
          <w:szCs w:val="24"/>
          <w:lang w:val="en-GB"/>
        </w:rPr>
        <w:t xml:space="preserve">&lt; </w:t>
      </w:r>
      <w:bookmarkStart w:id="0" w:name="_GoBack"/>
      <w:bookmarkEnd w:id="0"/>
      <w:r w:rsidR="008E7844">
        <w:rPr>
          <w:rFonts w:ascii="Times New Roman" w:hAnsi="Times New Roman"/>
          <w:bCs/>
          <w:sz w:val="24"/>
          <w:szCs w:val="24"/>
          <w:lang w:val="en-GB"/>
        </w:rPr>
        <w:t>0.01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. </w:t>
      </w:r>
      <w:r w:rsidRPr="00277679">
        <w:rPr>
          <w:rFonts w:ascii="Times New Roman" w:hAnsi="Times New Roman"/>
          <w:b/>
          <w:bCs/>
          <w:sz w:val="24"/>
          <w:szCs w:val="24"/>
        </w:rPr>
        <w:t>b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RT-qPCR analyzes the relative transcription abundance of </w:t>
      </w:r>
      <w:r>
        <w:rPr>
          <w:rFonts w:ascii="Times New Roman" w:eastAsia="DengXian" w:hAnsi="Times New Roman" w:cs="Times New Roman"/>
          <w:sz w:val="24"/>
          <w:szCs w:val="24"/>
        </w:rPr>
        <w:t>trichothecene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synthase genes </w:t>
      </w:r>
      <w:r>
        <w:rPr>
          <w:rFonts w:ascii="Times New Roman" w:hAnsi="Times New Roman"/>
          <w:bCs/>
          <w:i/>
          <w:iCs/>
          <w:sz w:val="24"/>
          <w:szCs w:val="24"/>
          <w:lang w:val="en-GB"/>
        </w:rPr>
        <w:t>TRI5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and </w:t>
      </w:r>
      <w:r>
        <w:rPr>
          <w:rFonts w:ascii="Times New Roman" w:hAnsi="Times New Roman"/>
          <w:bCs/>
          <w:i/>
          <w:iCs/>
          <w:sz w:val="24"/>
          <w:szCs w:val="24"/>
          <w:lang w:val="en-GB"/>
        </w:rPr>
        <w:t>TRI6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. </w:t>
      </w:r>
      <w:r>
        <w:rPr>
          <w:rFonts w:ascii="Times New Roman" w:hAnsi="Times New Roman"/>
          <w:sz w:val="24"/>
          <w:szCs w:val="24"/>
          <w:lang w:val="en-GB"/>
        </w:rPr>
        <w:t xml:space="preserve">Line bars in each column denote </w:t>
      </w:r>
      <w:r w:rsidR="008E7844">
        <w:rPr>
          <w:rFonts w:ascii="Times New Roman" w:hAnsi="Times New Roman"/>
          <w:sz w:val="24"/>
          <w:szCs w:val="24"/>
          <w:lang w:val="en-GB"/>
        </w:rPr>
        <w:t xml:space="preserve">the </w:t>
      </w:r>
      <w:r>
        <w:rPr>
          <w:rFonts w:ascii="Times New Roman" w:hAnsi="Times New Roman"/>
          <w:sz w:val="24"/>
          <w:szCs w:val="24"/>
          <w:lang w:val="en-GB"/>
        </w:rPr>
        <w:t>standard errors of three repeated experiments.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The asterisks indicate a significant difference at </w:t>
      </w:r>
      <w:r>
        <w:rPr>
          <w:rFonts w:ascii="Times New Roman" w:hAnsi="Times New Roman"/>
          <w:bCs/>
          <w:i/>
          <w:iCs/>
          <w:sz w:val="24"/>
          <w:szCs w:val="24"/>
          <w:lang w:val="en-GB"/>
        </w:rPr>
        <w:t xml:space="preserve">P </w:t>
      </w:r>
      <w:r w:rsidR="008E7844">
        <w:rPr>
          <w:rFonts w:ascii="Times New Roman" w:hAnsi="Times New Roman"/>
          <w:bCs/>
          <w:sz w:val="24"/>
          <w:szCs w:val="24"/>
          <w:lang w:val="en-GB"/>
        </w:rPr>
        <w:t xml:space="preserve">&lt; </w:t>
      </w:r>
      <w:r>
        <w:rPr>
          <w:rFonts w:ascii="Times New Roman" w:hAnsi="Times New Roman"/>
          <w:bCs/>
          <w:sz w:val="24"/>
          <w:szCs w:val="24"/>
          <w:lang w:val="en-GB"/>
        </w:rPr>
        <w:t>0.01.</w:t>
      </w:r>
    </w:p>
    <w:p w:rsidR="00D33B43" w:rsidRDefault="00D33B43" w:rsidP="00D33B43">
      <w:pPr>
        <w:spacing w:line="360" w:lineRule="auto"/>
      </w:pPr>
    </w:p>
    <w:sectPr w:rsidR="00D33B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4E5" w:rsidRDefault="000654E5" w:rsidP="00D33B43">
      <w:r>
        <w:separator/>
      </w:r>
    </w:p>
  </w:endnote>
  <w:endnote w:type="continuationSeparator" w:id="0">
    <w:p w:rsidR="000654E5" w:rsidRDefault="000654E5" w:rsidP="00D3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4E5" w:rsidRDefault="000654E5" w:rsidP="00D33B43">
      <w:r>
        <w:separator/>
      </w:r>
    </w:p>
  </w:footnote>
  <w:footnote w:type="continuationSeparator" w:id="0">
    <w:p w:rsidR="000654E5" w:rsidRDefault="000654E5" w:rsidP="00D33B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21D"/>
    <w:rsid w:val="000654E5"/>
    <w:rsid w:val="004C1E1E"/>
    <w:rsid w:val="005C221D"/>
    <w:rsid w:val="006E5FFF"/>
    <w:rsid w:val="008E7844"/>
    <w:rsid w:val="00B21F0F"/>
    <w:rsid w:val="00D3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BD0AD1-5AC0-486E-BCD3-AAA2DA48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3B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33B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3B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3B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2023-07-04T09:06:00Z</dcterms:created>
  <dcterms:modified xsi:type="dcterms:W3CDTF">2023-07-17T01:55:00Z</dcterms:modified>
</cp:coreProperties>
</file>