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2B52" w14:textId="77777777" w:rsidR="008731CD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S1. Involvement of DNA methylation in the response of plants to infections caused by pathogenic fungi, oomycetes</w:t>
      </w:r>
      <w:r>
        <w:rPr>
          <w:rFonts w:ascii="Times New Roman" w:eastAsia="SimSun" w:hAnsi="Times New Roman" w:cs="Times New Roman" w:hint="eastAsia"/>
          <w:b/>
          <w:bCs/>
          <w:lang w:val="en-US" w:eastAsia="zh-CN"/>
        </w:rPr>
        <w:t>,</w:t>
      </w:r>
      <w:r>
        <w:rPr>
          <w:rFonts w:ascii="Times New Roman" w:hAnsi="Times New Roman" w:cs="Times New Roman"/>
          <w:b/>
          <w:bCs/>
        </w:rPr>
        <w:t xml:space="preserve"> and bacteria. </w:t>
      </w:r>
    </w:p>
    <w:p w14:paraId="1B444A78" w14:textId="77777777" w:rsidR="008731CD" w:rsidRDefault="008731CD">
      <w:pPr>
        <w:rPr>
          <w:b/>
          <w:bCs/>
          <w:sz w:val="28"/>
          <w:szCs w:val="28"/>
        </w:rPr>
      </w:pPr>
    </w:p>
    <w:tbl>
      <w:tblPr>
        <w:tblStyle w:val="TableGrid"/>
        <w:tblW w:w="9351" w:type="dxa"/>
        <w:tblInd w:w="137" w:type="dxa"/>
        <w:tblLook w:val="04A0" w:firstRow="1" w:lastRow="0" w:firstColumn="1" w:lastColumn="0" w:noHBand="0" w:noVBand="1"/>
      </w:tblPr>
      <w:tblGrid>
        <w:gridCol w:w="992"/>
        <w:gridCol w:w="3592"/>
        <w:gridCol w:w="1937"/>
        <w:gridCol w:w="1274"/>
        <w:gridCol w:w="1556"/>
      </w:tblGrid>
      <w:tr w:rsidR="008731CD" w14:paraId="0F0D7F33" w14:textId="77777777">
        <w:tc>
          <w:tcPr>
            <w:tcW w:w="992" w:type="dxa"/>
            <w:vAlign w:val="center"/>
          </w:tcPr>
          <w:p w14:paraId="045F8C06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Pathogen</w:t>
            </w:r>
          </w:p>
        </w:tc>
        <w:tc>
          <w:tcPr>
            <w:tcW w:w="3592" w:type="dxa"/>
            <w:vAlign w:val="center"/>
          </w:tcPr>
          <w:p w14:paraId="608B792D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DNA methylation mechanism</w:t>
            </w:r>
          </w:p>
        </w:tc>
        <w:tc>
          <w:tcPr>
            <w:tcW w:w="1937" w:type="dxa"/>
            <w:vAlign w:val="center"/>
          </w:tcPr>
          <w:p w14:paraId="61B4999F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Plant/pathogen</w:t>
            </w:r>
          </w:p>
        </w:tc>
        <w:tc>
          <w:tcPr>
            <w:tcW w:w="1274" w:type="dxa"/>
            <w:vAlign w:val="center"/>
          </w:tcPr>
          <w:p w14:paraId="687666A4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Immunity phenotype</w:t>
            </w:r>
          </w:p>
        </w:tc>
        <w:tc>
          <w:tcPr>
            <w:tcW w:w="1556" w:type="dxa"/>
            <w:vAlign w:val="center"/>
          </w:tcPr>
          <w:p w14:paraId="214C816A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References</w:t>
            </w:r>
          </w:p>
        </w:tc>
      </w:tr>
      <w:tr w:rsidR="008731CD" w14:paraId="1E9F7CF6" w14:textId="77777777">
        <w:tc>
          <w:tcPr>
            <w:tcW w:w="992" w:type="dxa"/>
            <w:vMerge w:val="restart"/>
            <w:vAlign w:val="center"/>
          </w:tcPr>
          <w:p w14:paraId="13D58A24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2214CEA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52906B92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97BB396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69A5290D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024D455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1FF276FB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33CB3435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159E9FE3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16877A6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1FC2C6EA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E55CDE9" w14:textId="77777777" w:rsidR="008731CD" w:rsidRDefault="008731CD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CC92CE4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Fungi</w:t>
            </w:r>
          </w:p>
        </w:tc>
        <w:tc>
          <w:tcPr>
            <w:tcW w:w="3592" w:type="dxa"/>
            <w:vAlign w:val="center"/>
          </w:tcPr>
          <w:p w14:paraId="1CCBDC5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RdDM pathway positively regulates resistance against necrotrophic fungi presumably by promoting JA signalling</w:t>
            </w:r>
          </w:p>
        </w:tc>
        <w:tc>
          <w:tcPr>
            <w:tcW w:w="1937" w:type="dxa"/>
            <w:vAlign w:val="center"/>
          </w:tcPr>
          <w:p w14:paraId="53D1C073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A. thaliana / B. cinerea</w:t>
            </w:r>
          </w:p>
        </w:tc>
        <w:tc>
          <w:tcPr>
            <w:tcW w:w="1274" w:type="dxa"/>
            <w:vAlign w:val="center"/>
          </w:tcPr>
          <w:p w14:paraId="30D0EA1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59B20CB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al.,2011</w:t>
            </w:r>
          </w:p>
        </w:tc>
      </w:tr>
      <w:tr w:rsidR="008731CD" w14:paraId="2853C4F6" w14:textId="77777777">
        <w:tc>
          <w:tcPr>
            <w:tcW w:w="992" w:type="dxa"/>
            <w:vMerge/>
            <w:vAlign w:val="center"/>
          </w:tcPr>
          <w:p w14:paraId="6789BC16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2A018637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ROS1, DML2, and DML3 positively regulate expression of stress response genes</w:t>
            </w:r>
          </w:p>
        </w:tc>
        <w:tc>
          <w:tcPr>
            <w:tcW w:w="1937" w:type="dxa"/>
            <w:vAlign w:val="center"/>
          </w:tcPr>
          <w:p w14:paraId="1786A6E0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A. thaliana / F. oxysporum</w:t>
            </w:r>
          </w:p>
        </w:tc>
        <w:tc>
          <w:tcPr>
            <w:tcW w:w="1274" w:type="dxa"/>
            <w:vAlign w:val="center"/>
          </w:tcPr>
          <w:p w14:paraId="23BCB06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18C713EA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Le et al.,2014  </w:t>
            </w:r>
          </w:p>
        </w:tc>
      </w:tr>
      <w:tr w:rsidR="008731CD" w14:paraId="764EBBDE" w14:textId="77777777">
        <w:tc>
          <w:tcPr>
            <w:tcW w:w="992" w:type="dxa"/>
            <w:vMerge/>
            <w:vAlign w:val="center"/>
          </w:tcPr>
          <w:p w14:paraId="30B7D9C0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1829601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of the LTR region in the promoter of the rice blast resistance gene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Pit</w:t>
            </w:r>
          </w:p>
        </w:tc>
        <w:tc>
          <w:tcPr>
            <w:tcW w:w="1937" w:type="dxa"/>
            <w:vAlign w:val="center"/>
          </w:tcPr>
          <w:p w14:paraId="0656F9F7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Oryza sativa / Magnaporthe grisea</w:t>
            </w:r>
          </w:p>
        </w:tc>
        <w:tc>
          <w:tcPr>
            <w:tcW w:w="1274" w:type="dxa"/>
            <w:vAlign w:val="center"/>
          </w:tcPr>
          <w:p w14:paraId="51C03C6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56D9A2F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Hayashi et al.,2009</w:t>
            </w:r>
          </w:p>
        </w:tc>
      </w:tr>
      <w:tr w:rsidR="008731CD" w14:paraId="55022E16" w14:textId="77777777">
        <w:tc>
          <w:tcPr>
            <w:tcW w:w="992" w:type="dxa"/>
            <w:vMerge/>
            <w:vAlign w:val="center"/>
          </w:tcPr>
          <w:p w14:paraId="458A2C6F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60D770AB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Silencing of MET1 (MET1 maintains the CG methylation of resistance genes)</w:t>
            </w:r>
          </w:p>
        </w:tc>
        <w:tc>
          <w:tcPr>
            <w:tcW w:w="1937" w:type="dxa"/>
            <w:vAlign w:val="center"/>
          </w:tcPr>
          <w:p w14:paraId="440A41DD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Morus notabilis / B.</w:t>
            </w:r>
            <w:r>
              <w:rPr>
                <w:rFonts w:asciiTheme="majorBidi" w:eastAsia="SimSun" w:hAnsiTheme="majorBidi" w:cstheme="majorBidi" w:hint="eastAsia"/>
                <w:i/>
                <w:iCs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cinerea</w:t>
            </w:r>
          </w:p>
        </w:tc>
        <w:tc>
          <w:tcPr>
            <w:tcW w:w="1274" w:type="dxa"/>
            <w:vAlign w:val="center"/>
          </w:tcPr>
          <w:p w14:paraId="588D8AC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49121025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Xin et al., 2021</w:t>
            </w:r>
          </w:p>
        </w:tc>
      </w:tr>
      <w:tr w:rsidR="008731CD" w14:paraId="07AEEBB3" w14:textId="77777777">
        <w:tc>
          <w:tcPr>
            <w:tcW w:w="992" w:type="dxa"/>
            <w:vMerge/>
            <w:vAlign w:val="center"/>
          </w:tcPr>
          <w:p w14:paraId="4FAEE93E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0436D4E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Hypermethylation in promoters of defence genes </w:t>
            </w:r>
          </w:p>
        </w:tc>
        <w:tc>
          <w:tcPr>
            <w:tcW w:w="1937" w:type="dxa"/>
            <w:vAlign w:val="center"/>
          </w:tcPr>
          <w:p w14:paraId="4692728A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Brassica napus /</w:t>
            </w:r>
          </w:p>
          <w:p w14:paraId="7B41030D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Leptosphaeria maculans</w:t>
            </w:r>
          </w:p>
        </w:tc>
        <w:tc>
          <w:tcPr>
            <w:tcW w:w="1274" w:type="dxa"/>
            <w:vAlign w:val="center"/>
          </w:tcPr>
          <w:p w14:paraId="081F11A5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2AF4AD73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Tirnaz et al., 2020</w:t>
            </w:r>
          </w:p>
        </w:tc>
      </w:tr>
      <w:tr w:rsidR="008731CD" w14:paraId="2DB56FA7" w14:textId="77777777">
        <w:tc>
          <w:tcPr>
            <w:tcW w:w="992" w:type="dxa"/>
            <w:vMerge/>
            <w:vAlign w:val="center"/>
          </w:tcPr>
          <w:p w14:paraId="5C94DA1D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55806B31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Downregulation of DME leads to increased susceptibility to fungal pathogens</w:t>
            </w:r>
          </w:p>
        </w:tc>
        <w:tc>
          <w:tcPr>
            <w:tcW w:w="1937" w:type="dxa"/>
            <w:vAlign w:val="center"/>
          </w:tcPr>
          <w:p w14:paraId="3A9D1CC7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A. thaliana /V. dahliae</w:t>
            </w:r>
          </w:p>
        </w:tc>
        <w:tc>
          <w:tcPr>
            <w:tcW w:w="1274" w:type="dxa"/>
            <w:vAlign w:val="center"/>
          </w:tcPr>
          <w:p w14:paraId="3865E04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375AB3E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Zeng et al., 2021</w:t>
            </w:r>
          </w:p>
        </w:tc>
      </w:tr>
      <w:tr w:rsidR="008731CD" w14:paraId="69B91D18" w14:textId="77777777">
        <w:tc>
          <w:tcPr>
            <w:tcW w:w="992" w:type="dxa"/>
            <w:vMerge/>
            <w:vAlign w:val="center"/>
          </w:tcPr>
          <w:p w14:paraId="24892A5E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3D2B23A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Hypermethylation of transposable elements regions</w:t>
            </w:r>
          </w:p>
        </w:tc>
        <w:tc>
          <w:tcPr>
            <w:tcW w:w="1937" w:type="dxa"/>
            <w:vAlign w:val="center"/>
          </w:tcPr>
          <w:p w14:paraId="36E09467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Oryza sativa / M. oryzae</w:t>
            </w:r>
          </w:p>
        </w:tc>
        <w:tc>
          <w:tcPr>
            <w:tcW w:w="1274" w:type="dxa"/>
            <w:vAlign w:val="center"/>
          </w:tcPr>
          <w:p w14:paraId="60AA06D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75D439C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Cui et al., 2021</w:t>
            </w:r>
          </w:p>
        </w:tc>
      </w:tr>
      <w:tr w:rsidR="008731CD" w14:paraId="674FDB4C" w14:textId="77777777">
        <w:tc>
          <w:tcPr>
            <w:tcW w:w="992" w:type="dxa"/>
            <w:vMerge/>
            <w:vAlign w:val="center"/>
          </w:tcPr>
          <w:p w14:paraId="7D9E1C86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35B935B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Differential methylation of a set of R genes</w:t>
            </w:r>
          </w:p>
        </w:tc>
        <w:tc>
          <w:tcPr>
            <w:tcW w:w="1937" w:type="dxa"/>
            <w:vAlign w:val="center"/>
          </w:tcPr>
          <w:p w14:paraId="1D4EA30C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514873">
              <w:rPr>
                <w:rFonts w:asciiTheme="majorBidi" w:hAnsiTheme="majorBidi" w:cstheme="majorBidi"/>
                <w:sz w:val="16"/>
                <w:szCs w:val="16"/>
              </w:rPr>
              <w:t>Melon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(Cucumis melo </w:t>
            </w:r>
            <w:r w:rsidRPr="00514873">
              <w:rPr>
                <w:rFonts w:asciiTheme="majorBidi" w:hAnsiTheme="majorBidi" w:cstheme="majorBidi"/>
                <w:sz w:val="16"/>
                <w:szCs w:val="16"/>
              </w:rPr>
              <w:t>L.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) / Podosphaera xanthii</w:t>
            </w:r>
          </w:p>
        </w:tc>
        <w:tc>
          <w:tcPr>
            <w:tcW w:w="1274" w:type="dxa"/>
            <w:vAlign w:val="center"/>
          </w:tcPr>
          <w:p w14:paraId="6CD1B69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445761C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Wang et al., 2021</w:t>
            </w:r>
          </w:p>
        </w:tc>
      </w:tr>
      <w:tr w:rsidR="008731CD" w14:paraId="5CE2CA08" w14:textId="77777777">
        <w:tc>
          <w:tcPr>
            <w:tcW w:w="992" w:type="dxa"/>
            <w:vMerge/>
            <w:vAlign w:val="center"/>
          </w:tcPr>
          <w:p w14:paraId="7D9CED0A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083E9132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Hypermethylation at the DFR and RUBY promoters (genes involved in the anthocyanin biosynthetic pathway)</w:t>
            </w:r>
          </w:p>
        </w:tc>
        <w:tc>
          <w:tcPr>
            <w:tcW w:w="1937" w:type="dxa"/>
            <w:vAlign w:val="center"/>
          </w:tcPr>
          <w:p w14:paraId="6354E8AE" w14:textId="4738FA80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514873">
              <w:rPr>
                <w:rFonts w:asciiTheme="majorBidi" w:hAnsiTheme="majorBidi" w:cstheme="majorBidi"/>
                <w:sz w:val="16"/>
                <w:szCs w:val="16"/>
              </w:rPr>
              <w:t xml:space="preserve">Blood </w:t>
            </w:r>
            <w:r>
              <w:rPr>
                <w:rFonts w:asciiTheme="majorBidi" w:eastAsia="SimSun" w:hAnsiTheme="majorBidi" w:cstheme="majorBidi" w:hint="eastAsia"/>
                <w:sz w:val="16"/>
                <w:szCs w:val="16"/>
                <w:lang w:val="en-US" w:eastAsia="zh-CN"/>
              </w:rPr>
              <w:t>o</w:t>
            </w:r>
            <w:r w:rsidRPr="00514873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(Citrus sinensis </w:t>
            </w:r>
            <w:r w:rsidRPr="00514873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. (Osbeck)) /</w:t>
            </w:r>
          </w:p>
          <w:p w14:paraId="4B6F39EC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Penicillium digitatum</w:t>
            </w:r>
          </w:p>
        </w:tc>
        <w:tc>
          <w:tcPr>
            <w:tcW w:w="1274" w:type="dxa"/>
            <w:vAlign w:val="center"/>
          </w:tcPr>
          <w:p w14:paraId="050DDCF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7FE3AFF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Sicilia et al., 2021</w:t>
            </w:r>
          </w:p>
        </w:tc>
      </w:tr>
      <w:tr w:rsidR="008731CD" w14:paraId="1671BDBA" w14:textId="77777777">
        <w:tc>
          <w:tcPr>
            <w:tcW w:w="992" w:type="dxa"/>
            <w:vMerge/>
            <w:vAlign w:val="center"/>
          </w:tcPr>
          <w:p w14:paraId="036D8860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1C157AD5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Differentially methylated regions with CHH-hypomethylated</w:t>
            </w:r>
          </w:p>
        </w:tc>
        <w:tc>
          <w:tcPr>
            <w:tcW w:w="1937" w:type="dxa"/>
            <w:vAlign w:val="center"/>
          </w:tcPr>
          <w:p w14:paraId="7F15FA71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Aegilops tauschii /</w:t>
            </w:r>
          </w:p>
          <w:p w14:paraId="0935C2AE" w14:textId="77777777" w:rsidR="008731CD" w:rsidRDefault="0000000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Blumeria graminis</w:t>
            </w:r>
            <w:r w:rsidRPr="00514873">
              <w:rPr>
                <w:rFonts w:asciiTheme="majorBidi" w:hAnsiTheme="majorBidi" w:cstheme="majorBidi"/>
                <w:sz w:val="16"/>
                <w:szCs w:val="16"/>
              </w:rPr>
              <w:t xml:space="preserve"> f. sp.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tritici (Bgt)</w:t>
            </w:r>
          </w:p>
        </w:tc>
        <w:tc>
          <w:tcPr>
            <w:tcW w:w="1274" w:type="dxa"/>
            <w:vAlign w:val="center"/>
          </w:tcPr>
          <w:p w14:paraId="6E7A49D3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646F21D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Geng et al., 2019</w:t>
            </w:r>
          </w:p>
        </w:tc>
      </w:tr>
      <w:tr w:rsidR="008731CD" w14:paraId="78F77672" w14:textId="77777777">
        <w:tc>
          <w:tcPr>
            <w:tcW w:w="992" w:type="dxa"/>
            <w:vMerge/>
            <w:vAlign w:val="center"/>
          </w:tcPr>
          <w:p w14:paraId="248837C7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18D0916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ago4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suppresses of JA -dependent defence</w:t>
            </w:r>
          </w:p>
        </w:tc>
        <w:tc>
          <w:tcPr>
            <w:tcW w:w="1937" w:type="dxa"/>
            <w:vAlign w:val="center"/>
          </w:tcPr>
          <w:p w14:paraId="1466FA88" w14:textId="6FEEED5E" w:rsidR="008731CD" w:rsidRDefault="00000000" w:rsidP="00514873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B. cinerea</w:t>
            </w:r>
          </w:p>
        </w:tc>
        <w:tc>
          <w:tcPr>
            <w:tcW w:w="1274" w:type="dxa"/>
            <w:vAlign w:val="center"/>
          </w:tcPr>
          <w:p w14:paraId="4DA5EC47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71663476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</w:t>
            </w:r>
          </w:p>
        </w:tc>
      </w:tr>
      <w:tr w:rsidR="008731CD" w14:paraId="1133891D" w14:textId="77777777">
        <w:tc>
          <w:tcPr>
            <w:tcW w:w="992" w:type="dxa"/>
            <w:vMerge/>
            <w:vAlign w:val="center"/>
          </w:tcPr>
          <w:p w14:paraId="59B8C651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209CF90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cmt3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enhances SA-dependent response</w:t>
            </w:r>
          </w:p>
        </w:tc>
        <w:tc>
          <w:tcPr>
            <w:tcW w:w="1937" w:type="dxa"/>
            <w:vAlign w:val="center"/>
          </w:tcPr>
          <w:p w14:paraId="410B4994" w14:textId="3C152C6E" w:rsidR="008731CD" w:rsidRDefault="00000000" w:rsidP="00514873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Hpa</w:t>
            </w:r>
          </w:p>
        </w:tc>
        <w:tc>
          <w:tcPr>
            <w:tcW w:w="1274" w:type="dxa"/>
            <w:vAlign w:val="center"/>
          </w:tcPr>
          <w:p w14:paraId="69129525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08F0993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Sanchez et al., 2016</w:t>
            </w:r>
          </w:p>
        </w:tc>
      </w:tr>
      <w:tr w:rsidR="008731CD" w14:paraId="11AE9822" w14:textId="77777777">
        <w:tc>
          <w:tcPr>
            <w:tcW w:w="992" w:type="dxa"/>
            <w:vMerge/>
            <w:vAlign w:val="center"/>
          </w:tcPr>
          <w:p w14:paraId="011FC9BF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3B8B5E4F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met1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enhances SA-dependent response</w:t>
            </w:r>
          </w:p>
        </w:tc>
        <w:tc>
          <w:tcPr>
            <w:tcW w:w="1937" w:type="dxa"/>
            <w:vAlign w:val="center"/>
          </w:tcPr>
          <w:p w14:paraId="6CADBFD5" w14:textId="1356466A" w:rsidR="008731CD" w:rsidRDefault="00000000" w:rsidP="00514873">
            <w:pPr>
              <w:numPr>
                <w:ilvl w:val="0"/>
                <w:numId w:val="3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Pst &amp; Pst</w:t>
            </w:r>
          </w:p>
        </w:tc>
        <w:tc>
          <w:tcPr>
            <w:tcW w:w="1274" w:type="dxa"/>
            <w:vAlign w:val="center"/>
          </w:tcPr>
          <w:p w14:paraId="60A5507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410C5891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Yu et al., 2013</w:t>
            </w:r>
          </w:p>
        </w:tc>
      </w:tr>
      <w:tr w:rsidR="008731CD" w14:paraId="6E2E5913" w14:textId="77777777">
        <w:tc>
          <w:tcPr>
            <w:tcW w:w="992" w:type="dxa"/>
            <w:vMerge/>
            <w:vAlign w:val="center"/>
          </w:tcPr>
          <w:p w14:paraId="720F0194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44BC7191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Hypomethylation in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ros1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enhances JA-dependent response</w:t>
            </w:r>
          </w:p>
        </w:tc>
        <w:tc>
          <w:tcPr>
            <w:tcW w:w="1937" w:type="dxa"/>
            <w:vAlign w:val="center"/>
          </w:tcPr>
          <w:p w14:paraId="0C5DA99C" w14:textId="6FD80ACD" w:rsidR="008731CD" w:rsidRDefault="00000000" w:rsidP="00514873">
            <w:pPr>
              <w:numPr>
                <w:ilvl w:val="0"/>
                <w:numId w:val="4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Plectosphaerella cucumerina</w:t>
            </w:r>
          </w:p>
        </w:tc>
        <w:tc>
          <w:tcPr>
            <w:tcW w:w="1274" w:type="dxa"/>
            <w:vAlign w:val="center"/>
          </w:tcPr>
          <w:p w14:paraId="004088A9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46C77DB5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Sanchez et al., 2016</w:t>
            </w:r>
          </w:p>
        </w:tc>
      </w:tr>
      <w:tr w:rsidR="008731CD" w14:paraId="0BA06D6D" w14:textId="77777777">
        <w:tc>
          <w:tcPr>
            <w:tcW w:w="992" w:type="dxa"/>
            <w:vMerge/>
            <w:vAlign w:val="center"/>
          </w:tcPr>
          <w:p w14:paraId="031C31B5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6BAB8D5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rdr6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loses transfer siRNAs that target pathogen genes</w:t>
            </w:r>
          </w:p>
        </w:tc>
        <w:tc>
          <w:tcPr>
            <w:tcW w:w="1937" w:type="dxa"/>
            <w:vAlign w:val="center"/>
          </w:tcPr>
          <w:p w14:paraId="2F5A69B3" w14:textId="4E234073" w:rsidR="008731CD" w:rsidRDefault="00000000" w:rsidP="00514873">
            <w:pPr>
              <w:numPr>
                <w:ilvl w:val="0"/>
                <w:numId w:val="5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thaliana/ Bc </w:t>
            </w:r>
          </w:p>
        </w:tc>
        <w:tc>
          <w:tcPr>
            <w:tcW w:w="1274" w:type="dxa"/>
            <w:vAlign w:val="center"/>
          </w:tcPr>
          <w:p w14:paraId="3A95C4A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1EA71A16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Cai et al., 2018</w:t>
            </w:r>
          </w:p>
        </w:tc>
      </w:tr>
      <w:tr w:rsidR="008731CD" w14:paraId="47A714A0" w14:textId="77777777">
        <w:tc>
          <w:tcPr>
            <w:tcW w:w="992" w:type="dxa"/>
            <w:vMerge/>
            <w:vAlign w:val="center"/>
          </w:tcPr>
          <w:p w14:paraId="2492A140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2840E60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nrpe1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suppresses JA -dependent response</w:t>
            </w:r>
          </w:p>
        </w:tc>
        <w:tc>
          <w:tcPr>
            <w:tcW w:w="1937" w:type="dxa"/>
            <w:vAlign w:val="center"/>
          </w:tcPr>
          <w:p w14:paraId="5CC447FE" w14:textId="396C5DDC" w:rsidR="008731CD" w:rsidRDefault="00000000" w:rsidP="00514873">
            <w:pPr>
              <w:numPr>
                <w:ilvl w:val="0"/>
                <w:numId w:val="6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thaliana/ Pc and Bc </w:t>
            </w:r>
          </w:p>
        </w:tc>
        <w:tc>
          <w:tcPr>
            <w:tcW w:w="1274" w:type="dxa"/>
            <w:vAlign w:val="center"/>
          </w:tcPr>
          <w:p w14:paraId="710ACBB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46370427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Lopez et al., </w:t>
            </w:r>
            <w:proofErr w:type="gramStart"/>
            <w:r>
              <w:rPr>
                <w:rFonts w:asciiTheme="majorBidi" w:hAnsiTheme="majorBidi" w:cstheme="majorBidi"/>
                <w:sz w:val="16"/>
                <w:szCs w:val="16"/>
              </w:rPr>
              <w:t>2011;  Lopez</w:t>
            </w:r>
            <w:proofErr w:type="gramEnd"/>
            <w:r>
              <w:rPr>
                <w:rFonts w:asciiTheme="majorBidi" w:hAnsiTheme="majorBidi" w:cstheme="majorBidi"/>
                <w:sz w:val="16"/>
                <w:szCs w:val="16"/>
              </w:rPr>
              <w:t xml:space="preserve"> Sanchez et al., 2016</w:t>
            </w:r>
          </w:p>
        </w:tc>
      </w:tr>
      <w:tr w:rsidR="008731CD" w14:paraId="37D5F4B3" w14:textId="77777777">
        <w:tc>
          <w:tcPr>
            <w:tcW w:w="992" w:type="dxa"/>
            <w:vMerge/>
            <w:vAlign w:val="center"/>
          </w:tcPr>
          <w:p w14:paraId="6FCF0A66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74CEE7CF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nrpd2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suppresses JA-dependent response</w:t>
            </w:r>
          </w:p>
        </w:tc>
        <w:tc>
          <w:tcPr>
            <w:tcW w:w="1937" w:type="dxa"/>
            <w:vAlign w:val="center"/>
          </w:tcPr>
          <w:p w14:paraId="409FDAAC" w14:textId="0D5991D9" w:rsidR="008731CD" w:rsidRDefault="00000000" w:rsidP="00514873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thaliana/ Pc and Bc </w:t>
            </w:r>
          </w:p>
        </w:tc>
        <w:tc>
          <w:tcPr>
            <w:tcW w:w="1274" w:type="dxa"/>
            <w:vAlign w:val="center"/>
          </w:tcPr>
          <w:p w14:paraId="4F94D6AB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1BFC4453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</w:t>
            </w:r>
          </w:p>
        </w:tc>
      </w:tr>
      <w:tr w:rsidR="008731CD" w14:paraId="3D0022E6" w14:textId="77777777">
        <w:tc>
          <w:tcPr>
            <w:tcW w:w="992" w:type="dxa"/>
            <w:vMerge/>
            <w:vAlign w:val="center"/>
          </w:tcPr>
          <w:p w14:paraId="26195AFC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35C434D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dcl2/3/4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leads to transfer failure of siRNAs that target pathogen related genes</w:t>
            </w:r>
          </w:p>
        </w:tc>
        <w:tc>
          <w:tcPr>
            <w:tcW w:w="1937" w:type="dxa"/>
            <w:vAlign w:val="center"/>
          </w:tcPr>
          <w:p w14:paraId="432CC86B" w14:textId="403CEBE7" w:rsidR="008731CD" w:rsidRDefault="00000000" w:rsidP="00514873">
            <w:pPr>
              <w:numPr>
                <w:ilvl w:val="0"/>
                <w:numId w:val="8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thaliana/ Bc </w:t>
            </w:r>
          </w:p>
        </w:tc>
        <w:tc>
          <w:tcPr>
            <w:tcW w:w="1274" w:type="dxa"/>
            <w:vAlign w:val="center"/>
          </w:tcPr>
          <w:p w14:paraId="28118B5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441A38C1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Cai et al., 2018</w:t>
            </w:r>
          </w:p>
        </w:tc>
      </w:tr>
      <w:tr w:rsidR="008731CD" w14:paraId="7449BF44" w14:textId="77777777">
        <w:tc>
          <w:tcPr>
            <w:tcW w:w="992" w:type="dxa"/>
            <w:vMerge/>
            <w:vAlign w:val="center"/>
          </w:tcPr>
          <w:p w14:paraId="4947A2C7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5C3C823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drd1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suppresses JA-dependent response</w:t>
            </w:r>
          </w:p>
        </w:tc>
        <w:tc>
          <w:tcPr>
            <w:tcW w:w="1937" w:type="dxa"/>
            <w:vAlign w:val="center"/>
          </w:tcPr>
          <w:p w14:paraId="185D1EC0" w14:textId="7C32CDFD" w:rsidR="008731CD" w:rsidRDefault="00000000" w:rsidP="00514873">
            <w:pPr>
              <w:numPr>
                <w:ilvl w:val="0"/>
                <w:numId w:val="9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Pc</w:t>
            </w:r>
          </w:p>
        </w:tc>
        <w:tc>
          <w:tcPr>
            <w:tcW w:w="1274" w:type="dxa"/>
            <w:vAlign w:val="center"/>
          </w:tcPr>
          <w:p w14:paraId="47717541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66AC1FB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</w:t>
            </w:r>
          </w:p>
        </w:tc>
      </w:tr>
      <w:tr w:rsidR="008731CD" w14:paraId="208A8077" w14:textId="77777777">
        <w:tc>
          <w:tcPr>
            <w:tcW w:w="992" w:type="dxa"/>
            <w:vMerge/>
            <w:vAlign w:val="center"/>
          </w:tcPr>
          <w:p w14:paraId="4C3B8359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222AB989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rdr2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suppresses JA-dependent response</w:t>
            </w:r>
          </w:p>
        </w:tc>
        <w:tc>
          <w:tcPr>
            <w:tcW w:w="1937" w:type="dxa"/>
            <w:vAlign w:val="center"/>
          </w:tcPr>
          <w:p w14:paraId="5C1C8C31" w14:textId="44155148" w:rsidR="008731CD" w:rsidRDefault="00000000" w:rsidP="00514873">
            <w:pPr>
              <w:numPr>
                <w:ilvl w:val="0"/>
                <w:numId w:val="10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thalina/ Pc</w:t>
            </w:r>
          </w:p>
        </w:tc>
        <w:tc>
          <w:tcPr>
            <w:tcW w:w="1274" w:type="dxa"/>
            <w:vAlign w:val="center"/>
          </w:tcPr>
          <w:p w14:paraId="4E3B2252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4DA07A8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</w:t>
            </w:r>
          </w:p>
        </w:tc>
      </w:tr>
      <w:tr w:rsidR="008731CD" w14:paraId="5628C8F8" w14:textId="77777777">
        <w:tc>
          <w:tcPr>
            <w:tcW w:w="992" w:type="dxa"/>
            <w:vMerge/>
            <w:vAlign w:val="center"/>
          </w:tcPr>
          <w:p w14:paraId="7C6F17C3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4CEF9F6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drm1/drm2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suppress JA -dependent response</w:t>
            </w:r>
          </w:p>
        </w:tc>
        <w:tc>
          <w:tcPr>
            <w:tcW w:w="1937" w:type="dxa"/>
            <w:vAlign w:val="center"/>
          </w:tcPr>
          <w:p w14:paraId="1FC42816" w14:textId="00DC0011" w:rsidR="008731CD" w:rsidRDefault="00000000" w:rsidP="00514873">
            <w:pPr>
              <w:numPr>
                <w:ilvl w:val="0"/>
                <w:numId w:val="11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 / Pc</w:t>
            </w:r>
          </w:p>
        </w:tc>
        <w:tc>
          <w:tcPr>
            <w:tcW w:w="1274" w:type="dxa"/>
            <w:vAlign w:val="center"/>
          </w:tcPr>
          <w:p w14:paraId="4342A7C3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6F2AC086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Yu et al., 2013 </w:t>
            </w:r>
          </w:p>
        </w:tc>
      </w:tr>
      <w:tr w:rsidR="008731CD" w14:paraId="024E19C3" w14:textId="77777777">
        <w:tc>
          <w:tcPr>
            <w:tcW w:w="992" w:type="dxa"/>
            <w:vMerge/>
            <w:vAlign w:val="center"/>
          </w:tcPr>
          <w:p w14:paraId="75B2A855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61F0C7B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rdr1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enhances SA-dependent response</w:t>
            </w:r>
          </w:p>
        </w:tc>
        <w:tc>
          <w:tcPr>
            <w:tcW w:w="1937" w:type="dxa"/>
            <w:vAlign w:val="center"/>
          </w:tcPr>
          <w:p w14:paraId="6D2A23C6" w14:textId="12FB358A" w:rsidR="008731CD" w:rsidRDefault="00000000" w:rsidP="00514873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thaliana/ P. cucumerina </w:t>
            </w:r>
          </w:p>
        </w:tc>
        <w:tc>
          <w:tcPr>
            <w:tcW w:w="1274" w:type="dxa"/>
            <w:vAlign w:val="center"/>
          </w:tcPr>
          <w:p w14:paraId="04AB458A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6" w:type="dxa"/>
            <w:vAlign w:val="center"/>
          </w:tcPr>
          <w:p w14:paraId="3997741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</w:t>
            </w:r>
          </w:p>
        </w:tc>
      </w:tr>
      <w:tr w:rsidR="008731CD" w14:paraId="71B4772D" w14:textId="77777777">
        <w:tc>
          <w:tcPr>
            <w:tcW w:w="992" w:type="dxa"/>
            <w:vAlign w:val="center"/>
          </w:tcPr>
          <w:p w14:paraId="093EFB2D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Oomycetes</w:t>
            </w:r>
          </w:p>
        </w:tc>
        <w:tc>
          <w:tcPr>
            <w:tcW w:w="3592" w:type="dxa"/>
            <w:vAlign w:val="center"/>
          </w:tcPr>
          <w:p w14:paraId="50369CB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cmt3, drd1</w:t>
            </w:r>
            <w:r>
              <w:rPr>
                <w:rFonts w:asciiTheme="majorBidi" w:eastAsia="SimSun" w:hAnsiTheme="majorBidi" w:cstheme="majorBidi" w:hint="eastAsia"/>
                <w:i/>
                <w:iCs/>
                <w:sz w:val="16"/>
                <w:szCs w:val="16"/>
                <w:lang w:val="en-US" w:eastAsia="zh-CN"/>
              </w:rPr>
              <w:t>,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nrpe1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 SA-dependent response</w:t>
            </w:r>
          </w:p>
        </w:tc>
        <w:tc>
          <w:tcPr>
            <w:tcW w:w="1937" w:type="dxa"/>
            <w:vAlign w:val="center"/>
          </w:tcPr>
          <w:p w14:paraId="5A268E6E" w14:textId="4A41ACCD" w:rsidR="008731CD" w:rsidRDefault="00000000" w:rsidP="00514873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Hyalonospora arabidopsis (Hpa)</w:t>
            </w:r>
          </w:p>
        </w:tc>
        <w:tc>
          <w:tcPr>
            <w:tcW w:w="1274" w:type="dxa"/>
            <w:vAlign w:val="center"/>
          </w:tcPr>
          <w:p w14:paraId="1432F5D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020E17D2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Sanchez et al., 2016</w:t>
            </w:r>
          </w:p>
        </w:tc>
      </w:tr>
      <w:tr w:rsidR="008731CD" w14:paraId="132CC02D" w14:textId="77777777">
        <w:tc>
          <w:tcPr>
            <w:tcW w:w="992" w:type="dxa"/>
            <w:vMerge w:val="restart"/>
            <w:vAlign w:val="center"/>
          </w:tcPr>
          <w:p w14:paraId="334CF9C7" w14:textId="77777777" w:rsidR="008731CD" w:rsidRDefault="0000000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Bacteria</w:t>
            </w:r>
          </w:p>
        </w:tc>
        <w:tc>
          <w:tcPr>
            <w:tcW w:w="3592" w:type="dxa"/>
            <w:vAlign w:val="center"/>
          </w:tcPr>
          <w:p w14:paraId="2B171E7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Hypermethylation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ros1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at the promoters of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RMG1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RLP43</w:t>
            </w:r>
          </w:p>
        </w:tc>
        <w:tc>
          <w:tcPr>
            <w:tcW w:w="1937" w:type="dxa"/>
            <w:vAlign w:val="center"/>
          </w:tcPr>
          <w:p w14:paraId="30F76BAE" w14:textId="548F0642" w:rsidR="008731CD" w:rsidRDefault="00000000" w:rsidP="00514873">
            <w:pPr>
              <w:numPr>
                <w:ilvl w:val="0"/>
                <w:numId w:val="14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Pst</w:t>
            </w:r>
          </w:p>
        </w:tc>
        <w:tc>
          <w:tcPr>
            <w:tcW w:w="1274" w:type="dxa"/>
            <w:vAlign w:val="center"/>
          </w:tcPr>
          <w:p w14:paraId="1EEAC682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2FCE29F7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Yu et al., 2013; Halter et al., 2021</w:t>
            </w:r>
          </w:p>
        </w:tc>
      </w:tr>
      <w:tr w:rsidR="008731CD" w14:paraId="748D836E" w14:textId="77777777">
        <w:tc>
          <w:tcPr>
            <w:tcW w:w="992" w:type="dxa"/>
            <w:vMerge/>
            <w:vAlign w:val="center"/>
          </w:tcPr>
          <w:p w14:paraId="36D530DA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2BBFDF02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ago4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promotes RDR2 and DCL3 independent susceptibility</w:t>
            </w:r>
          </w:p>
        </w:tc>
        <w:tc>
          <w:tcPr>
            <w:tcW w:w="1937" w:type="dxa"/>
            <w:vAlign w:val="center"/>
          </w:tcPr>
          <w:p w14:paraId="7ADB11F6" w14:textId="0DEFE2AD" w:rsidR="008731CD" w:rsidRDefault="00000000" w:rsidP="00514873">
            <w:pPr>
              <w:numPr>
                <w:ilvl w:val="0"/>
                <w:numId w:val="15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Pst</w:t>
            </w:r>
          </w:p>
        </w:tc>
        <w:tc>
          <w:tcPr>
            <w:tcW w:w="1274" w:type="dxa"/>
            <w:vAlign w:val="center"/>
          </w:tcPr>
          <w:p w14:paraId="414CFA16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Susceptible</w:t>
            </w:r>
          </w:p>
        </w:tc>
        <w:tc>
          <w:tcPr>
            <w:tcW w:w="1556" w:type="dxa"/>
            <w:vAlign w:val="center"/>
          </w:tcPr>
          <w:p w14:paraId="4122F13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Agorio and Vera, 2007</w:t>
            </w:r>
          </w:p>
        </w:tc>
      </w:tr>
      <w:tr w:rsidR="008731CD" w14:paraId="4052F34B" w14:textId="77777777">
        <w:tc>
          <w:tcPr>
            <w:tcW w:w="992" w:type="dxa"/>
            <w:vMerge/>
            <w:vAlign w:val="center"/>
          </w:tcPr>
          <w:p w14:paraId="73F7FDBB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0BCDE8FF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drd1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enhances SA-dependent response</w:t>
            </w:r>
          </w:p>
        </w:tc>
        <w:tc>
          <w:tcPr>
            <w:tcW w:w="1937" w:type="dxa"/>
            <w:vAlign w:val="center"/>
          </w:tcPr>
          <w:p w14:paraId="75702E10" w14:textId="46D7D260" w:rsidR="008731CD" w:rsidRDefault="00000000" w:rsidP="00514873">
            <w:pPr>
              <w:numPr>
                <w:ilvl w:val="0"/>
                <w:numId w:val="16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Pst</w:t>
            </w:r>
          </w:p>
        </w:tc>
        <w:tc>
          <w:tcPr>
            <w:tcW w:w="1274" w:type="dxa"/>
            <w:vAlign w:val="center"/>
          </w:tcPr>
          <w:p w14:paraId="6BA41B3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3A00E2E9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Dowen et al., </w:t>
            </w:r>
            <w:proofErr w:type="gramStart"/>
            <w:r>
              <w:rPr>
                <w:rFonts w:asciiTheme="majorBidi" w:hAnsiTheme="majorBidi" w:cstheme="majorBidi"/>
                <w:sz w:val="16"/>
                <w:szCs w:val="16"/>
              </w:rPr>
              <w:t>2012;</w:t>
            </w:r>
            <w:proofErr w:type="gramEnd"/>
          </w:p>
          <w:p w14:paraId="11B3F88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Sanchez et al., 2016</w:t>
            </w:r>
          </w:p>
        </w:tc>
      </w:tr>
      <w:tr w:rsidR="008731CD" w14:paraId="4EE1D7B2" w14:textId="77777777">
        <w:tc>
          <w:tcPr>
            <w:tcW w:w="992" w:type="dxa"/>
            <w:vMerge/>
            <w:vAlign w:val="center"/>
          </w:tcPr>
          <w:p w14:paraId="47798712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1C3F99C7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rdr2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enhances SA-dependent response</w:t>
            </w:r>
          </w:p>
        </w:tc>
        <w:tc>
          <w:tcPr>
            <w:tcW w:w="1937" w:type="dxa"/>
            <w:vAlign w:val="center"/>
          </w:tcPr>
          <w:p w14:paraId="4EFB31C5" w14:textId="60AE8A4F" w:rsidR="008731CD" w:rsidRDefault="00000000" w:rsidP="00514873">
            <w:pPr>
              <w:numPr>
                <w:ilvl w:val="0"/>
                <w:numId w:val="17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Pst</w:t>
            </w:r>
          </w:p>
        </w:tc>
        <w:tc>
          <w:tcPr>
            <w:tcW w:w="1274" w:type="dxa"/>
            <w:vAlign w:val="center"/>
          </w:tcPr>
          <w:p w14:paraId="15B1418A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4C2BFEF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Dowen et al., 2012</w:t>
            </w:r>
          </w:p>
        </w:tc>
      </w:tr>
      <w:tr w:rsidR="008731CD" w14:paraId="6422CE48" w14:textId="77777777">
        <w:tc>
          <w:tcPr>
            <w:tcW w:w="992" w:type="dxa"/>
            <w:vMerge/>
            <w:vAlign w:val="center"/>
          </w:tcPr>
          <w:p w14:paraId="56960186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53C54539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rdr6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exhibits RPS2-mediated ETI</w:t>
            </w:r>
          </w:p>
        </w:tc>
        <w:tc>
          <w:tcPr>
            <w:tcW w:w="1937" w:type="dxa"/>
            <w:vAlign w:val="center"/>
          </w:tcPr>
          <w:p w14:paraId="51FD89DA" w14:textId="22FCE5F2" w:rsidR="008731CD" w:rsidRDefault="00000000" w:rsidP="00514873">
            <w:pPr>
              <w:numPr>
                <w:ilvl w:val="0"/>
                <w:numId w:val="18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thaliana/ Pst </w:t>
            </w:r>
          </w:p>
        </w:tc>
        <w:tc>
          <w:tcPr>
            <w:tcW w:w="1274" w:type="dxa"/>
            <w:vAlign w:val="center"/>
          </w:tcPr>
          <w:p w14:paraId="069E4A7D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019C4C2B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Katiyar-Agarwal et al., 2006</w:t>
            </w:r>
          </w:p>
        </w:tc>
      </w:tr>
      <w:tr w:rsidR="008731CD" w14:paraId="70C47037" w14:textId="77777777">
        <w:tc>
          <w:tcPr>
            <w:tcW w:w="992" w:type="dxa"/>
            <w:vMerge/>
            <w:vAlign w:val="center"/>
          </w:tcPr>
          <w:p w14:paraId="265096FF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7CBD76B8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Hypomethylation in rdr6 (unknown defence response)</w:t>
            </w:r>
          </w:p>
        </w:tc>
        <w:tc>
          <w:tcPr>
            <w:tcW w:w="1937" w:type="dxa"/>
            <w:vAlign w:val="center"/>
          </w:tcPr>
          <w:p w14:paraId="0B8078FE" w14:textId="5B0E484F" w:rsidR="008731CD" w:rsidRDefault="00000000" w:rsidP="00514873">
            <w:pPr>
              <w:numPr>
                <w:ilvl w:val="0"/>
                <w:numId w:val="19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Pst</w:t>
            </w:r>
          </w:p>
        </w:tc>
        <w:tc>
          <w:tcPr>
            <w:tcW w:w="1274" w:type="dxa"/>
            <w:vAlign w:val="center"/>
          </w:tcPr>
          <w:p w14:paraId="5AAE5D65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6E41E393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Dowen et al., 2012</w:t>
            </w:r>
          </w:p>
        </w:tc>
      </w:tr>
      <w:tr w:rsidR="008731CD" w14:paraId="1FDF5201" w14:textId="77777777">
        <w:tc>
          <w:tcPr>
            <w:tcW w:w="992" w:type="dxa"/>
            <w:vMerge/>
            <w:vAlign w:val="center"/>
          </w:tcPr>
          <w:p w14:paraId="3B11EAE3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396CD883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nrpe1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enhances SA-dependent response</w:t>
            </w:r>
          </w:p>
        </w:tc>
        <w:tc>
          <w:tcPr>
            <w:tcW w:w="1937" w:type="dxa"/>
            <w:vAlign w:val="center"/>
          </w:tcPr>
          <w:p w14:paraId="1FBAEF76" w14:textId="4DF8DEE8" w:rsidR="008731CD" w:rsidRDefault="00000000" w:rsidP="00514873">
            <w:pPr>
              <w:numPr>
                <w:ilvl w:val="0"/>
                <w:numId w:val="20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 / Pst</w:t>
            </w:r>
          </w:p>
        </w:tc>
        <w:tc>
          <w:tcPr>
            <w:tcW w:w="1274" w:type="dxa"/>
            <w:vAlign w:val="center"/>
          </w:tcPr>
          <w:p w14:paraId="61813B7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35D3F809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</w:t>
            </w:r>
          </w:p>
        </w:tc>
      </w:tr>
      <w:tr w:rsidR="008731CD" w14:paraId="788CD1D4" w14:textId="77777777">
        <w:tc>
          <w:tcPr>
            <w:tcW w:w="992" w:type="dxa"/>
            <w:vMerge/>
            <w:vAlign w:val="center"/>
          </w:tcPr>
          <w:p w14:paraId="63111FA0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22F7367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nrpd2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enhances SA-dependent response</w:t>
            </w:r>
          </w:p>
        </w:tc>
        <w:tc>
          <w:tcPr>
            <w:tcW w:w="1937" w:type="dxa"/>
            <w:vAlign w:val="center"/>
          </w:tcPr>
          <w:p w14:paraId="00F01D17" w14:textId="5F8C4CCF" w:rsidR="008731CD" w:rsidRDefault="00000000" w:rsidP="00514873">
            <w:pPr>
              <w:numPr>
                <w:ilvl w:val="0"/>
                <w:numId w:val="21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 /Pst</w:t>
            </w:r>
          </w:p>
        </w:tc>
        <w:tc>
          <w:tcPr>
            <w:tcW w:w="1274" w:type="dxa"/>
            <w:vAlign w:val="center"/>
          </w:tcPr>
          <w:p w14:paraId="1698A9E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79BA3B96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2011; Yu et al., 2013</w:t>
            </w:r>
          </w:p>
        </w:tc>
      </w:tr>
      <w:tr w:rsidR="008731CD" w14:paraId="701E48A5" w14:textId="77777777">
        <w:tc>
          <w:tcPr>
            <w:tcW w:w="992" w:type="dxa"/>
            <w:vMerge/>
            <w:vAlign w:val="center"/>
          </w:tcPr>
          <w:p w14:paraId="7C7885D3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36B2F07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nrpd1/nrpe1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enhance SA- dependent response</w:t>
            </w:r>
          </w:p>
        </w:tc>
        <w:tc>
          <w:tcPr>
            <w:tcW w:w="1937" w:type="dxa"/>
            <w:vAlign w:val="center"/>
          </w:tcPr>
          <w:p w14:paraId="09BF7546" w14:textId="246B9BEF" w:rsidR="008731CD" w:rsidRDefault="00000000" w:rsidP="00514873">
            <w:pPr>
              <w:numPr>
                <w:ilvl w:val="0"/>
                <w:numId w:val="22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 /Pst</w:t>
            </w:r>
          </w:p>
        </w:tc>
        <w:tc>
          <w:tcPr>
            <w:tcW w:w="1274" w:type="dxa"/>
            <w:vAlign w:val="center"/>
          </w:tcPr>
          <w:p w14:paraId="1102BDD2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3138EE64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Lopez et al., 2011</w:t>
            </w:r>
          </w:p>
        </w:tc>
      </w:tr>
      <w:tr w:rsidR="008731CD" w14:paraId="133A3FFA" w14:textId="77777777">
        <w:tc>
          <w:tcPr>
            <w:tcW w:w="992" w:type="dxa"/>
            <w:vMerge/>
            <w:vAlign w:val="center"/>
          </w:tcPr>
          <w:p w14:paraId="5EF33574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33568320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Mutants </w:t>
            </w:r>
            <w:r w:rsidRPr="00514873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drm1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Pr="00514873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drm2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exhibit primed state of defences response</w:t>
            </w:r>
          </w:p>
        </w:tc>
        <w:tc>
          <w:tcPr>
            <w:tcW w:w="1937" w:type="dxa"/>
            <w:vAlign w:val="center"/>
          </w:tcPr>
          <w:p w14:paraId="18F13BB8" w14:textId="4F49E788" w:rsidR="008731CD" w:rsidRDefault="00000000" w:rsidP="00514873">
            <w:pPr>
              <w:numPr>
                <w:ilvl w:val="0"/>
                <w:numId w:val="23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 /Pst</w:t>
            </w:r>
          </w:p>
        </w:tc>
        <w:tc>
          <w:tcPr>
            <w:tcW w:w="1274" w:type="dxa"/>
            <w:vAlign w:val="center"/>
          </w:tcPr>
          <w:p w14:paraId="798CB431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25E9BE67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Cambiagno et al., 2021</w:t>
            </w:r>
          </w:p>
        </w:tc>
      </w:tr>
      <w:tr w:rsidR="008731CD" w14:paraId="1DAB462F" w14:textId="77777777">
        <w:tc>
          <w:tcPr>
            <w:tcW w:w="992" w:type="dxa"/>
            <w:vMerge/>
            <w:vAlign w:val="center"/>
          </w:tcPr>
          <w:p w14:paraId="3CB50308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07422001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drm1/drm2/cmt3 (ddc)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enhance the SA-dependent response</w:t>
            </w:r>
          </w:p>
        </w:tc>
        <w:tc>
          <w:tcPr>
            <w:tcW w:w="1937" w:type="dxa"/>
            <w:vAlign w:val="center"/>
          </w:tcPr>
          <w:p w14:paraId="0ED26E87" w14:textId="61441FBA" w:rsidR="008731CD" w:rsidRDefault="00000000" w:rsidP="00514873">
            <w:pPr>
              <w:numPr>
                <w:ilvl w:val="0"/>
                <w:numId w:val="24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 /Pst</w:t>
            </w:r>
          </w:p>
        </w:tc>
        <w:tc>
          <w:tcPr>
            <w:tcW w:w="1274" w:type="dxa"/>
            <w:vAlign w:val="center"/>
          </w:tcPr>
          <w:p w14:paraId="39E6F24E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6BEA7C31" w14:textId="77777777" w:rsidR="008731CD" w:rsidRDefault="00000000">
            <w:pPr>
              <w:pStyle w:val="NormalWeb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Dowen et al., 2012; Luna et al., 2012; Yu et al., 2013; Cambiagno et al., 2021</w:t>
            </w:r>
          </w:p>
        </w:tc>
      </w:tr>
      <w:tr w:rsidR="008731CD" w14:paraId="017921C8" w14:textId="77777777">
        <w:tc>
          <w:tcPr>
            <w:tcW w:w="992" w:type="dxa"/>
            <w:vMerge/>
            <w:vAlign w:val="center"/>
          </w:tcPr>
          <w:p w14:paraId="4EB03F95" w14:textId="77777777" w:rsidR="008731CD" w:rsidRDefault="008731C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92" w:type="dxa"/>
            <w:vAlign w:val="center"/>
          </w:tcPr>
          <w:p w14:paraId="5A840E0B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Hypomethylation in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dcl2/3/4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(unknown defence response)</w:t>
            </w:r>
          </w:p>
        </w:tc>
        <w:tc>
          <w:tcPr>
            <w:tcW w:w="1937" w:type="dxa"/>
            <w:vAlign w:val="center"/>
          </w:tcPr>
          <w:p w14:paraId="171BB0D0" w14:textId="0D81FBD0" w:rsidR="008731CD" w:rsidRDefault="00000000" w:rsidP="00514873">
            <w:pPr>
              <w:numPr>
                <w:ilvl w:val="0"/>
                <w:numId w:val="25"/>
              </w:num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thaliana/ Pst</w:t>
            </w:r>
          </w:p>
        </w:tc>
        <w:tc>
          <w:tcPr>
            <w:tcW w:w="1274" w:type="dxa"/>
            <w:vAlign w:val="center"/>
          </w:tcPr>
          <w:p w14:paraId="1C5AD5DC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Resistant</w:t>
            </w:r>
          </w:p>
        </w:tc>
        <w:tc>
          <w:tcPr>
            <w:tcW w:w="1556" w:type="dxa"/>
            <w:vAlign w:val="center"/>
          </w:tcPr>
          <w:p w14:paraId="63CB1889" w14:textId="77777777" w:rsidR="008731CD" w:rsidRDefault="0000000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Dowen et al., 2012</w:t>
            </w:r>
          </w:p>
        </w:tc>
      </w:tr>
    </w:tbl>
    <w:p w14:paraId="3E272DFC" w14:textId="77777777" w:rsidR="008731CD" w:rsidRDefault="008731CD">
      <w:pPr>
        <w:rPr>
          <w:b/>
          <w:bCs/>
          <w:sz w:val="28"/>
          <w:szCs w:val="28"/>
        </w:rPr>
      </w:pPr>
    </w:p>
    <w:p w14:paraId="4C4D8150" w14:textId="77777777" w:rsidR="008731CD" w:rsidRDefault="008731CD">
      <w:pPr>
        <w:rPr>
          <w:b/>
          <w:bCs/>
          <w:sz w:val="28"/>
          <w:szCs w:val="28"/>
        </w:rPr>
      </w:pPr>
    </w:p>
    <w:p w14:paraId="0CAD0456" w14:textId="77777777" w:rsidR="008731CD" w:rsidRDefault="008731CD"/>
    <w:sectPr w:rsidR="00873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BD5457"/>
    <w:multiLevelType w:val="singleLevel"/>
    <w:tmpl w:val="92BD5457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A8929012"/>
    <w:multiLevelType w:val="singleLevel"/>
    <w:tmpl w:val="A8929012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A9AEFE8C"/>
    <w:multiLevelType w:val="singleLevel"/>
    <w:tmpl w:val="A9AEFE8C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BB011659"/>
    <w:multiLevelType w:val="singleLevel"/>
    <w:tmpl w:val="BB011659"/>
    <w:lvl w:ilvl="0">
      <w:start w:val="1"/>
      <w:numFmt w:val="upperLetter"/>
      <w:suff w:val="space"/>
      <w:lvlText w:val="%1."/>
      <w:lvlJc w:val="left"/>
    </w:lvl>
  </w:abstractNum>
  <w:abstractNum w:abstractNumId="4" w15:restartNumberingAfterBreak="0">
    <w:nsid w:val="C40018AC"/>
    <w:multiLevelType w:val="singleLevel"/>
    <w:tmpl w:val="C40018AC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C58BDF78"/>
    <w:multiLevelType w:val="singleLevel"/>
    <w:tmpl w:val="C58BDF78"/>
    <w:lvl w:ilvl="0">
      <w:start w:val="1"/>
      <w:numFmt w:val="upperLetter"/>
      <w:suff w:val="space"/>
      <w:lvlText w:val="%1."/>
      <w:lvlJc w:val="left"/>
    </w:lvl>
  </w:abstractNum>
  <w:abstractNum w:abstractNumId="6" w15:restartNumberingAfterBreak="0">
    <w:nsid w:val="CE2DF18B"/>
    <w:multiLevelType w:val="singleLevel"/>
    <w:tmpl w:val="CE2DF18B"/>
    <w:lvl w:ilvl="0">
      <w:start w:val="1"/>
      <w:numFmt w:val="upperLetter"/>
      <w:suff w:val="space"/>
      <w:lvlText w:val="%1."/>
      <w:lvlJc w:val="left"/>
    </w:lvl>
  </w:abstractNum>
  <w:abstractNum w:abstractNumId="7" w15:restartNumberingAfterBreak="0">
    <w:nsid w:val="E38D44B8"/>
    <w:multiLevelType w:val="singleLevel"/>
    <w:tmpl w:val="E38D44B8"/>
    <w:lvl w:ilvl="0">
      <w:start w:val="1"/>
      <w:numFmt w:val="upperLetter"/>
      <w:suff w:val="space"/>
      <w:lvlText w:val="%1."/>
      <w:lvlJc w:val="left"/>
    </w:lvl>
  </w:abstractNum>
  <w:abstractNum w:abstractNumId="8" w15:restartNumberingAfterBreak="0">
    <w:nsid w:val="ECD59819"/>
    <w:multiLevelType w:val="singleLevel"/>
    <w:tmpl w:val="ECD59819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ED19BBC4"/>
    <w:multiLevelType w:val="singleLevel"/>
    <w:tmpl w:val="ED19BBC4"/>
    <w:lvl w:ilvl="0">
      <w:start w:val="1"/>
      <w:numFmt w:val="upperLetter"/>
      <w:suff w:val="space"/>
      <w:lvlText w:val="%1."/>
      <w:lvlJc w:val="left"/>
    </w:lvl>
  </w:abstractNum>
  <w:abstractNum w:abstractNumId="10" w15:restartNumberingAfterBreak="0">
    <w:nsid w:val="F0021C79"/>
    <w:multiLevelType w:val="singleLevel"/>
    <w:tmpl w:val="F0021C79"/>
    <w:lvl w:ilvl="0">
      <w:start w:val="1"/>
      <w:numFmt w:val="upperLetter"/>
      <w:suff w:val="space"/>
      <w:lvlText w:val="%1."/>
      <w:lvlJc w:val="left"/>
    </w:lvl>
  </w:abstractNum>
  <w:abstractNum w:abstractNumId="11" w15:restartNumberingAfterBreak="0">
    <w:nsid w:val="F0A6C3CF"/>
    <w:multiLevelType w:val="singleLevel"/>
    <w:tmpl w:val="F0A6C3CF"/>
    <w:lvl w:ilvl="0">
      <w:start w:val="1"/>
      <w:numFmt w:val="upperLetter"/>
      <w:suff w:val="space"/>
      <w:lvlText w:val="%1."/>
      <w:lvlJc w:val="left"/>
    </w:lvl>
  </w:abstractNum>
  <w:abstractNum w:abstractNumId="12" w15:restartNumberingAfterBreak="0">
    <w:nsid w:val="070CD370"/>
    <w:multiLevelType w:val="singleLevel"/>
    <w:tmpl w:val="070CD370"/>
    <w:lvl w:ilvl="0">
      <w:start w:val="1"/>
      <w:numFmt w:val="upperLetter"/>
      <w:suff w:val="space"/>
      <w:lvlText w:val="%1."/>
      <w:lvlJc w:val="left"/>
    </w:lvl>
  </w:abstractNum>
  <w:abstractNum w:abstractNumId="13" w15:restartNumberingAfterBreak="0">
    <w:nsid w:val="0780F1D8"/>
    <w:multiLevelType w:val="singleLevel"/>
    <w:tmpl w:val="0780F1D8"/>
    <w:lvl w:ilvl="0">
      <w:start w:val="1"/>
      <w:numFmt w:val="upperLetter"/>
      <w:suff w:val="space"/>
      <w:lvlText w:val="%1."/>
      <w:lvlJc w:val="left"/>
    </w:lvl>
  </w:abstractNum>
  <w:abstractNum w:abstractNumId="14" w15:restartNumberingAfterBreak="0">
    <w:nsid w:val="135757EB"/>
    <w:multiLevelType w:val="singleLevel"/>
    <w:tmpl w:val="135757EB"/>
    <w:lvl w:ilvl="0">
      <w:start w:val="1"/>
      <w:numFmt w:val="upperLetter"/>
      <w:suff w:val="space"/>
      <w:lvlText w:val="%1."/>
      <w:lvlJc w:val="left"/>
    </w:lvl>
  </w:abstractNum>
  <w:abstractNum w:abstractNumId="15" w15:restartNumberingAfterBreak="0">
    <w:nsid w:val="1745E995"/>
    <w:multiLevelType w:val="singleLevel"/>
    <w:tmpl w:val="1745E995"/>
    <w:lvl w:ilvl="0">
      <w:start w:val="1"/>
      <w:numFmt w:val="upperLetter"/>
      <w:suff w:val="space"/>
      <w:lvlText w:val="%1."/>
      <w:lvlJc w:val="left"/>
    </w:lvl>
  </w:abstractNum>
  <w:abstractNum w:abstractNumId="16" w15:restartNumberingAfterBreak="0">
    <w:nsid w:val="3C5ED7D8"/>
    <w:multiLevelType w:val="singleLevel"/>
    <w:tmpl w:val="3C5ED7D8"/>
    <w:lvl w:ilvl="0">
      <w:start w:val="1"/>
      <w:numFmt w:val="upperLetter"/>
      <w:suff w:val="space"/>
      <w:lvlText w:val="%1."/>
      <w:lvlJc w:val="left"/>
    </w:lvl>
  </w:abstractNum>
  <w:abstractNum w:abstractNumId="17" w15:restartNumberingAfterBreak="0">
    <w:nsid w:val="53BC3B9F"/>
    <w:multiLevelType w:val="singleLevel"/>
    <w:tmpl w:val="53BC3B9F"/>
    <w:lvl w:ilvl="0">
      <w:start w:val="1"/>
      <w:numFmt w:val="upperLetter"/>
      <w:suff w:val="space"/>
      <w:lvlText w:val="%1."/>
      <w:lvlJc w:val="left"/>
    </w:lvl>
  </w:abstractNum>
  <w:abstractNum w:abstractNumId="18" w15:restartNumberingAfterBreak="0">
    <w:nsid w:val="54E806CE"/>
    <w:multiLevelType w:val="singleLevel"/>
    <w:tmpl w:val="54E806CE"/>
    <w:lvl w:ilvl="0">
      <w:start w:val="1"/>
      <w:numFmt w:val="upperLetter"/>
      <w:suff w:val="space"/>
      <w:lvlText w:val="%1."/>
      <w:lvlJc w:val="left"/>
    </w:lvl>
  </w:abstractNum>
  <w:abstractNum w:abstractNumId="19" w15:restartNumberingAfterBreak="0">
    <w:nsid w:val="5F790935"/>
    <w:multiLevelType w:val="singleLevel"/>
    <w:tmpl w:val="5F790935"/>
    <w:lvl w:ilvl="0">
      <w:start w:val="1"/>
      <w:numFmt w:val="upperLetter"/>
      <w:suff w:val="space"/>
      <w:lvlText w:val="%1."/>
      <w:lvlJc w:val="left"/>
    </w:lvl>
  </w:abstractNum>
  <w:abstractNum w:abstractNumId="20" w15:restartNumberingAfterBreak="0">
    <w:nsid w:val="6344C98A"/>
    <w:multiLevelType w:val="singleLevel"/>
    <w:tmpl w:val="6344C98A"/>
    <w:lvl w:ilvl="0">
      <w:start w:val="1"/>
      <w:numFmt w:val="upperLetter"/>
      <w:suff w:val="space"/>
      <w:lvlText w:val="%1."/>
      <w:lvlJc w:val="left"/>
    </w:lvl>
  </w:abstractNum>
  <w:abstractNum w:abstractNumId="21" w15:restartNumberingAfterBreak="0">
    <w:nsid w:val="646E4F1C"/>
    <w:multiLevelType w:val="singleLevel"/>
    <w:tmpl w:val="646E4F1C"/>
    <w:lvl w:ilvl="0">
      <w:start w:val="1"/>
      <w:numFmt w:val="upperLetter"/>
      <w:suff w:val="space"/>
      <w:lvlText w:val="%1."/>
      <w:lvlJc w:val="left"/>
    </w:lvl>
  </w:abstractNum>
  <w:abstractNum w:abstractNumId="22" w15:restartNumberingAfterBreak="0">
    <w:nsid w:val="64739204"/>
    <w:multiLevelType w:val="singleLevel"/>
    <w:tmpl w:val="64739204"/>
    <w:lvl w:ilvl="0">
      <w:start w:val="1"/>
      <w:numFmt w:val="upperLetter"/>
      <w:suff w:val="space"/>
      <w:lvlText w:val="%1."/>
      <w:lvlJc w:val="left"/>
    </w:lvl>
  </w:abstractNum>
  <w:abstractNum w:abstractNumId="23" w15:restartNumberingAfterBreak="0">
    <w:nsid w:val="66B4D351"/>
    <w:multiLevelType w:val="singleLevel"/>
    <w:tmpl w:val="66B4D351"/>
    <w:lvl w:ilvl="0">
      <w:start w:val="1"/>
      <w:numFmt w:val="upperLetter"/>
      <w:suff w:val="space"/>
      <w:lvlText w:val="%1."/>
      <w:lvlJc w:val="left"/>
    </w:lvl>
  </w:abstractNum>
  <w:abstractNum w:abstractNumId="24" w15:restartNumberingAfterBreak="0">
    <w:nsid w:val="7C5A10CC"/>
    <w:multiLevelType w:val="singleLevel"/>
    <w:tmpl w:val="7C5A10CC"/>
    <w:lvl w:ilvl="0">
      <w:start w:val="1"/>
      <w:numFmt w:val="upperLetter"/>
      <w:suff w:val="space"/>
      <w:lvlText w:val="%1."/>
      <w:lvlJc w:val="left"/>
    </w:lvl>
  </w:abstractNum>
  <w:num w:numId="1" w16cid:durableId="388774573">
    <w:abstractNumId w:val="11"/>
  </w:num>
  <w:num w:numId="2" w16cid:durableId="1039012683">
    <w:abstractNumId w:val="19"/>
  </w:num>
  <w:num w:numId="3" w16cid:durableId="1232807910">
    <w:abstractNumId w:val="6"/>
  </w:num>
  <w:num w:numId="4" w16cid:durableId="1513494992">
    <w:abstractNumId w:val="16"/>
  </w:num>
  <w:num w:numId="5" w16cid:durableId="656348108">
    <w:abstractNumId w:val="14"/>
  </w:num>
  <w:num w:numId="6" w16cid:durableId="2027633532">
    <w:abstractNumId w:val="10"/>
  </w:num>
  <w:num w:numId="7" w16cid:durableId="505747224">
    <w:abstractNumId w:val="5"/>
  </w:num>
  <w:num w:numId="8" w16cid:durableId="2119062167">
    <w:abstractNumId w:val="20"/>
  </w:num>
  <w:num w:numId="9" w16cid:durableId="840003100">
    <w:abstractNumId w:val="23"/>
  </w:num>
  <w:num w:numId="10" w16cid:durableId="2008248926">
    <w:abstractNumId w:val="4"/>
  </w:num>
  <w:num w:numId="11" w16cid:durableId="896939548">
    <w:abstractNumId w:val="3"/>
  </w:num>
  <w:num w:numId="12" w16cid:durableId="1195002053">
    <w:abstractNumId w:val="9"/>
  </w:num>
  <w:num w:numId="13" w16cid:durableId="857814466">
    <w:abstractNumId w:val="17"/>
  </w:num>
  <w:num w:numId="14" w16cid:durableId="1390617026">
    <w:abstractNumId w:val="15"/>
  </w:num>
  <w:num w:numId="15" w16cid:durableId="1781954108">
    <w:abstractNumId w:val="8"/>
  </w:num>
  <w:num w:numId="16" w16cid:durableId="1284269553">
    <w:abstractNumId w:val="7"/>
  </w:num>
  <w:num w:numId="17" w16cid:durableId="738090918">
    <w:abstractNumId w:val="22"/>
  </w:num>
  <w:num w:numId="18" w16cid:durableId="1516503183">
    <w:abstractNumId w:val="13"/>
  </w:num>
  <w:num w:numId="19" w16cid:durableId="111949153">
    <w:abstractNumId w:val="24"/>
  </w:num>
  <w:num w:numId="20" w16cid:durableId="332804805">
    <w:abstractNumId w:val="0"/>
  </w:num>
  <w:num w:numId="21" w16cid:durableId="699093230">
    <w:abstractNumId w:val="12"/>
  </w:num>
  <w:num w:numId="22" w16cid:durableId="1722245839">
    <w:abstractNumId w:val="1"/>
  </w:num>
  <w:num w:numId="23" w16cid:durableId="757024749">
    <w:abstractNumId w:val="18"/>
  </w:num>
  <w:num w:numId="24" w16cid:durableId="152795923">
    <w:abstractNumId w:val="2"/>
  </w:num>
  <w:num w:numId="25" w16cid:durableId="15596329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7B9"/>
    <w:rsid w:val="000B5049"/>
    <w:rsid w:val="001767B9"/>
    <w:rsid w:val="002111D0"/>
    <w:rsid w:val="00446962"/>
    <w:rsid w:val="00514873"/>
    <w:rsid w:val="00574375"/>
    <w:rsid w:val="006008BE"/>
    <w:rsid w:val="00692C42"/>
    <w:rsid w:val="008731CD"/>
    <w:rsid w:val="00887416"/>
    <w:rsid w:val="008941B2"/>
    <w:rsid w:val="008F2AB2"/>
    <w:rsid w:val="00971EFC"/>
    <w:rsid w:val="00B83D23"/>
    <w:rsid w:val="00E71195"/>
    <w:rsid w:val="00F1561C"/>
    <w:rsid w:val="1ECF2083"/>
    <w:rsid w:val="49C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F770AB5-A7A1-7F4E-920B-B7E509DF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unhideWhenUsed/>
    <w:rsid w:val="00514873"/>
    <w:rPr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AMPNTELNOUR, LITSA (PGR)</dc:creator>
  <cp:lastModifiedBy>AMPNTELNOUR, LITSA (PGR)</cp:lastModifiedBy>
  <cp:revision>6</cp:revision>
  <dcterms:created xsi:type="dcterms:W3CDTF">2025-06-17T21:14:00Z</dcterms:created>
  <dcterms:modified xsi:type="dcterms:W3CDTF">2025-10-09T14:27:00Z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eyJoZGlkIjoiNDNjMjBlZWViZDUxYTBmY2Y2Yzk5ODk5NDgwNTBkMzYiLCJ1c2VySWQiOiIxMDA5MDE1MTE0In0=</vt:lpwstr>
  </property>
  <property fmtid="{D5CDD505-2E9C-101B-9397-08002B2CF9AE}" pid="3" name="KSOProductBuildVer">
    <vt:lpwstr>2052-12.1.0.22529</vt:lpwstr>
  </property>
  <property fmtid="{D5CDD505-2E9C-101B-9397-08002B2CF9AE}" pid="4" name="ICV">
    <vt:lpwstr>04295D5A87794535864BC4F943ADCD25_12</vt:lpwstr>
  </property>
</Properties>
</file>