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0259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 S2. Role of ATP-dependent chromatin remodelling factors in plant immune responses.</w:t>
      </w:r>
    </w:p>
    <w:p w14:paraId="5FB832F9">
      <w:pPr>
        <w:rPr>
          <w:rFonts w:asciiTheme="majorBidi" w:hAnsiTheme="majorBidi" w:cstheme="majorBidi"/>
          <w:b/>
          <w:bCs/>
        </w:rPr>
      </w:pPr>
    </w:p>
    <w:tbl>
      <w:tblPr>
        <w:tblStyle w:val="3"/>
        <w:tblW w:w="9356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59"/>
        <w:gridCol w:w="2043"/>
        <w:gridCol w:w="1843"/>
        <w:gridCol w:w="2410"/>
      </w:tblGrid>
      <w:tr w14:paraId="0814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1BFE5502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Protein family</w:t>
            </w:r>
          </w:p>
        </w:tc>
        <w:tc>
          <w:tcPr>
            <w:tcW w:w="3402" w:type="dxa"/>
            <w:gridSpan w:val="2"/>
          </w:tcPr>
          <w:p w14:paraId="070FF90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843" w:type="dxa"/>
          </w:tcPr>
          <w:p w14:paraId="0AD17071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Influence on immunity</w:t>
            </w:r>
          </w:p>
        </w:tc>
        <w:tc>
          <w:tcPr>
            <w:tcW w:w="2410" w:type="dxa"/>
            <w:vAlign w:val="center"/>
          </w:tcPr>
          <w:p w14:paraId="1FD34BE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References</w:t>
            </w:r>
          </w:p>
        </w:tc>
      </w:tr>
      <w:tr w14:paraId="41DA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tcBorders>
              <w:top w:val="single" w:color="auto" w:sz="18" w:space="0"/>
            </w:tcBorders>
            <w:vAlign w:val="center"/>
          </w:tcPr>
          <w:p w14:paraId="24329D7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Snf1</w:t>
            </w:r>
          </w:p>
        </w:tc>
        <w:tc>
          <w:tcPr>
            <w:tcW w:w="1359" w:type="dxa"/>
            <w:tcBorders>
              <w:top w:val="single" w:color="auto" w:sz="18" w:space="0"/>
            </w:tcBorders>
            <w:vAlign w:val="center"/>
          </w:tcPr>
          <w:p w14:paraId="44D0BE65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AT5G66750</w:t>
            </w:r>
          </w:p>
        </w:tc>
        <w:tc>
          <w:tcPr>
            <w:tcW w:w="2043" w:type="dxa"/>
            <w:tcBorders>
              <w:top w:val="single" w:color="auto" w:sz="18" w:space="0"/>
            </w:tcBorders>
            <w:vAlign w:val="center"/>
          </w:tcPr>
          <w:p w14:paraId="1724F772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CHR1/DDM1</w:t>
            </w:r>
          </w:p>
        </w:tc>
        <w:tc>
          <w:tcPr>
            <w:tcW w:w="1843" w:type="dxa"/>
            <w:tcBorders>
              <w:top w:val="single" w:color="auto" w:sz="18" w:space="0"/>
            </w:tcBorders>
            <w:vAlign w:val="center"/>
          </w:tcPr>
          <w:p w14:paraId="0035803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tcBorders>
              <w:top w:val="single" w:color="auto" w:sz="18" w:space="0"/>
            </w:tcBorders>
            <w:vAlign w:val="center"/>
          </w:tcPr>
          <w:p w14:paraId="1F84B9D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 et al., 2010</w:t>
            </w:r>
          </w:p>
        </w:tc>
      </w:tr>
      <w:tr w14:paraId="5029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6993A38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5FF465E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AT2G02090</w:t>
            </w:r>
          </w:p>
        </w:tc>
        <w:tc>
          <w:tcPr>
            <w:tcW w:w="2043" w:type="dxa"/>
            <w:vAlign w:val="center"/>
          </w:tcPr>
          <w:p w14:paraId="3DF71BAD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CHR19/ ETL1</w:t>
            </w:r>
          </w:p>
        </w:tc>
        <w:tc>
          <w:tcPr>
            <w:tcW w:w="1843" w:type="dxa"/>
            <w:vAlign w:val="center"/>
          </w:tcPr>
          <w:p w14:paraId="4BED88E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72A8C8B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Kang et al., 2022</w:t>
            </w:r>
          </w:p>
        </w:tc>
      </w:tr>
      <w:tr w14:paraId="38E4E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5AD9155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5515774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AT3G12810</w:t>
            </w:r>
          </w:p>
        </w:tc>
        <w:tc>
          <w:tcPr>
            <w:tcW w:w="2043" w:type="dxa"/>
            <w:vAlign w:val="center"/>
          </w:tcPr>
          <w:p w14:paraId="338E17F1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CHR13/PIE1</w:t>
            </w:r>
          </w:p>
        </w:tc>
        <w:tc>
          <w:tcPr>
            <w:tcW w:w="1843" w:type="dxa"/>
            <w:vAlign w:val="center"/>
          </w:tcPr>
          <w:p w14:paraId="6D394C05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4A2642F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March‐Diaz et al.,2008</w:t>
            </w:r>
          </w:p>
        </w:tc>
      </w:tr>
      <w:tr w14:paraId="219F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 w14:paraId="40C2363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Snf2</w:t>
            </w:r>
          </w:p>
        </w:tc>
        <w:tc>
          <w:tcPr>
            <w:tcW w:w="1359" w:type="dxa"/>
            <w:vAlign w:val="center"/>
          </w:tcPr>
          <w:p w14:paraId="75A5B5D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AT2G28290</w:t>
            </w:r>
          </w:p>
        </w:tc>
        <w:tc>
          <w:tcPr>
            <w:tcW w:w="2043" w:type="dxa"/>
            <w:vAlign w:val="center"/>
          </w:tcPr>
          <w:p w14:paraId="713EC4BC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CHR3/SYD</w:t>
            </w:r>
          </w:p>
        </w:tc>
        <w:tc>
          <w:tcPr>
            <w:tcW w:w="1843" w:type="dxa"/>
            <w:vAlign w:val="center"/>
          </w:tcPr>
          <w:p w14:paraId="100E5E4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Negative</w:t>
            </w:r>
          </w:p>
        </w:tc>
        <w:tc>
          <w:tcPr>
            <w:tcW w:w="2410" w:type="dxa"/>
            <w:vMerge w:val="restart"/>
            <w:vAlign w:val="center"/>
          </w:tcPr>
          <w:p w14:paraId="1242A42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Walley et al., 2008; Johnson et al., 2015</w:t>
            </w:r>
          </w:p>
        </w:tc>
      </w:tr>
      <w:tr w14:paraId="252E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76AE21E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1157AA55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AT2G46020</w:t>
            </w:r>
          </w:p>
        </w:tc>
        <w:tc>
          <w:tcPr>
            <w:tcW w:w="2043" w:type="dxa"/>
            <w:vAlign w:val="center"/>
          </w:tcPr>
          <w:p w14:paraId="6B2E4BAE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CHR2/ BRM</w:t>
            </w:r>
          </w:p>
        </w:tc>
        <w:tc>
          <w:tcPr>
            <w:tcW w:w="1843" w:type="dxa"/>
            <w:vAlign w:val="center"/>
          </w:tcPr>
          <w:p w14:paraId="6A1A330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Merge w:val="continue"/>
            <w:vAlign w:val="center"/>
          </w:tcPr>
          <w:p w14:paraId="0A24145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14:paraId="6936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788A62B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6FF9BDA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AT4G31900</w:t>
            </w:r>
          </w:p>
        </w:tc>
        <w:tc>
          <w:tcPr>
            <w:tcW w:w="2043" w:type="dxa"/>
            <w:vAlign w:val="center"/>
          </w:tcPr>
          <w:p w14:paraId="5AEC9756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CHR7/PKR2</w:t>
            </w:r>
          </w:p>
        </w:tc>
        <w:tc>
          <w:tcPr>
            <w:tcW w:w="1843" w:type="dxa"/>
            <w:vAlign w:val="center"/>
          </w:tcPr>
          <w:p w14:paraId="4176B3F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01E27F3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Pardal et al.,2021</w:t>
            </w:r>
          </w:p>
        </w:tc>
      </w:tr>
      <w:tr w14:paraId="5C68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6482277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702FF71C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AT2G13370</w:t>
            </w:r>
          </w:p>
        </w:tc>
        <w:tc>
          <w:tcPr>
            <w:tcW w:w="2043" w:type="dxa"/>
            <w:vAlign w:val="center"/>
          </w:tcPr>
          <w:p w14:paraId="7B27DDF0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CHR5</w:t>
            </w:r>
          </w:p>
        </w:tc>
        <w:tc>
          <w:tcPr>
            <w:tcW w:w="1843" w:type="dxa"/>
            <w:vAlign w:val="center"/>
          </w:tcPr>
          <w:p w14:paraId="437A2843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Negative</w:t>
            </w:r>
          </w:p>
        </w:tc>
        <w:tc>
          <w:tcPr>
            <w:tcW w:w="2410" w:type="dxa"/>
            <w:vAlign w:val="center"/>
          </w:tcPr>
          <w:p w14:paraId="406777B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Zou et al., 2017</w:t>
            </w:r>
          </w:p>
        </w:tc>
      </w:tr>
      <w:tr w14:paraId="293C4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 w14:paraId="3494262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ISWI</w:t>
            </w:r>
          </w:p>
        </w:tc>
        <w:tc>
          <w:tcPr>
            <w:tcW w:w="1359" w:type="dxa"/>
            <w:vAlign w:val="center"/>
          </w:tcPr>
          <w:p w14:paraId="328887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AT3G06400</w:t>
            </w:r>
          </w:p>
        </w:tc>
        <w:tc>
          <w:tcPr>
            <w:tcW w:w="2043" w:type="dxa"/>
            <w:vAlign w:val="center"/>
          </w:tcPr>
          <w:p w14:paraId="3ACBB114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CHR11</w:t>
            </w:r>
          </w:p>
        </w:tc>
        <w:tc>
          <w:tcPr>
            <w:tcW w:w="1843" w:type="dxa"/>
            <w:vAlign w:val="center"/>
          </w:tcPr>
          <w:p w14:paraId="3355232F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6433908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Liu et al., 2021</w:t>
            </w:r>
          </w:p>
        </w:tc>
      </w:tr>
      <w:tr w14:paraId="5CFA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vAlign w:val="center"/>
          </w:tcPr>
          <w:p w14:paraId="083CDA3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vAlign w:val="center"/>
          </w:tcPr>
          <w:p w14:paraId="218C785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AT5G18620</w:t>
            </w:r>
          </w:p>
        </w:tc>
        <w:tc>
          <w:tcPr>
            <w:tcW w:w="2043" w:type="dxa"/>
            <w:vAlign w:val="center"/>
          </w:tcPr>
          <w:p w14:paraId="24F1DEA7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CHR17</w:t>
            </w:r>
          </w:p>
        </w:tc>
        <w:tc>
          <w:tcPr>
            <w:tcW w:w="1843" w:type="dxa"/>
            <w:vAlign w:val="center"/>
          </w:tcPr>
          <w:p w14:paraId="6DF76ADB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47CB4A9F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Liu et al., 2021</w:t>
            </w:r>
          </w:p>
        </w:tc>
      </w:tr>
      <w:tr w14:paraId="4E93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1141B131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Rad5</w:t>
            </w:r>
          </w:p>
        </w:tc>
        <w:tc>
          <w:tcPr>
            <w:tcW w:w="1359" w:type="dxa"/>
            <w:vAlign w:val="center"/>
          </w:tcPr>
          <w:p w14:paraId="2037679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AT1G08060</w:t>
            </w:r>
          </w:p>
        </w:tc>
        <w:tc>
          <w:tcPr>
            <w:tcW w:w="2043" w:type="dxa"/>
            <w:vAlign w:val="center"/>
          </w:tcPr>
          <w:p w14:paraId="088CD316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MOM1</w:t>
            </w:r>
          </w:p>
        </w:tc>
        <w:tc>
          <w:tcPr>
            <w:tcW w:w="1843" w:type="dxa"/>
            <w:vAlign w:val="center"/>
          </w:tcPr>
          <w:p w14:paraId="1D8AA951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Negative</w:t>
            </w:r>
          </w:p>
        </w:tc>
        <w:tc>
          <w:tcPr>
            <w:tcW w:w="2410" w:type="dxa"/>
            <w:vAlign w:val="center"/>
          </w:tcPr>
          <w:p w14:paraId="6B8E5659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Miranda de la Torre et al., 2023</w:t>
            </w:r>
          </w:p>
        </w:tc>
      </w:tr>
      <w:tr w14:paraId="4C9B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0E2C23BA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Rad54</w:t>
            </w:r>
          </w:p>
        </w:tc>
        <w:tc>
          <w:tcPr>
            <w:tcW w:w="1359" w:type="dxa"/>
            <w:vAlign w:val="center"/>
          </w:tcPr>
          <w:p w14:paraId="4E63568F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AT3G19210</w:t>
            </w:r>
          </w:p>
        </w:tc>
        <w:tc>
          <w:tcPr>
            <w:tcW w:w="2043" w:type="dxa"/>
            <w:vAlign w:val="center"/>
          </w:tcPr>
          <w:p w14:paraId="53FC8A6F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CHR25/ RAD54</w:t>
            </w:r>
          </w:p>
        </w:tc>
        <w:tc>
          <w:tcPr>
            <w:tcW w:w="1843" w:type="dxa"/>
            <w:vAlign w:val="center"/>
          </w:tcPr>
          <w:p w14:paraId="1A57A00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vAlign w:val="center"/>
          </w:tcPr>
          <w:p w14:paraId="2EA35FB3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Pardal et al., 2021</w:t>
            </w:r>
          </w:p>
        </w:tc>
      </w:tr>
      <w:tr w14:paraId="6045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 w14:paraId="7485F77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Ris-1</w:t>
            </w:r>
          </w:p>
        </w:tc>
        <w:tc>
          <w:tcPr>
            <w:tcW w:w="1359" w:type="dxa"/>
            <w:vAlign w:val="center"/>
          </w:tcPr>
          <w:p w14:paraId="52745D36">
            <w:pPr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AT1G50410</w:t>
            </w:r>
          </w:p>
        </w:tc>
        <w:tc>
          <w:tcPr>
            <w:tcW w:w="2043" w:type="dxa"/>
            <w:vAlign w:val="center"/>
          </w:tcPr>
          <w:p w14:paraId="5528C28C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CHR28/FRG2</w:t>
            </w:r>
          </w:p>
        </w:tc>
        <w:tc>
          <w:tcPr>
            <w:tcW w:w="1843" w:type="dxa"/>
            <w:vAlign w:val="center"/>
          </w:tcPr>
          <w:p w14:paraId="17BC5E3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Negative</w:t>
            </w:r>
          </w:p>
        </w:tc>
        <w:tc>
          <w:tcPr>
            <w:tcW w:w="2410" w:type="dxa"/>
            <w:vAlign w:val="center"/>
          </w:tcPr>
          <w:p w14:paraId="3076FFEE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 et al., 2015</w:t>
            </w:r>
          </w:p>
        </w:tc>
      </w:tr>
      <w:tr w14:paraId="7A38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  <w:tcBorders>
              <w:bottom w:val="single" w:color="000000" w:sz="4" w:space="0"/>
            </w:tcBorders>
            <w:vAlign w:val="center"/>
          </w:tcPr>
          <w:p w14:paraId="5694771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9" w:type="dxa"/>
            <w:tcBorders>
              <w:bottom w:val="single" w:color="000000" w:sz="4" w:space="0"/>
            </w:tcBorders>
            <w:vAlign w:val="center"/>
          </w:tcPr>
          <w:p w14:paraId="18A8B93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AT1G61140</w:t>
            </w:r>
          </w:p>
        </w:tc>
        <w:tc>
          <w:tcPr>
            <w:tcW w:w="2043" w:type="dxa"/>
            <w:tcBorders>
              <w:bottom w:val="single" w:color="000000" w:sz="4" w:space="0"/>
            </w:tcBorders>
            <w:vAlign w:val="center"/>
          </w:tcPr>
          <w:p w14:paraId="1BD65E5B">
            <w:pP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EDA16/FRG4</w:t>
            </w:r>
          </w:p>
        </w:tc>
        <w:tc>
          <w:tcPr>
            <w:tcW w:w="1843" w:type="dxa"/>
            <w:tcBorders>
              <w:bottom w:val="single" w:color="000000" w:sz="4" w:space="0"/>
            </w:tcBorders>
            <w:vAlign w:val="center"/>
          </w:tcPr>
          <w:p w14:paraId="09EE87B4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Positive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  <w:vAlign w:val="center"/>
          </w:tcPr>
          <w:p w14:paraId="1ED8B22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Pardal et al., 2021</w:t>
            </w:r>
          </w:p>
        </w:tc>
      </w:tr>
    </w:tbl>
    <w:p w14:paraId="0CAD0456"/>
    <w:p w14:paraId="138A1A33"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C5B77"/>
    <w:rsid w:val="4ABC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2025-09-24T08:58:00Z</dcterms:created>
  <dc:creator>路路</dc:creator>
  <cp:lastModifiedBy>路路</cp:lastModifiedBy>
  <dcterms:modified xsi:type="dcterms:W3CDTF">2025-09-24T08:58:29Z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218B227926054C7A9B1CB8A06743895C_11</vt:lpwstr>
  </property>
  <property fmtid="{D5CDD505-2E9C-101B-9397-08002B2CF9AE}" pid="4" name="KSOTemplateDocerSaveRecord">
    <vt:lpwstr>eyJoZGlkIjoiNDNjMjBlZWViZDUxYTBmY2Y2Yzk5ODk5NDgwNTBkMzYiLCJ1c2VySWQiOiIxMDA5MDE1MTE0In0=</vt:lpwstr>
  </property>
</Properties>
</file>