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A2DD4" w14:textId="77777777" w:rsidR="00041DF9" w:rsidRDefault="00041DF9" w:rsidP="008A45C6">
      <w:bookmarkStart w:id="0" w:name="_GoBack"/>
    </w:p>
    <w:p w14:paraId="7E9FDD54" w14:textId="48197B98" w:rsidR="00EA62D1" w:rsidRDefault="00EA62D1" w:rsidP="008A45C6">
      <w:pPr>
        <w:widowControl/>
        <w:spacing w:line="360" w:lineRule="auto"/>
        <w:jc w:val="left"/>
        <w:rPr>
          <w:rFonts w:ascii="Times New Roman" w:eastAsia="STSong" w:hAnsi="Times New Roman" w:cs="Times New Roman"/>
          <w:bCs/>
          <w:sz w:val="24"/>
          <w:szCs w:val="24"/>
        </w:rPr>
      </w:pPr>
      <w:r w:rsidRPr="008C30FB">
        <w:rPr>
          <w:rFonts w:ascii="Times New Roman" w:eastAsia="STSong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eastAsia="STSong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STSong" w:hAnsi="Times New Roman" w:cs="Times New Roman" w:hint="eastAsia"/>
          <w:b/>
          <w:bCs/>
          <w:sz w:val="24"/>
          <w:szCs w:val="24"/>
        </w:rPr>
        <w:t>S1</w:t>
      </w:r>
      <w:r>
        <w:rPr>
          <w:rFonts w:ascii="Times New Roman" w:eastAsia="STSong" w:hAnsi="Times New Roman" w:cs="Times New Roman"/>
          <w:bCs/>
          <w:sz w:val="24"/>
          <w:szCs w:val="24"/>
        </w:rPr>
        <w:t xml:space="preserve"> </w:t>
      </w:r>
      <w:bookmarkStart w:id="1" w:name="OLE_LINK1"/>
      <w:r w:rsidRPr="00BB5A14">
        <w:rPr>
          <w:rFonts w:ascii="Times New Roman" w:eastAsia="STSong" w:hAnsi="Times New Roman" w:cs="Times New Roman"/>
          <w:bCs/>
          <w:sz w:val="24"/>
          <w:szCs w:val="24"/>
        </w:rPr>
        <w:t>Disease management strategies for gummy stem blight in cucurbits</w:t>
      </w:r>
      <w:bookmarkEnd w:id="1"/>
    </w:p>
    <w:tbl>
      <w:tblPr>
        <w:tblStyle w:val="PlainTable4"/>
        <w:tblW w:w="13911" w:type="dxa"/>
        <w:tblLook w:val="04A0" w:firstRow="1" w:lastRow="0" w:firstColumn="1" w:lastColumn="0" w:noHBand="0" w:noVBand="1"/>
      </w:tblPr>
      <w:tblGrid>
        <w:gridCol w:w="1984"/>
        <w:gridCol w:w="4820"/>
        <w:gridCol w:w="3926"/>
        <w:gridCol w:w="3181"/>
      </w:tblGrid>
      <w:tr w:rsidR="00EA62D1" w:rsidRPr="003022CC" w14:paraId="7433F5E2" w14:textId="77777777" w:rsidTr="00E324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FAE171" w14:textId="77777777" w:rsidR="00EA62D1" w:rsidRPr="003022CC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2" w:name="_Hlk205494561"/>
            <w:r w:rsidRPr="003022C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Categories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A784B2" w14:textId="77777777" w:rsidR="00EA62D1" w:rsidRPr="003022CC" w:rsidRDefault="00EA62D1" w:rsidP="008A45C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022C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Measures/Agents</w:t>
            </w:r>
          </w:p>
        </w:tc>
        <w:tc>
          <w:tcPr>
            <w:tcW w:w="39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9A4F91" w14:textId="77777777" w:rsidR="00EA62D1" w:rsidRPr="003022CC" w:rsidRDefault="00EA62D1" w:rsidP="008A45C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022C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Function/Efficacy</w:t>
            </w:r>
          </w:p>
        </w:tc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EB62A4" w14:textId="77777777" w:rsidR="00EA62D1" w:rsidRPr="003022CC" w:rsidRDefault="00EA62D1" w:rsidP="008A45C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022C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References</w:t>
            </w:r>
          </w:p>
        </w:tc>
      </w:tr>
      <w:tr w:rsidR="00EA62D1" w:rsidRPr="00071F24" w14:paraId="09A58DB6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gridSpan w:val="2"/>
            <w:tcBorders>
              <w:top w:val="single" w:sz="4" w:space="0" w:color="auto"/>
            </w:tcBorders>
            <w:noWrap/>
            <w:hideMark/>
          </w:tcPr>
          <w:p w14:paraId="086CC3CF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Cs w:val="0"/>
                <w:i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/>
                <w:bCs w:val="0"/>
                <w:i/>
                <w:color w:val="000000"/>
                <w:kern w:val="0"/>
                <w:sz w:val="24"/>
                <w:szCs w:val="24"/>
              </w:rPr>
              <w:t>Agricultural practices</w:t>
            </w:r>
          </w:p>
        </w:tc>
        <w:tc>
          <w:tcPr>
            <w:tcW w:w="3926" w:type="dxa"/>
            <w:tcBorders>
              <w:top w:val="single" w:sz="4" w:space="0" w:color="auto"/>
            </w:tcBorders>
            <w:noWrap/>
            <w:hideMark/>
          </w:tcPr>
          <w:p w14:paraId="4FA09478" w14:textId="77777777" w:rsidR="00EA62D1" w:rsidRPr="00071F24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</w:tcBorders>
            <w:noWrap/>
            <w:hideMark/>
          </w:tcPr>
          <w:p w14:paraId="5E6CA93E" w14:textId="77777777" w:rsidR="00EA62D1" w:rsidRPr="00071F24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</w:rPr>
            </w:pPr>
          </w:p>
        </w:tc>
      </w:tr>
      <w:tr w:rsidR="00EA62D1" w:rsidRPr="003022CC" w14:paraId="3DDD94AD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2F3A3EF5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 w:hint="eastAsia"/>
                <w:b w:val="0"/>
                <w:color w:val="000000"/>
                <w:kern w:val="0"/>
                <w:sz w:val="24"/>
                <w:szCs w:val="24"/>
              </w:rPr>
              <w:t>Rotation</w:t>
            </w:r>
          </w:p>
        </w:tc>
        <w:tc>
          <w:tcPr>
            <w:tcW w:w="4820" w:type="dxa"/>
            <w:noWrap/>
          </w:tcPr>
          <w:p w14:paraId="688E0D8D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2~3-yr non-cucurbits rotation </w:t>
            </w:r>
          </w:p>
        </w:tc>
        <w:tc>
          <w:tcPr>
            <w:tcW w:w="3926" w:type="dxa"/>
            <w:noWrap/>
          </w:tcPr>
          <w:p w14:paraId="2CAABE2E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Disrupt pathogen accumulation</w:t>
            </w:r>
          </w:p>
        </w:tc>
        <w:tc>
          <w:tcPr>
            <w:tcW w:w="3181" w:type="dxa"/>
            <w:noWrap/>
          </w:tcPr>
          <w:p w14:paraId="2D4EAA07" w14:textId="3A9AC669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Van Steekelenburg 1985; Chen 1991b;</w:t>
            </w:r>
          </w:p>
        </w:tc>
      </w:tr>
      <w:tr w:rsidR="00EA62D1" w:rsidRPr="003022CC" w14:paraId="3B52E71F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789D8B48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 w:hint="eastAsia"/>
                <w:b w:val="0"/>
                <w:color w:val="000000"/>
                <w:kern w:val="0"/>
                <w:sz w:val="24"/>
                <w:szCs w:val="24"/>
              </w:rPr>
              <w:t>Soil fumigation</w:t>
            </w:r>
          </w:p>
        </w:tc>
        <w:tc>
          <w:tcPr>
            <w:tcW w:w="4820" w:type="dxa"/>
            <w:noWrap/>
          </w:tcPr>
          <w:p w14:paraId="4EF55293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Dazomet fumigation</w:t>
            </w:r>
          </w:p>
        </w:tc>
        <w:tc>
          <w:tcPr>
            <w:tcW w:w="3926" w:type="dxa"/>
            <w:noWrap/>
          </w:tcPr>
          <w:p w14:paraId="346DB056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Reduce pathogen survival</w:t>
            </w:r>
          </w:p>
        </w:tc>
        <w:tc>
          <w:tcPr>
            <w:tcW w:w="3181" w:type="dxa"/>
            <w:noWrap/>
          </w:tcPr>
          <w:p w14:paraId="6F12B266" w14:textId="5EBA7FB6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FAO 2007</w:t>
            </w:r>
          </w:p>
        </w:tc>
      </w:tr>
      <w:tr w:rsidR="00EA62D1" w:rsidRPr="003022CC" w14:paraId="029221A3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767951AC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 w:hint="eastAsia"/>
                <w:b w:val="0"/>
                <w:color w:val="000000"/>
                <w:kern w:val="0"/>
                <w:sz w:val="24"/>
                <w:szCs w:val="24"/>
              </w:rPr>
              <w:t>Vine elimination</w:t>
            </w:r>
          </w:p>
        </w:tc>
        <w:tc>
          <w:tcPr>
            <w:tcW w:w="4820" w:type="dxa"/>
            <w:noWrap/>
          </w:tcPr>
          <w:p w14:paraId="273F2347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Crop residue destruction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plowing</w:t>
            </w:r>
          </w:p>
        </w:tc>
        <w:tc>
          <w:tcPr>
            <w:tcW w:w="3926" w:type="dxa"/>
            <w:noWrap/>
          </w:tcPr>
          <w:p w14:paraId="3C3934EF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Reduce pathogen survival</w:t>
            </w:r>
          </w:p>
        </w:tc>
        <w:tc>
          <w:tcPr>
            <w:tcW w:w="3181" w:type="dxa"/>
            <w:noWrap/>
          </w:tcPr>
          <w:p w14:paraId="79B07C01" w14:textId="33C2539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Keinath 2002, 2008</w:t>
            </w:r>
          </w:p>
        </w:tc>
      </w:tr>
      <w:tr w:rsidR="00EA62D1" w:rsidRPr="003022CC" w14:paraId="2635C3EF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3B2113A7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 w:hint="eastAsia"/>
                <w:b w:val="0"/>
                <w:color w:val="000000"/>
                <w:kern w:val="0"/>
                <w:sz w:val="24"/>
                <w:szCs w:val="24"/>
              </w:rPr>
              <w:t>Cover crops</w:t>
            </w:r>
          </w:p>
        </w:tc>
        <w:tc>
          <w:tcPr>
            <w:tcW w:w="4820" w:type="dxa"/>
            <w:noWrap/>
          </w:tcPr>
          <w:p w14:paraId="7EFBB24D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No-till hairy vetch</w:t>
            </w:r>
          </w:p>
        </w:tc>
        <w:tc>
          <w:tcPr>
            <w:tcW w:w="3926" w:type="dxa"/>
            <w:noWrap/>
          </w:tcPr>
          <w:p w14:paraId="18F43381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Suppress GSB incidence</w:t>
            </w:r>
          </w:p>
        </w:tc>
        <w:tc>
          <w:tcPr>
            <w:tcW w:w="3181" w:type="dxa"/>
            <w:noWrap/>
          </w:tcPr>
          <w:p w14:paraId="6B689555" w14:textId="410DA5F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Zhou 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and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Everts 2012</w:t>
            </w:r>
          </w:p>
        </w:tc>
      </w:tr>
      <w:tr w:rsidR="00EA62D1" w:rsidRPr="003022CC" w14:paraId="49FD469E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77AA6A95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Grafting</w:t>
            </w:r>
          </w:p>
        </w:tc>
        <w:tc>
          <w:tcPr>
            <w:tcW w:w="4820" w:type="dxa"/>
            <w:noWrap/>
          </w:tcPr>
          <w:p w14:paraId="5FC7D043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Pumpkin rootstock</w:t>
            </w:r>
          </w:p>
        </w:tc>
        <w:tc>
          <w:tcPr>
            <w:tcW w:w="3926" w:type="dxa"/>
            <w:noWrap/>
          </w:tcPr>
          <w:p w14:paraId="0F8D772E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Enhance GSB resistance and</w:t>
            </w:r>
          </w:p>
        </w:tc>
        <w:tc>
          <w:tcPr>
            <w:tcW w:w="3181" w:type="dxa"/>
            <w:noWrap/>
          </w:tcPr>
          <w:p w14:paraId="4121D536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Crino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2007</w:t>
            </w:r>
          </w:p>
        </w:tc>
      </w:tr>
      <w:tr w:rsidR="00EA62D1" w:rsidRPr="003022CC" w14:paraId="76D7EC1A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  <w:hideMark/>
          </w:tcPr>
          <w:p w14:paraId="148AF89D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noWrap/>
            <w:hideMark/>
          </w:tcPr>
          <w:p w14:paraId="32705103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I</w:t>
            </w:r>
            <w:r w:rsidRPr="00620E75">
              <w:rPr>
                <w:rFonts w:ascii="Times New Roman" w:hAnsi="Times New Roman" w:cs="Times New Roman"/>
                <w:bCs/>
                <w:sz w:val="24"/>
                <w:szCs w:val="24"/>
              </w:rPr>
              <w:t>mmune rootstocks</w:t>
            </w:r>
          </w:p>
        </w:tc>
        <w:tc>
          <w:tcPr>
            <w:tcW w:w="3926" w:type="dxa"/>
            <w:noWrap/>
            <w:hideMark/>
          </w:tcPr>
          <w:p w14:paraId="19E0BFDA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Reduce GSB severity</w:t>
            </w:r>
          </w:p>
        </w:tc>
        <w:tc>
          <w:tcPr>
            <w:tcW w:w="3181" w:type="dxa"/>
            <w:noWrap/>
            <w:hideMark/>
          </w:tcPr>
          <w:p w14:paraId="5E2CC6EA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Gasparotto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2016</w:t>
            </w:r>
          </w:p>
        </w:tc>
      </w:tr>
      <w:tr w:rsidR="00EA62D1" w:rsidRPr="003A7235" w14:paraId="14E28D10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54898D44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Fertilizer management</w:t>
            </w:r>
          </w:p>
        </w:tc>
        <w:tc>
          <w:tcPr>
            <w:tcW w:w="4820" w:type="dxa"/>
            <w:noWrap/>
          </w:tcPr>
          <w:p w14:paraId="3BFD523B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Balanced organic fertilizer 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+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N control </w:t>
            </w:r>
          </w:p>
        </w:tc>
        <w:tc>
          <w:tcPr>
            <w:tcW w:w="3926" w:type="dxa"/>
            <w:noWrap/>
          </w:tcPr>
          <w:p w14:paraId="004863D3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Enhance resistance</w:t>
            </w:r>
          </w:p>
        </w:tc>
        <w:tc>
          <w:tcPr>
            <w:tcW w:w="3181" w:type="dxa"/>
            <w:noWrap/>
          </w:tcPr>
          <w:p w14:paraId="742A4694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val="pt-BR"/>
              </w:rPr>
            </w:pPr>
            <w:bookmarkStart w:id="3" w:name="OLE_LINK127"/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val="pt-BR"/>
              </w:rPr>
              <w:t>dos Santos</w:t>
            </w:r>
            <w:bookmarkEnd w:id="3"/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val="pt-BR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val="pt-BR"/>
              </w:rPr>
              <w:t xml:space="preserve"> 2009b</w:t>
            </w:r>
          </w:p>
        </w:tc>
      </w:tr>
      <w:tr w:rsidR="00EA62D1" w:rsidRPr="003022CC" w14:paraId="4963FE10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  <w:hideMark/>
          </w:tcPr>
          <w:p w14:paraId="524A52E3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  <w:lang w:val="pt-BR"/>
              </w:rPr>
            </w:pPr>
          </w:p>
        </w:tc>
        <w:tc>
          <w:tcPr>
            <w:tcW w:w="4820" w:type="dxa"/>
            <w:noWrap/>
            <w:hideMark/>
          </w:tcPr>
          <w:p w14:paraId="085AB186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SunSpray oil 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+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NH₄HCO₃</w:t>
            </w:r>
          </w:p>
        </w:tc>
        <w:tc>
          <w:tcPr>
            <w:tcW w:w="3926" w:type="dxa"/>
            <w:noWrap/>
            <w:hideMark/>
          </w:tcPr>
          <w:p w14:paraId="1A591A1A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Prevent melon GSB</w:t>
            </w:r>
          </w:p>
        </w:tc>
        <w:tc>
          <w:tcPr>
            <w:tcW w:w="3181" w:type="dxa"/>
            <w:noWrap/>
            <w:hideMark/>
          </w:tcPr>
          <w:p w14:paraId="674B28AA" w14:textId="43A4D3F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Ziv 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and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Zitter 1992</w:t>
            </w:r>
          </w:p>
        </w:tc>
      </w:tr>
      <w:tr w:rsidR="00EA62D1" w:rsidRPr="003022CC" w14:paraId="56D0D69C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  <w:hideMark/>
          </w:tcPr>
          <w:p w14:paraId="1C1692C4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noWrap/>
            <w:hideMark/>
          </w:tcPr>
          <w:p w14:paraId="290932B6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Silicon powder</w:t>
            </w:r>
          </w:p>
        </w:tc>
        <w:tc>
          <w:tcPr>
            <w:tcW w:w="3926" w:type="dxa"/>
            <w:noWrap/>
            <w:hideMark/>
          </w:tcPr>
          <w:p w14:paraId="60EB2ADC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Reduce GSB severity</w:t>
            </w:r>
          </w:p>
        </w:tc>
        <w:tc>
          <w:tcPr>
            <w:tcW w:w="3181" w:type="dxa"/>
            <w:noWrap/>
            <w:hideMark/>
          </w:tcPr>
          <w:p w14:paraId="38D82359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dos Santos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2010</w:t>
            </w:r>
          </w:p>
        </w:tc>
      </w:tr>
      <w:tr w:rsidR="00EA62D1" w:rsidRPr="003022CC" w14:paraId="72268690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 w:val="restart"/>
            <w:noWrap/>
          </w:tcPr>
          <w:p w14:paraId="24C6113D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  <w:t>Environmental regulation</w:t>
            </w:r>
          </w:p>
        </w:tc>
        <w:tc>
          <w:tcPr>
            <w:tcW w:w="4820" w:type="dxa"/>
            <w:noWrap/>
          </w:tcPr>
          <w:p w14:paraId="5D902095" w14:textId="77777777" w:rsidR="00EA62D1" w:rsidRPr="00620E75" w:rsidRDefault="00EA62D1" w:rsidP="008A45C6">
            <w:pPr>
              <w:widowControl/>
              <w:tabs>
                <w:tab w:val="left" w:pos="3068"/>
              </w:tabs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Elevated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/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drained fields</w:t>
            </w:r>
          </w:p>
        </w:tc>
        <w:tc>
          <w:tcPr>
            <w:tcW w:w="3926" w:type="dxa"/>
            <w:noWrap/>
          </w:tcPr>
          <w:p w14:paraId="7D3EE2A5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Prevents waterlogging</w:t>
            </w:r>
          </w:p>
        </w:tc>
        <w:tc>
          <w:tcPr>
            <w:tcW w:w="3181" w:type="dxa"/>
            <w:noWrap/>
          </w:tcPr>
          <w:p w14:paraId="7089D112" w14:textId="25647F6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Van Steekelenburg 1985</w:t>
            </w:r>
          </w:p>
        </w:tc>
      </w:tr>
      <w:tr w:rsidR="00EA62D1" w:rsidRPr="003022CC" w14:paraId="3D46B6E9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Merge/>
            <w:noWrap/>
          </w:tcPr>
          <w:p w14:paraId="4B053939" w14:textId="77777777" w:rsidR="00EA62D1" w:rsidRPr="00620E75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noWrap/>
          </w:tcPr>
          <w:p w14:paraId="227123BD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3h pre-sunrise greenhouse heating</w:t>
            </w:r>
          </w:p>
        </w:tc>
        <w:tc>
          <w:tcPr>
            <w:tcW w:w="3926" w:type="dxa"/>
            <w:noWrap/>
          </w:tcPr>
          <w:p w14:paraId="6974CFF1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Shorten high-humidity periods</w:t>
            </w:r>
          </w:p>
        </w:tc>
        <w:tc>
          <w:tcPr>
            <w:tcW w:w="3181" w:type="dxa"/>
            <w:noWrap/>
          </w:tcPr>
          <w:p w14:paraId="415A38ED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Neergaard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1993</w:t>
            </w:r>
          </w:p>
        </w:tc>
      </w:tr>
      <w:tr w:rsidR="00EA62D1" w:rsidRPr="003022CC" w14:paraId="4BC009FA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5CE3E82D" w14:textId="77777777" w:rsidR="00EA62D1" w:rsidRPr="00620E75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noWrap/>
          </w:tcPr>
          <w:p w14:paraId="2E4EF6E4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Prune withered branches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remove residues</w:t>
            </w:r>
          </w:p>
        </w:tc>
        <w:tc>
          <w:tcPr>
            <w:tcW w:w="3926" w:type="dxa"/>
            <w:noWrap/>
          </w:tcPr>
          <w:p w14:paraId="26625BED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Decrease pathogen survival</w:t>
            </w:r>
          </w:p>
        </w:tc>
        <w:tc>
          <w:tcPr>
            <w:tcW w:w="3181" w:type="dxa"/>
            <w:noWrap/>
          </w:tcPr>
          <w:p w14:paraId="266D576F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Neergaard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1993</w:t>
            </w:r>
          </w:p>
        </w:tc>
      </w:tr>
      <w:tr w:rsidR="00EA62D1" w:rsidRPr="003022CC" w14:paraId="31723F5B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214B8EB1" w14:textId="77777777" w:rsidR="00EA62D1" w:rsidRPr="00620E75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noWrap/>
          </w:tcPr>
          <w:p w14:paraId="6AADF217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Minimize mechanical injuries</w:t>
            </w:r>
          </w:p>
        </w:tc>
        <w:tc>
          <w:tcPr>
            <w:tcW w:w="3926" w:type="dxa"/>
            <w:noWrap/>
          </w:tcPr>
          <w:p w14:paraId="2E2D5BBC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Reduce infection risk</w:t>
            </w:r>
          </w:p>
        </w:tc>
        <w:tc>
          <w:tcPr>
            <w:tcW w:w="3181" w:type="dxa"/>
            <w:noWrap/>
          </w:tcPr>
          <w:p w14:paraId="1D250D0C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Zhang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2006</w:t>
            </w:r>
          </w:p>
        </w:tc>
      </w:tr>
      <w:tr w:rsidR="00EA62D1" w:rsidRPr="003022CC" w14:paraId="180C77FC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06F5502B" w14:textId="77777777" w:rsidR="00EA62D1" w:rsidRPr="00620E75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noWrap/>
          </w:tcPr>
          <w:p w14:paraId="0C112763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Rational ventilation</w:t>
            </w:r>
          </w:p>
        </w:tc>
        <w:tc>
          <w:tcPr>
            <w:tcW w:w="3926" w:type="dxa"/>
            <w:noWrap/>
          </w:tcPr>
          <w:p w14:paraId="0920C96D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Reduces humidity 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&amp;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dew formation</w:t>
            </w:r>
          </w:p>
        </w:tc>
        <w:tc>
          <w:tcPr>
            <w:tcW w:w="3181" w:type="dxa"/>
            <w:noWrap/>
          </w:tcPr>
          <w:p w14:paraId="49DC0083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Li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2008</w:t>
            </w:r>
          </w:p>
        </w:tc>
      </w:tr>
      <w:tr w:rsidR="00EA62D1" w:rsidRPr="00071F24" w14:paraId="5ACD2B6C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5" w:type="dxa"/>
            <w:gridSpan w:val="3"/>
            <w:noWrap/>
            <w:hideMark/>
          </w:tcPr>
          <w:p w14:paraId="3163C295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/>
                <w:bCs w:val="0"/>
                <w:i/>
                <w:color w:val="000000"/>
                <w:kern w:val="0"/>
                <w:sz w:val="24"/>
                <w:szCs w:val="24"/>
              </w:rPr>
              <w:t>Biological control</w:t>
            </w:r>
          </w:p>
        </w:tc>
        <w:tc>
          <w:tcPr>
            <w:tcW w:w="3181" w:type="dxa"/>
            <w:noWrap/>
            <w:hideMark/>
          </w:tcPr>
          <w:p w14:paraId="5B2CA545" w14:textId="77777777" w:rsidR="00EA62D1" w:rsidRPr="00071F24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EA62D1" w:rsidRPr="003022CC" w14:paraId="7095E9E7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0C07A288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 w:hint="eastAsia"/>
                <w:b w:val="0"/>
                <w:color w:val="000000"/>
                <w:kern w:val="0"/>
                <w:sz w:val="24"/>
                <w:szCs w:val="24"/>
              </w:rPr>
              <w:t>Antagonistic bacteria</w:t>
            </w:r>
          </w:p>
        </w:tc>
        <w:tc>
          <w:tcPr>
            <w:tcW w:w="4820" w:type="dxa"/>
            <w:noWrap/>
          </w:tcPr>
          <w:p w14:paraId="1BF2FC26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Bacillus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spp.</w:t>
            </w:r>
          </w:p>
        </w:tc>
        <w:tc>
          <w:tcPr>
            <w:tcW w:w="3926" w:type="dxa"/>
            <w:noWrap/>
          </w:tcPr>
          <w:p w14:paraId="53BFEEE2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Control cucumber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/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watermelon GSB</w:t>
            </w:r>
          </w:p>
        </w:tc>
        <w:tc>
          <w:tcPr>
            <w:tcW w:w="3181" w:type="dxa"/>
            <w:noWrap/>
          </w:tcPr>
          <w:p w14:paraId="053C2CF8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Dong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2008; Al-Mutar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2023;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Kaewkham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2016; Jeong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2024;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He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2025</w:t>
            </w:r>
          </w:p>
        </w:tc>
      </w:tr>
      <w:tr w:rsidR="00EA62D1" w:rsidRPr="003022CC" w14:paraId="3E345284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423B2B85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noWrap/>
          </w:tcPr>
          <w:p w14:paraId="730156AB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Pseudomonas fluorescens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M18</w:t>
            </w:r>
          </w:p>
        </w:tc>
        <w:tc>
          <w:tcPr>
            <w:tcW w:w="3926" w:type="dxa"/>
            <w:noWrap/>
          </w:tcPr>
          <w:p w14:paraId="1566D7A8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Control GSB with ~80% field efficacy</w:t>
            </w:r>
          </w:p>
        </w:tc>
        <w:tc>
          <w:tcPr>
            <w:tcW w:w="3181" w:type="dxa"/>
            <w:noWrap/>
          </w:tcPr>
          <w:p w14:paraId="256C137C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Zhu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2001; Sudisha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2006</w:t>
            </w:r>
          </w:p>
        </w:tc>
      </w:tr>
      <w:tr w:rsidR="00EA62D1" w:rsidRPr="003022CC" w14:paraId="2C35493D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  <w:hideMark/>
          </w:tcPr>
          <w:p w14:paraId="784E5CF4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 w:hint="eastAsia"/>
                <w:b w:val="0"/>
                <w:color w:val="000000"/>
                <w:kern w:val="0"/>
                <w:sz w:val="24"/>
                <w:szCs w:val="24"/>
              </w:rPr>
              <w:t>Antagonistic fungi</w:t>
            </w:r>
          </w:p>
        </w:tc>
        <w:tc>
          <w:tcPr>
            <w:tcW w:w="4820" w:type="dxa"/>
            <w:noWrap/>
            <w:hideMark/>
          </w:tcPr>
          <w:p w14:paraId="7150F606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Trichoderma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spp.</w:t>
            </w:r>
          </w:p>
        </w:tc>
        <w:tc>
          <w:tcPr>
            <w:tcW w:w="3926" w:type="dxa"/>
            <w:noWrap/>
            <w:hideMark/>
          </w:tcPr>
          <w:p w14:paraId="49FB27E9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Control watermelon GSB via seed treatment</w:t>
            </w:r>
          </w:p>
        </w:tc>
        <w:tc>
          <w:tcPr>
            <w:tcW w:w="3181" w:type="dxa"/>
            <w:noWrap/>
            <w:hideMark/>
          </w:tcPr>
          <w:p w14:paraId="31CAA5F8" w14:textId="77777777" w:rsidR="00EA62D1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Chen 1991b;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Sudisha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2006; Díaz-Gutiérrez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2021;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Intana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2022;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Nuangmek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2021;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4336E67E" w14:textId="688A3FDA" w:rsidR="000366F7" w:rsidRPr="00620E75" w:rsidRDefault="000366F7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366F7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Ruangwong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et al. 2021; You et al. 2023</w:t>
            </w:r>
          </w:p>
        </w:tc>
      </w:tr>
      <w:tr w:rsidR="00EA62D1" w:rsidRPr="003022CC" w14:paraId="687718D1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13477E5B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noWrap/>
          </w:tcPr>
          <w:p w14:paraId="38C730B1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Aspergillus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spp.</w:t>
            </w:r>
          </w:p>
        </w:tc>
        <w:tc>
          <w:tcPr>
            <w:tcW w:w="3926" w:type="dxa"/>
            <w:noWrap/>
          </w:tcPr>
          <w:p w14:paraId="4CA3C2A7" w14:textId="517A4476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Produce </w:t>
            </w:r>
            <w:r w:rsidR="00BC4807"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anti</w:t>
            </w:r>
            <w:r w:rsidR="00BC4807"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mic</w:t>
            </w:r>
            <w:r w:rsidR="00BC4807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ro</w:t>
            </w:r>
            <w:r w:rsidR="00BC4807"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bial</w:t>
            </w:r>
            <w:r w:rsidR="00BC4807"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compounds</w:t>
            </w:r>
          </w:p>
        </w:tc>
        <w:tc>
          <w:tcPr>
            <w:tcW w:w="3181" w:type="dxa"/>
          </w:tcPr>
          <w:p w14:paraId="416F5E07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Zhang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2008</w:t>
            </w:r>
          </w:p>
        </w:tc>
      </w:tr>
      <w:tr w:rsidR="00EA62D1" w:rsidRPr="003022CC" w14:paraId="3F95C633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3C0007CE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hAnsi="Times New Roman" w:cs="Times New Roman"/>
                <w:b w:val="0"/>
                <w:sz w:val="24"/>
                <w:szCs w:val="24"/>
              </w:rPr>
              <w:t>SynComs</w:t>
            </w:r>
          </w:p>
        </w:tc>
        <w:tc>
          <w:tcPr>
            <w:tcW w:w="4820" w:type="dxa"/>
            <w:noWrap/>
          </w:tcPr>
          <w:p w14:paraId="683849AB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Aspergillus aculeatus</w:t>
            </w:r>
            <w:r w:rsidRPr="00620E75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620E75">
              <w:rPr>
                <w:rFonts w:ascii="Times New Roman" w:hAnsi="Times New Roman" w:cs="Times New Roman" w:hint="eastAsia"/>
                <w:sz w:val="24"/>
                <w:szCs w:val="24"/>
              </w:rPr>
              <w:t>+</w:t>
            </w:r>
            <w:r w:rsidRPr="00620E7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Bacillus velezensis</w:t>
            </w:r>
            <w:r w:rsidRPr="00620E75">
              <w:rPr>
                <w:rFonts w:ascii="Times New Roman" w:hAnsi="Times New Roman" w:cs="Times New Roman"/>
                <w:sz w:val="24"/>
                <w:szCs w:val="24"/>
              </w:rPr>
              <w:t xml:space="preserve"> LJ02</w:t>
            </w:r>
          </w:p>
        </w:tc>
        <w:tc>
          <w:tcPr>
            <w:tcW w:w="3926" w:type="dxa"/>
            <w:noWrap/>
          </w:tcPr>
          <w:p w14:paraId="526F0B2C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  <w:t>Control GSB in watermelon</w:t>
            </w:r>
          </w:p>
        </w:tc>
        <w:tc>
          <w:tcPr>
            <w:tcW w:w="3181" w:type="dxa"/>
            <w:noWrap/>
          </w:tcPr>
          <w:p w14:paraId="090C7FF6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20E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Yu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 al.</w:t>
            </w:r>
            <w:r w:rsidRPr="00620E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2024</w:t>
            </w:r>
          </w:p>
        </w:tc>
      </w:tr>
      <w:tr w:rsidR="00EA62D1" w:rsidRPr="003022CC" w14:paraId="6640EFD5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  <w:hideMark/>
          </w:tcPr>
          <w:p w14:paraId="6FE17774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 w:hint="eastAsia"/>
                <w:b w:val="0"/>
                <w:color w:val="000000"/>
                <w:kern w:val="0"/>
                <w:sz w:val="24"/>
                <w:szCs w:val="24"/>
              </w:rPr>
              <w:t>Antagonistic actinomycetes</w:t>
            </w:r>
          </w:p>
        </w:tc>
        <w:tc>
          <w:tcPr>
            <w:tcW w:w="4820" w:type="dxa"/>
            <w:noWrap/>
            <w:hideMark/>
          </w:tcPr>
          <w:p w14:paraId="37B090AE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Streptomyces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spp.</w:t>
            </w:r>
          </w:p>
        </w:tc>
        <w:tc>
          <w:tcPr>
            <w:tcW w:w="3926" w:type="dxa"/>
            <w:noWrap/>
            <w:hideMark/>
          </w:tcPr>
          <w:p w14:paraId="0BAB40A6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Control GSB in melon</w:t>
            </w:r>
          </w:p>
        </w:tc>
        <w:tc>
          <w:tcPr>
            <w:tcW w:w="3181" w:type="dxa"/>
            <w:noWrap/>
            <w:hideMark/>
          </w:tcPr>
          <w:p w14:paraId="43DBE730" w14:textId="76C19DE0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Zhao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2012a, b;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0366F7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Gu et al. 2025; 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Wang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2025</w:t>
            </w:r>
          </w:p>
        </w:tc>
      </w:tr>
      <w:tr w:rsidR="00EA62D1" w:rsidRPr="003022CC" w14:paraId="55439EC8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  <w:hideMark/>
          </w:tcPr>
          <w:p w14:paraId="643D9E96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 w:hint="eastAsia"/>
                <w:b w:val="0"/>
                <w:color w:val="000000"/>
                <w:kern w:val="0"/>
                <w:sz w:val="24"/>
                <w:szCs w:val="24"/>
              </w:rPr>
              <w:t>Plant-derived active compounds</w:t>
            </w:r>
          </w:p>
        </w:tc>
        <w:tc>
          <w:tcPr>
            <w:tcW w:w="4820" w:type="dxa"/>
            <w:noWrap/>
            <w:hideMark/>
          </w:tcPr>
          <w:p w14:paraId="2AF9C306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L</w:t>
            </w:r>
            <w:r w:rsidRPr="00620E75">
              <w:rPr>
                <w:rFonts w:ascii="Times New Roman" w:hAnsi="Times New Roman" w:cs="Times New Roman"/>
                <w:bCs/>
                <w:sz w:val="24"/>
                <w:szCs w:val="24"/>
              </w:rPr>
              <w:t>eeks</w:t>
            </w:r>
            <w:r w:rsidRPr="00620E75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/</w:t>
            </w:r>
            <w:r w:rsidRPr="00620E75">
              <w:rPr>
                <w:rFonts w:ascii="Times New Roman" w:hAnsi="Times New Roman" w:cs="Times New Roman"/>
                <w:bCs/>
                <w:sz w:val="24"/>
                <w:szCs w:val="24"/>
              </w:rPr>
              <w:t>onions</w:t>
            </w:r>
            <w:r w:rsidRPr="00620E75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/</w:t>
            </w:r>
            <w:r w:rsidRPr="00620E7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Eucalyptus citriodora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/</w:t>
            </w:r>
            <w:r w:rsidRPr="00620E7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Ageratum conyzoides</w:t>
            </w:r>
            <w:r w:rsidRPr="00620E75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/</w:t>
            </w:r>
            <w:r w:rsidRPr="00620E7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Morinda citrifolia</w:t>
            </w:r>
            <w:r w:rsidRPr="00620E75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 xml:space="preserve"> extracts</w:t>
            </w:r>
          </w:p>
        </w:tc>
        <w:tc>
          <w:tcPr>
            <w:tcW w:w="3926" w:type="dxa"/>
            <w:noWrap/>
            <w:hideMark/>
          </w:tcPr>
          <w:p w14:paraId="4ABB918C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Inhibit mycelial growth &amp; sporulation</w:t>
            </w:r>
          </w:p>
        </w:tc>
        <w:tc>
          <w:tcPr>
            <w:tcW w:w="3181" w:type="dxa"/>
            <w:noWrap/>
            <w:hideMark/>
          </w:tcPr>
          <w:p w14:paraId="18CB95EF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Fiori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2000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; 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Dalcin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2022</w:t>
            </w:r>
          </w:p>
        </w:tc>
      </w:tr>
      <w:tr w:rsidR="00EA62D1" w:rsidRPr="003022CC" w14:paraId="46F5CC6E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  <w:hideMark/>
          </w:tcPr>
          <w:p w14:paraId="1E2F37E6" w14:textId="77777777" w:rsidR="00EA62D1" w:rsidRPr="00620E75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noWrap/>
            <w:hideMark/>
          </w:tcPr>
          <w:p w14:paraId="148032D9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O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ctanoic acid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/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a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lcoholic propolis solutions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/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thymol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formulation</w:t>
            </w:r>
          </w:p>
        </w:tc>
        <w:tc>
          <w:tcPr>
            <w:tcW w:w="3926" w:type="dxa"/>
            <w:noWrap/>
            <w:hideMark/>
          </w:tcPr>
          <w:p w14:paraId="152B5C77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Control GSB</w:t>
            </w:r>
          </w:p>
        </w:tc>
        <w:tc>
          <w:tcPr>
            <w:tcW w:w="3181" w:type="dxa"/>
            <w:noWrap/>
            <w:hideMark/>
          </w:tcPr>
          <w:p w14:paraId="3B870C76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Gallez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2015;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Kefialew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2018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; 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Dalcin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2022</w:t>
            </w:r>
          </w:p>
        </w:tc>
      </w:tr>
      <w:tr w:rsidR="00EA62D1" w:rsidRPr="003022CC" w14:paraId="698EEEE2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5EB06F53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 w:hint="eastAsia"/>
                <w:b w:val="0"/>
                <w:color w:val="000000"/>
                <w:kern w:val="0"/>
                <w:sz w:val="24"/>
                <w:szCs w:val="24"/>
              </w:rPr>
              <w:t>Induced disease resistance</w:t>
            </w:r>
          </w:p>
        </w:tc>
        <w:tc>
          <w:tcPr>
            <w:tcW w:w="4820" w:type="dxa"/>
            <w:noWrap/>
          </w:tcPr>
          <w:p w14:paraId="31ABBB6A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Acibenzolar-S-methyl/methyl jasmonate</w:t>
            </w:r>
          </w:p>
        </w:tc>
        <w:tc>
          <w:tcPr>
            <w:tcW w:w="3926" w:type="dxa"/>
            <w:noWrap/>
          </w:tcPr>
          <w:p w14:paraId="24419971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Enhance GSB resistance</w:t>
            </w:r>
          </w:p>
        </w:tc>
        <w:tc>
          <w:tcPr>
            <w:tcW w:w="3181" w:type="dxa"/>
            <w:noWrap/>
          </w:tcPr>
          <w:p w14:paraId="03A845EB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Buzi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2004</w:t>
            </w:r>
          </w:p>
        </w:tc>
      </w:tr>
      <w:tr w:rsidR="00EA62D1" w:rsidRPr="003022CC" w14:paraId="71114215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2B6F3BE1" w14:textId="77777777" w:rsidR="00EA62D1" w:rsidRPr="00620E75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noWrap/>
          </w:tcPr>
          <w:p w14:paraId="6558F02B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Pseudomonas aeruginosa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23₁₋₁</w:t>
            </w:r>
          </w:p>
        </w:tc>
        <w:tc>
          <w:tcPr>
            <w:tcW w:w="3926" w:type="dxa"/>
            <w:noWrap/>
          </w:tcPr>
          <w:p w14:paraId="20027BC3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Induce 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defense responses</w:t>
            </w:r>
          </w:p>
        </w:tc>
        <w:tc>
          <w:tcPr>
            <w:tcW w:w="3181" w:type="dxa"/>
            <w:noWrap/>
          </w:tcPr>
          <w:p w14:paraId="1A52AF06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Nga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2010</w:t>
            </w:r>
          </w:p>
        </w:tc>
      </w:tr>
      <w:tr w:rsidR="00EA62D1" w:rsidRPr="003022CC" w14:paraId="0B7C6BC8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3E2115B7" w14:textId="77777777" w:rsidR="00EA62D1" w:rsidRPr="00620E75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noWrap/>
          </w:tcPr>
          <w:p w14:paraId="164AF183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O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ligosaccharides</w:t>
            </w:r>
          </w:p>
        </w:tc>
        <w:tc>
          <w:tcPr>
            <w:tcW w:w="3926" w:type="dxa"/>
            <w:noWrap/>
          </w:tcPr>
          <w:p w14:paraId="541FF4DF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Induce 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structural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/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physiological defenses</w:t>
            </w:r>
          </w:p>
        </w:tc>
        <w:tc>
          <w:tcPr>
            <w:tcW w:w="3181" w:type="dxa"/>
            <w:noWrap/>
          </w:tcPr>
          <w:p w14:paraId="6901F762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4" w:name="OLE_LINK189"/>
            <w:bookmarkStart w:id="5" w:name="OLE_LINK190"/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Mahadevaswamy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2023</w:t>
            </w:r>
            <w:bookmarkEnd w:id="4"/>
            <w:bookmarkEnd w:id="5"/>
          </w:p>
        </w:tc>
      </w:tr>
      <w:tr w:rsidR="00EA62D1" w:rsidRPr="003022CC" w14:paraId="712F837F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3F3F90D4" w14:textId="77777777" w:rsidR="00EA62D1" w:rsidRPr="00620E75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noWrap/>
          </w:tcPr>
          <w:p w14:paraId="04A3DF33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val="pt-BR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val="pt-BR"/>
              </w:rPr>
              <w:t xml:space="preserve">Sodium tetraborate </w:t>
            </w:r>
          </w:p>
        </w:tc>
        <w:tc>
          <w:tcPr>
            <w:tcW w:w="3926" w:type="dxa"/>
            <w:noWrap/>
          </w:tcPr>
          <w:p w14:paraId="1DB65443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Activate 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systemic resistance</w:t>
            </w:r>
          </w:p>
        </w:tc>
        <w:tc>
          <w:tcPr>
            <w:tcW w:w="3181" w:type="dxa"/>
            <w:noWrap/>
          </w:tcPr>
          <w:p w14:paraId="76CB52AC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Nga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2024b</w:t>
            </w:r>
          </w:p>
        </w:tc>
      </w:tr>
      <w:tr w:rsidR="00EA62D1" w:rsidRPr="00071F24" w14:paraId="7C5EE788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gridSpan w:val="2"/>
            <w:noWrap/>
            <w:hideMark/>
          </w:tcPr>
          <w:p w14:paraId="46D49872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Cs w:val="0"/>
                <w:i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/>
                <w:bCs w:val="0"/>
                <w:i/>
                <w:color w:val="000000"/>
                <w:kern w:val="0"/>
                <w:sz w:val="24"/>
                <w:szCs w:val="24"/>
              </w:rPr>
              <w:t>Fungicide application</w:t>
            </w:r>
          </w:p>
        </w:tc>
        <w:tc>
          <w:tcPr>
            <w:tcW w:w="3926" w:type="dxa"/>
            <w:noWrap/>
            <w:hideMark/>
          </w:tcPr>
          <w:p w14:paraId="64E92A40" w14:textId="77777777" w:rsidR="00EA62D1" w:rsidRPr="00071F24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81" w:type="dxa"/>
            <w:noWrap/>
            <w:hideMark/>
          </w:tcPr>
          <w:p w14:paraId="6006B51C" w14:textId="77777777" w:rsidR="00EA62D1" w:rsidRPr="00071F24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 w:rsidR="00EA62D1" w:rsidRPr="003022CC" w14:paraId="58263967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5FE54FFB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  <w:lastRenderedPageBreak/>
              <w:t>Se</w:t>
            </w:r>
            <w:r w:rsidRPr="00071F24">
              <w:rPr>
                <w:rFonts w:ascii="Times New Roman" w:eastAsia="DengXian" w:hAnsi="Times New Roman" w:cs="Times New Roman" w:hint="eastAsia"/>
                <w:b w:val="0"/>
                <w:color w:val="000000"/>
                <w:kern w:val="0"/>
                <w:sz w:val="24"/>
                <w:szCs w:val="24"/>
              </w:rPr>
              <w:t>ed treatment</w:t>
            </w:r>
          </w:p>
        </w:tc>
        <w:tc>
          <w:tcPr>
            <w:tcW w:w="4820" w:type="dxa"/>
            <w:noWrap/>
          </w:tcPr>
          <w:p w14:paraId="7B3A2885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Carbendazim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/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Thiophanate-methyl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/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Mancozeb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/Acibenzolar-S-methyl/Methyl jasmonate/Peroxyacetic acid</w:t>
            </w:r>
          </w:p>
        </w:tc>
        <w:tc>
          <w:tcPr>
            <w:tcW w:w="3926" w:type="dxa"/>
            <w:noWrap/>
          </w:tcPr>
          <w:p w14:paraId="01317C71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Prevents seedborne GSB fungi</w:t>
            </w:r>
          </w:p>
        </w:tc>
        <w:tc>
          <w:tcPr>
            <w:tcW w:w="3181" w:type="dxa"/>
            <w:noWrap/>
          </w:tcPr>
          <w:p w14:paraId="627FB3EB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Sudisha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2006;</w:t>
            </w:r>
            <w:r w:rsidRPr="00620E75">
              <w:rPr>
                <w:rFonts w:hint="eastAsia"/>
                <w:sz w:val="24"/>
                <w:szCs w:val="24"/>
              </w:rPr>
              <w:t xml:space="preserve"> 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Buzi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2004; Hopkins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2003</w:t>
            </w:r>
          </w:p>
        </w:tc>
      </w:tr>
      <w:tr w:rsidR="00EA62D1" w:rsidRPr="003022CC" w14:paraId="5C328614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</w:tcPr>
          <w:p w14:paraId="4D751376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  <w:r w:rsidRPr="00071F24">
              <w:rPr>
                <w:rFonts w:ascii="Times New Roman" w:eastAsia="DengXian" w:hAnsi="Times New Roman" w:cs="Times New Roman" w:hint="eastAsia"/>
                <w:b w:val="0"/>
                <w:color w:val="000000"/>
                <w:kern w:val="0"/>
                <w:sz w:val="24"/>
                <w:szCs w:val="24"/>
              </w:rPr>
              <w:t>Field spray</w:t>
            </w:r>
          </w:p>
        </w:tc>
        <w:tc>
          <w:tcPr>
            <w:tcW w:w="4820" w:type="dxa"/>
            <w:noWrap/>
          </w:tcPr>
          <w:p w14:paraId="1F78770D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Trifloxystrobin·difenoconazole,</w:t>
            </w:r>
          </w:p>
        </w:tc>
        <w:tc>
          <w:tcPr>
            <w:tcW w:w="3926" w:type="dxa"/>
            <w:noWrap/>
          </w:tcPr>
          <w:p w14:paraId="6B7BF7C0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Controls GSB</w:t>
            </w:r>
          </w:p>
        </w:tc>
        <w:tc>
          <w:tcPr>
            <w:tcW w:w="3181" w:type="dxa"/>
            <w:noWrap/>
          </w:tcPr>
          <w:p w14:paraId="0DDC6C47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Zheng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2016</w:t>
            </w:r>
          </w:p>
        </w:tc>
      </w:tr>
      <w:tr w:rsidR="00EA62D1" w:rsidRPr="003022CC" w14:paraId="33ECF86D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  <w:hideMark/>
          </w:tcPr>
          <w:p w14:paraId="194EA681" w14:textId="77777777" w:rsidR="00EA62D1" w:rsidRPr="00071F24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b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noWrap/>
            <w:hideMark/>
          </w:tcPr>
          <w:p w14:paraId="7956524A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Cyprodinil 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+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fludioxonil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/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cyprodinil 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+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difenoconazole, </w:t>
            </w:r>
          </w:p>
        </w:tc>
        <w:tc>
          <w:tcPr>
            <w:tcW w:w="3926" w:type="dxa"/>
            <w:noWrap/>
            <w:hideMark/>
          </w:tcPr>
          <w:p w14:paraId="7F9FE042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Reduce </w:t>
            </w:r>
            <w:r w:rsidRPr="00620E75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S. citrulli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fruiting body</w:t>
            </w:r>
          </w:p>
        </w:tc>
        <w:tc>
          <w:tcPr>
            <w:tcW w:w="3181" w:type="dxa"/>
            <w:noWrap/>
            <w:hideMark/>
          </w:tcPr>
          <w:p w14:paraId="336B3C16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Keinath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2013; 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Keinath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2021</w:t>
            </w:r>
          </w:p>
        </w:tc>
      </w:tr>
      <w:tr w:rsidR="00EA62D1" w:rsidRPr="003022CC" w14:paraId="713EC3A3" w14:textId="77777777" w:rsidTr="00E32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noWrap/>
            <w:hideMark/>
          </w:tcPr>
          <w:p w14:paraId="25033EAC" w14:textId="77777777" w:rsidR="00EA62D1" w:rsidRPr="00620E75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noWrap/>
            <w:hideMark/>
          </w:tcPr>
          <w:p w14:paraId="0888147F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val="pt-BR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:lang w:val="pt-BR"/>
              </w:rPr>
              <w:t>Mancoze/Chlorothalonil/Prochloraz/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val="pt-BR"/>
              </w:rPr>
              <w:t xml:space="preserve"> Difenoconazole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:lang w:val="pt-BR"/>
              </w:rPr>
              <w:t>/B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val="pt-BR"/>
              </w:rPr>
              <w:t>oscalid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  <w:lang w:val="pt-BR"/>
              </w:rPr>
              <w:t>/</w:t>
            </w:r>
          </w:p>
          <w:p w14:paraId="6786EE9A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val="pt-BR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:lang w:val="pt-BR"/>
              </w:rPr>
              <w:t>Difenoconazole+boscalid</w:t>
            </w:r>
          </w:p>
        </w:tc>
        <w:tc>
          <w:tcPr>
            <w:tcW w:w="3926" w:type="dxa"/>
            <w:noWrap/>
            <w:hideMark/>
          </w:tcPr>
          <w:p w14:paraId="3E7C7910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Control GSB</w:t>
            </w:r>
          </w:p>
        </w:tc>
        <w:tc>
          <w:tcPr>
            <w:tcW w:w="3181" w:type="dxa"/>
            <w:noWrap/>
            <w:hideMark/>
          </w:tcPr>
          <w:p w14:paraId="483D42F6" w14:textId="77777777" w:rsidR="00EA62D1" w:rsidRPr="00620E75" w:rsidRDefault="00EA62D1" w:rsidP="008A45C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Keinath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2001,2013;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Sun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2021; 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Liang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2021</w:t>
            </w:r>
          </w:p>
        </w:tc>
      </w:tr>
      <w:tr w:rsidR="00EA62D1" w:rsidRPr="003022CC" w14:paraId="37D33A0E" w14:textId="77777777" w:rsidTr="00E324FC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tcBorders>
              <w:bottom w:val="single" w:sz="4" w:space="0" w:color="auto"/>
            </w:tcBorders>
            <w:noWrap/>
            <w:hideMark/>
          </w:tcPr>
          <w:p w14:paraId="0FE4301D" w14:textId="77777777" w:rsidR="00EA62D1" w:rsidRPr="00620E75" w:rsidRDefault="00EA62D1" w:rsidP="008A45C6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noWrap/>
            <w:hideMark/>
          </w:tcPr>
          <w:p w14:paraId="40169197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Tiadinil</w:t>
            </w:r>
          </w:p>
        </w:tc>
        <w:tc>
          <w:tcPr>
            <w:tcW w:w="3926" w:type="dxa"/>
            <w:tcBorders>
              <w:bottom w:val="single" w:sz="4" w:space="0" w:color="auto"/>
            </w:tcBorders>
            <w:noWrap/>
            <w:hideMark/>
          </w:tcPr>
          <w:p w14:paraId="3CDC2B84" w14:textId="10367401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Antifungal activity &amp; </w:t>
            </w:r>
            <w:r w:rsidR="00077CAF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defense </w:t>
            </w:r>
            <w:r w:rsidRPr="00620E75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induc</w:t>
            </w:r>
            <w:r w:rsidR="00077CAF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tion</w:t>
            </w:r>
          </w:p>
        </w:tc>
        <w:tc>
          <w:tcPr>
            <w:tcW w:w="3181" w:type="dxa"/>
            <w:tcBorders>
              <w:bottom w:val="single" w:sz="4" w:space="0" w:color="auto"/>
            </w:tcBorders>
            <w:noWrap/>
            <w:hideMark/>
          </w:tcPr>
          <w:p w14:paraId="657E42BD" w14:textId="77777777" w:rsidR="00EA62D1" w:rsidRPr="00620E75" w:rsidRDefault="00EA62D1" w:rsidP="008A45C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Kefialew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 al.</w:t>
            </w:r>
            <w:r w:rsidRPr="00620E7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2018</w:t>
            </w:r>
          </w:p>
        </w:tc>
      </w:tr>
      <w:bookmarkEnd w:id="2"/>
    </w:tbl>
    <w:p w14:paraId="3D670C6B" w14:textId="77777777" w:rsidR="00EA62D1" w:rsidRPr="00CE4776" w:rsidRDefault="00EA62D1" w:rsidP="008A45C6"/>
    <w:p w14:paraId="20AFE280" w14:textId="77777777" w:rsidR="00EA62D1" w:rsidRDefault="00EA62D1" w:rsidP="008A45C6"/>
    <w:bookmarkEnd w:id="0"/>
    <w:p w14:paraId="54A95146" w14:textId="77777777" w:rsidR="00EA62D1" w:rsidRDefault="00EA62D1" w:rsidP="008A45C6"/>
    <w:sectPr w:rsidR="00EA62D1" w:rsidSect="00EA62D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CE752" w14:textId="77777777" w:rsidR="00FA4169" w:rsidRDefault="00FA4169" w:rsidP="00A04B3E">
      <w:r>
        <w:separator/>
      </w:r>
    </w:p>
  </w:endnote>
  <w:endnote w:type="continuationSeparator" w:id="0">
    <w:p w14:paraId="3933DDBE" w14:textId="77777777" w:rsidR="00FA4169" w:rsidRDefault="00FA4169" w:rsidP="00A04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TSong">
    <w:altName w:val="Microsoft YaHei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FCCAD3" w14:textId="77777777" w:rsidR="00FA4169" w:rsidRDefault="00FA4169" w:rsidP="00A04B3E">
      <w:r>
        <w:separator/>
      </w:r>
    </w:p>
  </w:footnote>
  <w:footnote w:type="continuationSeparator" w:id="0">
    <w:p w14:paraId="38CBBDF6" w14:textId="77777777" w:rsidR="00FA4169" w:rsidRDefault="00FA4169" w:rsidP="00A04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c0MrYwNjU0NjQ2NzJT0lEKTi0uzszPAykwrAUAkfJLuCwAAAA="/>
  </w:docVars>
  <w:rsids>
    <w:rsidRoot w:val="00EA62D1"/>
    <w:rsid w:val="000366F7"/>
    <w:rsid w:val="00041DF9"/>
    <w:rsid w:val="00077CAF"/>
    <w:rsid w:val="000B2A06"/>
    <w:rsid w:val="001B3E77"/>
    <w:rsid w:val="00276F2B"/>
    <w:rsid w:val="00354C27"/>
    <w:rsid w:val="003E0F05"/>
    <w:rsid w:val="004A576A"/>
    <w:rsid w:val="005C0A02"/>
    <w:rsid w:val="0062484E"/>
    <w:rsid w:val="008101A2"/>
    <w:rsid w:val="00827613"/>
    <w:rsid w:val="008A45C6"/>
    <w:rsid w:val="009A2618"/>
    <w:rsid w:val="00A04B3E"/>
    <w:rsid w:val="00A14114"/>
    <w:rsid w:val="00BA780C"/>
    <w:rsid w:val="00BC4807"/>
    <w:rsid w:val="00C778DB"/>
    <w:rsid w:val="00CA6916"/>
    <w:rsid w:val="00CE6225"/>
    <w:rsid w:val="00DD16F7"/>
    <w:rsid w:val="00E814F6"/>
    <w:rsid w:val="00EA62D1"/>
    <w:rsid w:val="00FA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8B3C3F"/>
  <w15:chartTrackingRefBased/>
  <w15:docId w15:val="{FFA6FAF7-CD05-409A-9F38-DD79D47D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2D1"/>
    <w:pPr>
      <w:widowControl w:val="0"/>
      <w:jc w:val="both"/>
    </w:pPr>
    <w:rPr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62D1"/>
    <w:pPr>
      <w:keepNext/>
      <w:keepLines/>
      <w:widowControl/>
      <w:spacing w:before="48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62D1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2D1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2D1"/>
    <w:pPr>
      <w:keepNext/>
      <w:keepLines/>
      <w:widowControl/>
      <w:spacing w:before="80" w:after="40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2D1"/>
    <w:pPr>
      <w:keepNext/>
      <w:keepLines/>
      <w:widowControl/>
      <w:spacing w:before="80" w:after="40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2D1"/>
    <w:pPr>
      <w:keepNext/>
      <w:keepLines/>
      <w:widowControl/>
      <w:spacing w:before="40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2D1"/>
    <w:pPr>
      <w:keepNext/>
      <w:keepLines/>
      <w:widowControl/>
      <w:spacing w:before="40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2D1"/>
    <w:pPr>
      <w:keepNext/>
      <w:keepLines/>
      <w:widowControl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2D1"/>
    <w:pPr>
      <w:keepNext/>
      <w:keepLines/>
      <w:widowControl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2D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6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2D1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2D1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2D1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2D1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2D1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2D1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EA62D1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6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2D1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62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2D1"/>
    <w:pPr>
      <w:widowControl/>
      <w:spacing w:before="160" w:after="160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62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2D1"/>
    <w:pPr>
      <w:widowControl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62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2D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2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2D1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EA62D1"/>
    <w:rPr>
      <w:sz w:val="21"/>
      <w:szCs w:val="22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A04B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04B3E"/>
    <w:rPr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04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04B3E"/>
    <w:rPr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E814F6"/>
    <w:rPr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EEF80-45C3-4CAE-AC7D-F9075D9B6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450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 Song</dc:creator>
  <cp:keywords/>
  <dc:description/>
  <cp:lastModifiedBy>Devisri Perumal</cp:lastModifiedBy>
  <cp:revision>5</cp:revision>
  <dcterms:created xsi:type="dcterms:W3CDTF">2025-12-20T01:27:00Z</dcterms:created>
  <dcterms:modified xsi:type="dcterms:W3CDTF">2025-12-31T09:24:00Z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881fc3f7-ab64-45bf-a2b3-316843e80323</vt:lpwstr>
  </property>
</Properties>
</file>