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B239C">
      <w:pPr>
        <w:spacing w:line="480" w:lineRule="auto"/>
        <w:jc w:val="center"/>
        <w:rPr>
          <w:rFonts w:hint="default" w:ascii="Times New Roman" w:hAnsi="Times New Roman" w:eastAsia="Times New Roman" w:cs="Times New Roman"/>
          <w:b/>
          <w:bCs/>
          <w:i w:val="0"/>
          <w:color w:val="000000"/>
          <w:sz w:val="36"/>
          <w:szCs w:val="36"/>
          <w:u w:val="none"/>
          <w:lang w:eastAsia="zh-CN"/>
        </w:rPr>
      </w:pPr>
      <w:r>
        <w:rPr>
          <w:rFonts w:hint="default" w:ascii="Times New Roman" w:hAnsi="Times New Roman" w:eastAsia="Times New Roman" w:cs="Times New Roman"/>
          <w:b/>
          <w:bCs/>
          <w:i w:val="0"/>
          <w:color w:val="000000"/>
          <w:sz w:val="36"/>
          <w:szCs w:val="36"/>
          <w:u w:val="none"/>
          <w:lang w:eastAsia="zh-CN"/>
        </w:rPr>
        <w:t>Supplemental Online Content</w:t>
      </w:r>
    </w:p>
    <w:p w14:paraId="59A81CA3">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default" w:ascii="Times New Roman" w:hAnsi="Times New Roman" w:eastAsia="Times New Roman" w:cs="Times New Roman"/>
          <w:b/>
          <w:bCs/>
          <w:i w:val="0"/>
          <w:color w:val="000000"/>
          <w:sz w:val="21"/>
          <w:szCs w:val="21"/>
          <w:u w:val="none"/>
          <w:lang w:val="en-US" w:eastAsia="zh-CN"/>
        </w:rPr>
        <w:t>SFigure 1. Association of serum IGF-1 with incident epilepsy in the main and lagged Cox analyses.</w:t>
      </w:r>
    </w:p>
    <w:p w14:paraId="0AA581A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default" w:ascii="Times New Roman" w:hAnsi="Times New Roman" w:eastAsia="Times New Roman" w:cs="Times New Roman"/>
          <w:b/>
          <w:bCs/>
          <w:i w:val="0"/>
          <w:color w:val="000000"/>
          <w:sz w:val="21"/>
          <w:szCs w:val="21"/>
          <w:u w:val="none"/>
          <w:lang w:val="en-US" w:eastAsia="zh-CN"/>
        </w:rPr>
        <w:t>SFigure 2. Kaplan–Meier curves for incident epilepsy according to quartiles of serum IGF-1.</w:t>
      </w:r>
    </w:p>
    <w:p w14:paraId="75B62BF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default" w:ascii="Times New Roman" w:hAnsi="Times New Roman" w:eastAsia="Times New Roman" w:cs="Times New Roman"/>
          <w:b/>
          <w:bCs/>
          <w:i w:val="0"/>
          <w:color w:val="000000"/>
          <w:sz w:val="21"/>
          <w:szCs w:val="21"/>
          <w:u w:val="none"/>
          <w:lang w:val="en-US" w:eastAsia="zh-CN"/>
        </w:rPr>
        <w:t>SFigure</w:t>
      </w:r>
      <w:r>
        <w:rPr>
          <w:rFonts w:hint="eastAsia" w:ascii="Times New Roman" w:hAnsi="Times New Roman" w:eastAsia="Times New Roman" w:cs="Times New Roman"/>
          <w:b/>
          <w:bCs/>
          <w:i w:val="0"/>
          <w:color w:val="000000"/>
          <w:sz w:val="21"/>
          <w:szCs w:val="21"/>
          <w:u w:val="none"/>
          <w:lang w:val="en-US" w:eastAsia="zh-CN"/>
        </w:rPr>
        <w:t xml:space="preserve"> </w:t>
      </w:r>
      <w:r>
        <w:rPr>
          <w:rFonts w:hint="default" w:ascii="Times New Roman" w:hAnsi="Times New Roman" w:eastAsia="Times New Roman" w:cs="Times New Roman"/>
          <w:b/>
          <w:bCs/>
          <w:i w:val="0"/>
          <w:color w:val="000000"/>
          <w:sz w:val="21"/>
          <w:szCs w:val="21"/>
          <w:u w:val="none"/>
          <w:lang w:val="en-US" w:eastAsia="zh-CN"/>
        </w:rPr>
        <w:t>3. Longitudinal association between serum IGF-1 levels and performance on different cognitive tests in the entire cohort of participants (N = 3,710–16,350).</w:t>
      </w:r>
    </w:p>
    <w:p w14:paraId="0F994877">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highlight w:val="none"/>
          <w:u w:val="none"/>
          <w:lang w:val="en-US" w:eastAsia="zh-CN"/>
        </w:rPr>
      </w:pPr>
      <w:r>
        <w:rPr>
          <w:rFonts w:hint="default" w:ascii="Times New Roman" w:hAnsi="Times New Roman" w:eastAsia="Times New Roman" w:cs="Times New Roman"/>
          <w:b/>
          <w:bCs/>
          <w:i w:val="0"/>
          <w:color w:val="000000"/>
          <w:sz w:val="21"/>
          <w:szCs w:val="21"/>
          <w:highlight w:val="none"/>
          <w:u w:val="none"/>
          <w:lang w:val="en-US" w:eastAsia="zh-CN"/>
        </w:rPr>
        <w:t>SFigure 4. Subgroup and interaction analyses for the association between serum IGF-1 and incident epilepsy.</w:t>
      </w:r>
    </w:p>
    <w:p w14:paraId="388E7DE6">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p>
    <w:p w14:paraId="1C761D93">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1. Post hoc pairwise comparisons of baseline characteristics across epilepsy-status groups.</w:t>
      </w:r>
    </w:p>
    <w:p w14:paraId="15A2474B">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2. Prespecified Cox proportional hazards models for incident epilepsy.</w:t>
      </w:r>
    </w:p>
    <w:p w14:paraId="468F172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3. Proportional hazards assumption, missing data, and model notes for the Cox analyses.</w:t>
      </w:r>
    </w:p>
    <w:p w14:paraId="123CCF87">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4. Lagged Cox analyses excluding epilepsy events occurring within the first 2 and 5 years of follow-up.</w:t>
      </w:r>
    </w:p>
    <w:p w14:paraId="50ABC69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5. Association of serum IGF-1 quartiles and per 1 SD increase with incident epilepsy, including event counts, person-years, incidence rates, and 15-year cumulative incidence.</w:t>
      </w:r>
    </w:p>
    <w:p w14:paraId="3C552B9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6. Alternative alcohol coding sensitivity analysis for the association between serum IGF-1 and incident epilepsy.</w:t>
      </w:r>
    </w:p>
    <w:p w14:paraId="3134D348">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7. FDR-adjusted results for the associations between serum IGF-1 and cognitive performance across domains.</w:t>
      </w:r>
    </w:p>
    <w:p w14:paraId="3B4E34C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val="en-US" w:eastAsia="zh-CN"/>
        </w:rPr>
      </w:pPr>
      <w:r>
        <w:rPr>
          <w:rFonts w:hint="eastAsia"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val="en-US" w:eastAsia="zh-CN"/>
        </w:rPr>
        <w:t xml:space="preserve"> 8. Subgroup and interaction analyses for the association between serum IGF-1 and incident epilepsy.</w:t>
      </w:r>
    </w:p>
    <w:p w14:paraId="6FB19987">
      <w:pPr>
        <w:rPr>
          <w:rFonts w:hint="default" w:ascii="Times New Roman" w:hAnsi="Times New Roman" w:eastAsia="Times New Roman" w:cs="Times New Roman"/>
          <w:b/>
          <w:bCs/>
          <w:i w:val="0"/>
          <w:color w:val="000000"/>
          <w:sz w:val="21"/>
          <w:szCs w:val="21"/>
          <w:u w:val="none"/>
          <w:lang w:val="en-US" w:eastAsia="zh-CN"/>
        </w:rPr>
      </w:pPr>
      <w:r>
        <w:rPr>
          <w:rFonts w:hint="default" w:ascii="Times New Roman" w:hAnsi="Times New Roman" w:eastAsia="Times New Roman" w:cs="Times New Roman"/>
          <w:b/>
          <w:bCs/>
          <w:i w:val="0"/>
          <w:color w:val="000000"/>
          <w:sz w:val="21"/>
          <w:szCs w:val="21"/>
          <w:u w:val="none"/>
          <w:lang w:val="en-US" w:eastAsia="zh-CN"/>
        </w:rPr>
        <w:br w:type="page"/>
      </w:r>
    </w:p>
    <w:p w14:paraId="4CDDC71C">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val="0"/>
          <w:bCs w:val="0"/>
          <w:i w:val="0"/>
          <w:color w:val="000000"/>
          <w:sz w:val="21"/>
          <w:szCs w:val="21"/>
          <w:u w:val="none"/>
          <w:lang w:eastAsia="zh-CN"/>
        </w:rPr>
      </w:pPr>
      <w:r>
        <w:rPr>
          <w:rFonts w:hint="default" w:ascii="Times New Roman" w:hAnsi="Times New Roman" w:eastAsia="Times New Roman" w:cs="Times New Roman"/>
          <w:b w:val="0"/>
          <w:bCs w:val="0"/>
          <w:i w:val="0"/>
          <w:color w:val="000000"/>
          <w:sz w:val="21"/>
          <w:szCs w:val="21"/>
          <w:u w:val="none"/>
          <w:lang w:eastAsia="zh-CN"/>
        </w:rPr>
        <w:drawing>
          <wp:inline distT="0" distB="0" distL="114300" distR="114300">
            <wp:extent cx="5266690" cy="2176780"/>
            <wp:effectExtent l="0" t="0" r="16510" b="7620"/>
            <wp:docPr id="5" name="图片 5" descr="S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Figure1"/>
                    <pic:cNvPicPr>
                      <a:picLocks noChangeAspect="1"/>
                    </pic:cNvPicPr>
                  </pic:nvPicPr>
                  <pic:blipFill>
                    <a:blip r:embed="rId6"/>
                    <a:stretch>
                      <a:fillRect/>
                    </a:stretch>
                  </pic:blipFill>
                  <pic:spPr>
                    <a:xfrm>
                      <a:off x="0" y="0"/>
                      <a:ext cx="5266690" cy="2176780"/>
                    </a:xfrm>
                    <a:prstGeom prst="rect">
                      <a:avLst/>
                    </a:prstGeom>
                  </pic:spPr>
                </pic:pic>
              </a:graphicData>
            </a:graphic>
          </wp:inline>
        </w:drawing>
      </w:r>
    </w:p>
    <w:p w14:paraId="1B0E0EB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eastAsia="zh-CN"/>
        </w:rPr>
      </w:pPr>
      <w:r>
        <w:rPr>
          <w:rFonts w:hint="default" w:ascii="Times New Roman" w:hAnsi="Times New Roman" w:eastAsia="Times New Roman" w:cs="Times New Roman"/>
          <w:b/>
          <w:bCs/>
          <w:i w:val="0"/>
          <w:color w:val="000000"/>
          <w:sz w:val="21"/>
          <w:szCs w:val="21"/>
          <w:u w:val="none"/>
          <w:lang w:val="en-US" w:eastAsia="zh-CN"/>
        </w:rPr>
        <w:t>SFigure</w:t>
      </w:r>
      <w:r>
        <w:rPr>
          <w:rFonts w:hint="default" w:ascii="Times New Roman" w:hAnsi="Times New Roman" w:eastAsia="Times New Roman" w:cs="Times New Roman"/>
          <w:b/>
          <w:bCs/>
          <w:i w:val="0"/>
          <w:color w:val="000000"/>
          <w:sz w:val="21"/>
          <w:szCs w:val="21"/>
          <w:u w:val="none"/>
          <w:lang w:eastAsia="zh-CN"/>
        </w:rPr>
        <w:t xml:space="preserve"> 1. </w:t>
      </w:r>
      <w:r>
        <w:rPr>
          <w:rFonts w:hint="default" w:ascii="Times New Roman" w:hAnsi="Times New Roman" w:eastAsia="Times New Roman" w:cs="Times New Roman"/>
          <w:b/>
          <w:bCs/>
          <w:i w:val="0"/>
          <w:color w:val="000000"/>
          <w:sz w:val="21"/>
          <w:szCs w:val="21"/>
          <w:u w:val="none"/>
          <w:lang w:val="en-US" w:eastAsia="zh-CN"/>
        </w:rPr>
        <w:t>Association of serum IGF-1 with incident epilepsy in the main and lagged Cox analyses</w:t>
      </w:r>
      <w:r>
        <w:rPr>
          <w:rFonts w:hint="default" w:ascii="Times New Roman" w:hAnsi="Times New Roman" w:eastAsia="Times New Roman" w:cs="Times New Roman"/>
          <w:b/>
          <w:bCs/>
          <w:i w:val="0"/>
          <w:color w:val="000000"/>
          <w:sz w:val="21"/>
          <w:szCs w:val="21"/>
          <w:u w:val="none"/>
          <w:lang w:eastAsia="zh-CN"/>
        </w:rPr>
        <w:t>.</w:t>
      </w:r>
    </w:p>
    <w:p w14:paraId="3F794CF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val="0"/>
          <w:bCs w:val="0"/>
          <w:i w:val="0"/>
          <w:color w:val="000000"/>
          <w:sz w:val="21"/>
          <w:szCs w:val="21"/>
          <w:u w:val="none"/>
          <w:lang w:eastAsia="zh-CN"/>
        </w:rPr>
      </w:pPr>
      <w:r>
        <w:rPr>
          <w:rFonts w:hint="default" w:ascii="Times New Roman" w:hAnsi="Times New Roman" w:eastAsia="Times New Roman" w:cs="Times New Roman"/>
          <w:b w:val="0"/>
          <w:bCs w:val="0"/>
          <w:i w:val="0"/>
          <w:color w:val="000000"/>
          <w:sz w:val="21"/>
          <w:szCs w:val="21"/>
          <w:u w:val="none"/>
          <w:lang w:eastAsia="zh-CN"/>
        </w:rPr>
        <w:t xml:space="preserve">Forest plot showing the hazard ratios and 95% confidence intervals for serum IGF-1 in the main analysis and in lagged Cox analyses excluding epilepsy events occurring within the first 2 and 5 years of follow-up. Results are shown for the primary model, adjusted for age, </w:t>
      </w:r>
      <w:r>
        <w:rPr>
          <w:rFonts w:hint="default" w:ascii="Times New Roman" w:hAnsi="Times New Roman" w:eastAsia="Times New Roman" w:cs="Times New Roman"/>
          <w:b w:val="0"/>
          <w:bCs w:val="0"/>
          <w:i w:val="0"/>
          <w:color w:val="000000"/>
          <w:sz w:val="21"/>
          <w:szCs w:val="21"/>
          <w:u w:val="none"/>
          <w:lang w:val="en-US" w:eastAsia="zh-CN"/>
        </w:rPr>
        <w:t>sex</w:t>
      </w:r>
      <w:r>
        <w:rPr>
          <w:rFonts w:hint="default" w:ascii="Times New Roman" w:hAnsi="Times New Roman" w:eastAsia="Times New Roman" w:cs="Times New Roman"/>
          <w:b w:val="0"/>
          <w:bCs w:val="0"/>
          <w:i w:val="0"/>
          <w:color w:val="000000"/>
          <w:sz w:val="21"/>
          <w:szCs w:val="21"/>
          <w:u w:val="none"/>
          <w:lang w:eastAsia="zh-CN"/>
        </w:rPr>
        <w:t xml:space="preserve">, BMI, smoking, alcohol use, sleep hours per day, and loneliness, and for the sensitivity model, additionally adjusted for </w:t>
      </w:r>
      <w:r>
        <w:rPr>
          <w:rFonts w:hint="eastAsia" w:ascii="Times New Roman" w:hAnsi="Times New Roman" w:eastAsia="Times New Roman" w:cs="Times New Roman"/>
          <w:b w:val="0"/>
          <w:bCs w:val="0"/>
          <w:i w:val="0"/>
          <w:color w:val="000000"/>
          <w:sz w:val="21"/>
          <w:szCs w:val="21"/>
          <w:u w:val="none"/>
          <w:lang w:eastAsia="zh-CN"/>
        </w:rPr>
        <w:t>ethnicity</w:t>
      </w:r>
      <w:r>
        <w:rPr>
          <w:rFonts w:hint="default" w:ascii="Times New Roman" w:hAnsi="Times New Roman" w:eastAsia="Times New Roman" w:cs="Times New Roman"/>
          <w:b w:val="0"/>
          <w:bCs w:val="0"/>
          <w:i w:val="0"/>
          <w:color w:val="000000"/>
          <w:sz w:val="21"/>
          <w:szCs w:val="21"/>
          <w:u w:val="none"/>
          <w:lang w:eastAsia="zh-CN"/>
        </w:rPr>
        <w:t>, education, deprivation, physical activity, and working hours in a reduced complete-case sample. The vertical dashed line indicates HR = 1.0.</w:t>
      </w:r>
    </w:p>
    <w:p w14:paraId="5A445EB0">
      <w:pPr>
        <w:rPr>
          <w:rFonts w:hint="default" w:ascii="Times New Roman" w:hAnsi="Times New Roman" w:eastAsia="Times New Roman" w:cs="Times New Roman"/>
          <w:b w:val="0"/>
          <w:bCs w:val="0"/>
          <w:i w:val="0"/>
          <w:color w:val="000000"/>
          <w:sz w:val="21"/>
          <w:szCs w:val="21"/>
          <w:u w:val="none"/>
          <w:lang w:eastAsia="zh-CN"/>
        </w:rPr>
      </w:pPr>
      <w:r>
        <w:rPr>
          <w:rFonts w:hint="default" w:ascii="Times New Roman" w:hAnsi="Times New Roman" w:eastAsia="Times New Roman" w:cs="Times New Roman"/>
          <w:b w:val="0"/>
          <w:bCs w:val="0"/>
          <w:i w:val="0"/>
          <w:color w:val="000000"/>
          <w:sz w:val="21"/>
          <w:szCs w:val="21"/>
          <w:u w:val="none"/>
          <w:lang w:eastAsia="zh-CN"/>
        </w:rPr>
        <w:br w:type="page"/>
      </w:r>
    </w:p>
    <w:p w14:paraId="68B05E0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iCs w:val="0"/>
          <w:color w:val="000000"/>
          <w:sz w:val="21"/>
          <w:szCs w:val="21"/>
          <w:u w:val="none"/>
          <w:lang w:eastAsia="zh-CN"/>
        </w:rPr>
      </w:pPr>
      <w:r>
        <w:rPr>
          <w:rFonts w:hint="default" w:ascii="Times New Roman" w:hAnsi="Times New Roman" w:eastAsia="Times New Roman" w:cs="Times New Roman"/>
          <w:b/>
          <w:bCs/>
          <w:i w:val="0"/>
          <w:iCs w:val="0"/>
          <w:color w:val="000000"/>
          <w:sz w:val="21"/>
          <w:szCs w:val="21"/>
          <w:highlight w:val="none"/>
          <w:u w:val="none"/>
          <w:lang w:eastAsia="zh-CN"/>
        </w:rPr>
        <w:drawing>
          <wp:inline distT="0" distB="0" distL="114300" distR="114300">
            <wp:extent cx="5266690" cy="2666365"/>
            <wp:effectExtent l="0" t="0" r="16510" b="635"/>
            <wp:docPr id="6" name="图片 6" descr="S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Figure2"/>
                    <pic:cNvPicPr>
                      <a:picLocks noChangeAspect="1"/>
                    </pic:cNvPicPr>
                  </pic:nvPicPr>
                  <pic:blipFill>
                    <a:blip r:embed="rId7"/>
                    <a:stretch>
                      <a:fillRect/>
                    </a:stretch>
                  </pic:blipFill>
                  <pic:spPr>
                    <a:xfrm>
                      <a:off x="0" y="0"/>
                      <a:ext cx="5266690" cy="2666365"/>
                    </a:xfrm>
                    <a:prstGeom prst="rect">
                      <a:avLst/>
                    </a:prstGeom>
                  </pic:spPr>
                </pic:pic>
              </a:graphicData>
            </a:graphic>
          </wp:inline>
        </w:drawing>
      </w:r>
      <w:r>
        <w:rPr>
          <w:rFonts w:hint="default" w:ascii="Times New Roman" w:hAnsi="Times New Roman" w:eastAsia="Times New Roman" w:cs="Times New Roman"/>
          <w:b/>
          <w:bCs/>
          <w:i w:val="0"/>
          <w:iCs w:val="0"/>
          <w:color w:val="000000"/>
          <w:sz w:val="21"/>
          <w:szCs w:val="21"/>
          <w:highlight w:val="none"/>
          <w:u w:val="none"/>
          <w:lang w:val="en-US" w:eastAsia="zh-CN"/>
        </w:rPr>
        <w:t>S</w:t>
      </w:r>
      <w:r>
        <w:rPr>
          <w:rFonts w:hint="default" w:ascii="Times New Roman" w:hAnsi="Times New Roman" w:eastAsia="Times New Roman" w:cs="Times New Roman"/>
          <w:b/>
          <w:bCs/>
          <w:i w:val="0"/>
          <w:iCs w:val="0"/>
          <w:color w:val="000000"/>
          <w:sz w:val="21"/>
          <w:szCs w:val="21"/>
          <w:highlight w:val="none"/>
          <w:u w:val="none"/>
          <w:lang w:eastAsia="zh-CN"/>
        </w:rPr>
        <w:t xml:space="preserve">Figure 2. </w:t>
      </w:r>
      <w:r>
        <w:rPr>
          <w:rFonts w:hint="default" w:ascii="Times New Roman" w:hAnsi="Times New Roman" w:eastAsia="Times New Roman" w:cs="Times New Roman"/>
          <w:b/>
          <w:bCs/>
          <w:i w:val="0"/>
          <w:iCs w:val="0"/>
          <w:color w:val="000000"/>
          <w:sz w:val="21"/>
          <w:szCs w:val="21"/>
          <w:u w:val="none"/>
          <w:lang w:eastAsia="zh-CN"/>
        </w:rPr>
        <w:t>Kaplan–Meier curves for incident epilepsy according to quartiles of serum IGF-1.</w:t>
      </w:r>
    </w:p>
    <w:p w14:paraId="33C04A92">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val="0"/>
          <w:bCs w:val="0"/>
          <w:i w:val="0"/>
          <w:color w:val="000000"/>
          <w:sz w:val="21"/>
          <w:szCs w:val="21"/>
          <w:u w:val="none"/>
          <w:lang w:eastAsia="zh-CN"/>
        </w:rPr>
      </w:pPr>
      <w:r>
        <w:rPr>
          <w:rFonts w:hint="default" w:ascii="Times New Roman" w:hAnsi="Times New Roman" w:eastAsia="Times New Roman" w:cs="Times New Roman"/>
          <w:b w:val="0"/>
          <w:bCs w:val="0"/>
          <w:i w:val="0"/>
          <w:color w:val="000000"/>
          <w:sz w:val="21"/>
          <w:szCs w:val="21"/>
          <w:u w:val="none"/>
          <w:lang w:eastAsia="zh-CN"/>
        </w:rPr>
        <w:t xml:space="preserve">Kaplan–Meier curves showing epilepsy-free survival according to quartiles of baseline serum IGF-1 concentration (Q1–Q4). Participants in higher quartiles showed better epilepsy-free survival during follow-up. The estimated 15-year cumulative incidence of epilepsy was 1.382% in Q1, 1.000% in Q2, 0.904% in Q3, and 0.896% in Q4, consistent with the relative risk estimates from the quartile-based Cox models shown in </w:t>
      </w:r>
      <w:r>
        <w:rPr>
          <w:rFonts w:hint="eastAsia" w:ascii="Times New Roman" w:hAnsi="Times New Roman" w:eastAsia="Times New Roman" w:cs="Times New Roman"/>
          <w:b w:val="0"/>
          <w:bCs w:val="0"/>
          <w:i w:val="0"/>
          <w:color w:val="000000"/>
          <w:sz w:val="21"/>
          <w:szCs w:val="21"/>
          <w:u w:val="none"/>
          <w:lang w:eastAsia="zh-CN"/>
        </w:rPr>
        <w:t>STable</w:t>
      </w:r>
      <w:r>
        <w:rPr>
          <w:rFonts w:hint="default" w:ascii="Times New Roman" w:hAnsi="Times New Roman" w:eastAsia="Times New Roman" w:cs="Times New Roman"/>
          <w:b w:val="0"/>
          <w:bCs w:val="0"/>
          <w:i w:val="0"/>
          <w:color w:val="000000"/>
          <w:sz w:val="21"/>
          <w:szCs w:val="21"/>
          <w:u w:val="none"/>
          <w:lang w:eastAsia="zh-CN"/>
        </w:rPr>
        <w:t xml:space="preserve"> 5. Quartiles were defined according to the baseline serum IGF-1 distribution in the full cohort.</w:t>
      </w:r>
    </w:p>
    <w:p w14:paraId="7675F95D">
      <w:pPr>
        <w:rPr>
          <w:rFonts w:hint="default" w:ascii="Times New Roman" w:hAnsi="Times New Roman" w:eastAsia="Times New Roman" w:cs="Times New Roman"/>
          <w:b w:val="0"/>
          <w:bCs w:val="0"/>
          <w:i w:val="0"/>
          <w:color w:val="000000"/>
          <w:sz w:val="21"/>
          <w:szCs w:val="21"/>
          <w:u w:val="none"/>
          <w:lang w:eastAsia="zh-CN"/>
        </w:rPr>
      </w:pPr>
      <w:r>
        <w:rPr>
          <w:rFonts w:hint="default" w:ascii="Times New Roman" w:hAnsi="Times New Roman" w:eastAsia="Times New Roman" w:cs="Times New Roman"/>
          <w:b w:val="0"/>
          <w:bCs w:val="0"/>
          <w:i w:val="0"/>
          <w:color w:val="000000"/>
          <w:sz w:val="21"/>
          <w:szCs w:val="21"/>
          <w:u w:val="none"/>
          <w:lang w:eastAsia="zh-CN"/>
        </w:rPr>
        <w:br w:type="page"/>
      </w:r>
    </w:p>
    <w:p w14:paraId="5A79156E">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cs="Times New Roman" w:eastAsiaTheme="minorEastAsia"/>
          <w:sz w:val="20"/>
          <w:szCs w:val="20"/>
          <w:lang w:val="en-US" w:eastAsia="zh-CN"/>
        </w:rPr>
      </w:pPr>
      <w:r>
        <w:rPr>
          <w:rFonts w:hint="eastAsia" w:ascii="Times New Roman" w:hAnsi="Times New Roman" w:cs="Times New Roman" w:eastAsiaTheme="minorEastAsia"/>
          <w:sz w:val="20"/>
          <w:szCs w:val="20"/>
          <w:lang w:val="en-US" w:eastAsia="zh-CN"/>
        </w:rPr>
        <w:drawing>
          <wp:inline distT="0" distB="0" distL="114300" distR="114300">
            <wp:extent cx="5160645" cy="2257425"/>
            <wp:effectExtent l="0" t="0" r="20955" b="3175"/>
            <wp:docPr id="1" name="图片 1" descr="S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Figure3"/>
                    <pic:cNvPicPr>
                      <a:picLocks noChangeAspect="1"/>
                    </pic:cNvPicPr>
                  </pic:nvPicPr>
                  <pic:blipFill>
                    <a:blip r:embed="rId8"/>
                    <a:stretch>
                      <a:fillRect/>
                    </a:stretch>
                  </pic:blipFill>
                  <pic:spPr>
                    <a:xfrm>
                      <a:off x="0" y="0"/>
                      <a:ext cx="5160645" cy="2257425"/>
                    </a:xfrm>
                    <a:prstGeom prst="rect">
                      <a:avLst/>
                    </a:prstGeom>
                  </pic:spPr>
                </pic:pic>
              </a:graphicData>
            </a:graphic>
          </wp:inline>
        </w:drawing>
      </w:r>
    </w:p>
    <w:p w14:paraId="6712E375">
      <w:pPr>
        <w:rPr>
          <w:rFonts w:ascii="Times New Roman" w:hAnsi="Times New Roman" w:cs="Times New Roman"/>
          <w:sz w:val="20"/>
          <w:szCs w:val="20"/>
        </w:rPr>
      </w:pPr>
      <w:r>
        <w:rPr>
          <w:rFonts w:hint="default" w:ascii="Times New Roman" w:hAnsi="Times New Roman" w:cs="Times New Roman"/>
          <w:b/>
          <w:bCs/>
          <w:sz w:val="20"/>
          <w:szCs w:val="20"/>
          <w:lang w:val="en-US"/>
        </w:rPr>
        <w:t>S</w:t>
      </w:r>
      <w:r>
        <w:rPr>
          <w:rFonts w:hint="eastAsia" w:ascii="Times New Roman" w:hAnsi="Times New Roman" w:cs="Times New Roman"/>
          <w:b/>
          <w:bCs/>
          <w:sz w:val="20"/>
          <w:szCs w:val="20"/>
        </w:rPr>
        <w:t xml:space="preserve">Figure </w:t>
      </w:r>
      <w:r>
        <w:rPr>
          <w:rFonts w:hint="eastAsia" w:ascii="Times New Roman" w:hAnsi="Times New Roman" w:cs="Times New Roman"/>
          <w:b/>
          <w:bCs/>
          <w:sz w:val="20"/>
          <w:szCs w:val="20"/>
          <w:lang w:val="en-US" w:eastAsia="zh-CN"/>
        </w:rPr>
        <w:t>3.</w:t>
      </w:r>
      <w:r>
        <w:rPr>
          <w:rFonts w:ascii="Times New Roman" w:hAnsi="Times New Roman" w:cs="Times New Roman"/>
          <w:sz w:val="20"/>
          <w:szCs w:val="20"/>
        </w:rPr>
        <w:t xml:space="preserve"> </w:t>
      </w:r>
      <w:r>
        <w:rPr>
          <w:rFonts w:hint="eastAsia" w:ascii="Times New Roman" w:hAnsi="Times New Roman" w:cs="Times New Roman"/>
          <w:b/>
          <w:bCs/>
          <w:sz w:val="20"/>
          <w:szCs w:val="20"/>
        </w:rPr>
        <w:t>Longitudinal association between serum IGF-1 levels and performance on different cognitive tests in the entire cohort of participants (N = 3,710–16,350).</w:t>
      </w:r>
    </w:p>
    <w:p w14:paraId="69ECC014">
      <w:pPr>
        <w:rPr>
          <w:rFonts w:ascii="Times New Roman" w:hAnsi="Times New Roman" w:cs="Times New Roman"/>
          <w:sz w:val="20"/>
          <w:szCs w:val="20"/>
        </w:rPr>
      </w:pPr>
      <w:r>
        <w:rPr>
          <w:rFonts w:ascii="Times New Roman" w:hAnsi="Times New Roman" w:cs="Times New Roman"/>
          <w:sz w:val="20"/>
          <w:szCs w:val="20"/>
        </w:rPr>
        <w:t>(</w:t>
      </w:r>
      <w:r>
        <w:rPr>
          <w:rFonts w:hint="default" w:ascii="Times New Roman" w:hAnsi="Times New Roman" w:cs="Times New Roman"/>
          <w:sz w:val="20"/>
          <w:szCs w:val="20"/>
          <w:lang w:val="en-US"/>
        </w:rPr>
        <w:t>a</w:t>
      </w:r>
      <w:r>
        <w:rPr>
          <w:rFonts w:ascii="Times New Roman" w:hAnsi="Times New Roman" w:cs="Times New Roman"/>
          <w:sz w:val="20"/>
          <w:szCs w:val="20"/>
        </w:rPr>
        <w:t xml:space="preserve">) For visuospatial memory assessment, higher baseline IGF-1 levels predicted better follow-up performance (β=-0.030, </w:t>
      </w:r>
      <w:r>
        <w:rPr>
          <w:rFonts w:hint="default" w:ascii="Times New Roman Italic" w:hAnsi="Times New Roman Italic" w:cs="Times New Roman Italic"/>
          <w:i/>
          <w:iCs/>
          <w:sz w:val="20"/>
          <w:szCs w:val="20"/>
        </w:rPr>
        <w:t>P</w:t>
      </w:r>
      <w:r>
        <w:rPr>
          <w:rFonts w:ascii="Times New Roman" w:hAnsi="Times New Roman" w:cs="Times New Roman"/>
          <w:sz w:val="20"/>
          <w:szCs w:val="20"/>
        </w:rPr>
        <w:t>&lt;10</w:t>
      </w:r>
      <w:r>
        <w:rPr>
          <w:rFonts w:ascii="Times New Roman" w:hAnsi="Times New Roman" w:cs="Times New Roman"/>
          <w:sz w:val="20"/>
          <w:szCs w:val="20"/>
          <w:vertAlign w:val="superscript"/>
        </w:rPr>
        <w:t>-4</w:t>
      </w:r>
      <w:r>
        <w:rPr>
          <w:rFonts w:ascii="Times New Roman" w:hAnsi="Times New Roman" w:cs="Times New Roman"/>
          <w:sz w:val="20"/>
          <w:szCs w:val="20"/>
        </w:rPr>
        <w:t xml:space="preserve">), whereas baseline visuospatial memory did not predict follow-up IGF-1 levels (β=-0.002, </w:t>
      </w:r>
      <w:r>
        <w:rPr>
          <w:rFonts w:hint="default" w:ascii="Times New Roman Italic" w:hAnsi="Times New Roman Italic" w:cs="Times New Roman Italic"/>
          <w:i/>
          <w:iCs/>
          <w:sz w:val="20"/>
          <w:szCs w:val="20"/>
        </w:rPr>
        <w:t>P</w:t>
      </w:r>
      <w:r>
        <w:rPr>
          <w:rFonts w:ascii="Times New Roman" w:hAnsi="Times New Roman" w:cs="Times New Roman"/>
          <w:sz w:val="20"/>
          <w:szCs w:val="20"/>
        </w:rPr>
        <w:t>=0.696).</w:t>
      </w:r>
    </w:p>
    <w:p w14:paraId="2B643A76">
      <w:pPr>
        <w:numPr>
          <w:ilvl w:val="0"/>
          <w:numId w:val="0"/>
        </w:numPr>
        <w:rPr>
          <w:rFonts w:ascii="Times New Roman" w:hAnsi="Times New Roman" w:cs="Times New Roman"/>
          <w:sz w:val="20"/>
          <w:szCs w:val="20"/>
        </w:rPr>
      </w:pPr>
      <w:r>
        <w:rPr>
          <w:rFonts w:ascii="Times New Roman" w:hAnsi="Times New Roman" w:cs="Times New Roman"/>
          <w:sz w:val="20"/>
          <w:szCs w:val="20"/>
        </w:rPr>
        <w:t>(</w:t>
      </w:r>
      <w:r>
        <w:rPr>
          <w:rFonts w:hint="default" w:ascii="Times New Roman" w:hAnsi="Times New Roman" w:cs="Times New Roman"/>
          <w:sz w:val="20"/>
          <w:szCs w:val="20"/>
          <w:lang w:val="en-US"/>
        </w:rPr>
        <w:t>b</w:t>
      </w:r>
      <w:r>
        <w:rPr>
          <w:rFonts w:ascii="Times New Roman" w:hAnsi="Times New Roman" w:cs="Times New Roman"/>
          <w:sz w:val="20"/>
          <w:szCs w:val="20"/>
        </w:rPr>
        <w:t xml:space="preserve">) For prospective memory assessment, neither baseline IGF-1 levels predicted follow-up performance (β=0.014, </w:t>
      </w:r>
      <w:r>
        <w:rPr>
          <w:rFonts w:hint="default" w:ascii="Times New Roman Italic" w:hAnsi="Times New Roman Italic" w:cs="Times New Roman Italic"/>
          <w:i/>
          <w:iCs/>
          <w:sz w:val="20"/>
          <w:szCs w:val="20"/>
        </w:rPr>
        <w:t>P</w:t>
      </w:r>
      <w:r>
        <w:rPr>
          <w:rFonts w:ascii="Times New Roman" w:hAnsi="Times New Roman" w:cs="Times New Roman"/>
          <w:sz w:val="20"/>
          <w:szCs w:val="20"/>
        </w:rPr>
        <w:t xml:space="preserve">=0.379) nor did baseline performance predict follow-up IGF-1 levels (β=-0.007, </w:t>
      </w:r>
      <w:r>
        <w:rPr>
          <w:rFonts w:hint="default" w:ascii="Times New Roman Italic" w:hAnsi="Times New Roman Italic" w:cs="Times New Roman Italic"/>
          <w:i/>
          <w:iCs/>
          <w:sz w:val="20"/>
          <w:szCs w:val="20"/>
        </w:rPr>
        <w:t>P</w:t>
      </w:r>
      <w:r>
        <w:rPr>
          <w:rFonts w:ascii="Times New Roman" w:hAnsi="Times New Roman" w:cs="Times New Roman"/>
          <w:sz w:val="20"/>
          <w:szCs w:val="20"/>
        </w:rPr>
        <w:t>=0.470).</w:t>
      </w:r>
    </w:p>
    <w:p w14:paraId="73021E0C">
      <w:pPr>
        <w:rPr>
          <w:rFonts w:ascii="Times New Roman" w:hAnsi="Times New Roman" w:cs="Times New Roman"/>
          <w:sz w:val="20"/>
          <w:szCs w:val="20"/>
        </w:rPr>
      </w:pPr>
      <w:r>
        <w:rPr>
          <w:rFonts w:ascii="Times New Roman" w:hAnsi="Times New Roman" w:cs="Times New Roman"/>
          <w:sz w:val="20"/>
          <w:szCs w:val="20"/>
        </w:rPr>
        <w:t>(</w:t>
      </w:r>
      <w:r>
        <w:rPr>
          <w:rFonts w:hint="default" w:ascii="Times New Roman" w:hAnsi="Times New Roman" w:cs="Times New Roman"/>
          <w:sz w:val="20"/>
          <w:szCs w:val="20"/>
          <w:lang w:val="en-US"/>
        </w:rPr>
        <w:t>c</w:t>
      </w:r>
      <w:r>
        <w:rPr>
          <w:rFonts w:ascii="Times New Roman" w:hAnsi="Times New Roman" w:cs="Times New Roman"/>
          <w:sz w:val="20"/>
          <w:szCs w:val="20"/>
        </w:rPr>
        <w:t xml:space="preserve">) For reaction time assessment, elevated baseline IGF-1 predicted shorter follow-up reaction times (β=-0.049, </w:t>
      </w:r>
      <w:r>
        <w:rPr>
          <w:rFonts w:hint="default" w:ascii="Times New Roman Italic" w:hAnsi="Times New Roman Italic" w:cs="Times New Roman Italic"/>
          <w:i/>
          <w:iCs/>
          <w:sz w:val="20"/>
          <w:szCs w:val="20"/>
        </w:rPr>
        <w:t>P</w:t>
      </w:r>
      <w:r>
        <w:rPr>
          <w:rFonts w:ascii="Times New Roman" w:hAnsi="Times New Roman" w:cs="Times New Roman"/>
          <w:sz w:val="20"/>
          <w:szCs w:val="20"/>
        </w:rPr>
        <w:t>&lt;10</w:t>
      </w:r>
      <w:r>
        <w:rPr>
          <w:rFonts w:ascii="Times New Roman" w:hAnsi="Times New Roman" w:cs="Times New Roman"/>
          <w:sz w:val="20"/>
          <w:szCs w:val="20"/>
          <w:vertAlign w:val="superscript"/>
        </w:rPr>
        <w:t>-4</w:t>
      </w:r>
      <w:r>
        <w:rPr>
          <w:rFonts w:ascii="Times New Roman" w:hAnsi="Times New Roman" w:cs="Times New Roman"/>
          <w:sz w:val="20"/>
          <w:szCs w:val="20"/>
        </w:rPr>
        <w:t xml:space="preserve">), while baseline reaction time showed no association with follow-up IGF-1 levels (β=-0.006, </w:t>
      </w:r>
      <w:r>
        <w:rPr>
          <w:rFonts w:hint="default" w:ascii="Times New Roman Italic" w:hAnsi="Times New Roman Italic" w:cs="Times New Roman Italic"/>
          <w:i/>
          <w:iCs/>
          <w:sz w:val="20"/>
          <w:szCs w:val="20"/>
        </w:rPr>
        <w:t>P</w:t>
      </w:r>
      <w:r>
        <w:rPr>
          <w:rFonts w:ascii="Times New Roman" w:hAnsi="Times New Roman" w:cs="Times New Roman"/>
          <w:sz w:val="20"/>
          <w:szCs w:val="20"/>
        </w:rPr>
        <w:t>=0.242).</w:t>
      </w:r>
    </w:p>
    <w:p w14:paraId="72ECEE64">
      <w:pP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sz w:val="20"/>
          <w:szCs w:val="20"/>
        </w:rPr>
        <w:t>(</w:t>
      </w:r>
      <w:r>
        <w:rPr>
          <w:rFonts w:hint="default" w:ascii="Times New Roman" w:hAnsi="Times New Roman" w:cs="Times New Roman"/>
          <w:sz w:val="20"/>
          <w:szCs w:val="20"/>
          <w:lang w:val="en-US"/>
        </w:rPr>
        <w:t>d</w:t>
      </w:r>
      <w:r>
        <w:rPr>
          <w:rFonts w:ascii="Times New Roman" w:hAnsi="Times New Roman" w:cs="Times New Roman"/>
          <w:sz w:val="20"/>
          <w:szCs w:val="20"/>
        </w:rPr>
        <w:t xml:space="preserve">) For fluid intelligence scores assessment, higher baseline IGF-1 predicted improved follow-up performance (β=0.032, </w:t>
      </w:r>
      <w:r>
        <w:rPr>
          <w:rFonts w:hint="default" w:ascii="Times New Roman Italic" w:hAnsi="Times New Roman Italic" w:cs="Times New Roman Italic"/>
          <w:i/>
          <w:iCs/>
          <w:sz w:val="20"/>
          <w:szCs w:val="20"/>
        </w:rPr>
        <w:t>P</w:t>
      </w:r>
      <w:r>
        <w:rPr>
          <w:rFonts w:ascii="Times New Roman" w:hAnsi="Times New Roman" w:cs="Times New Roman"/>
          <w:sz w:val="20"/>
          <w:szCs w:val="20"/>
        </w:rPr>
        <w:t xml:space="preserve">=0.010), but baseline scores did not predict follow-up IGF-1 levels (β=0.018, </w:t>
      </w:r>
      <w:r>
        <w:rPr>
          <w:rFonts w:hint="default" w:ascii="Times New Roman Italic" w:hAnsi="Times New Roman Italic" w:cs="Times New Roman Italic"/>
          <w:i/>
          <w:iCs/>
          <w:sz w:val="20"/>
          <w:szCs w:val="20"/>
        </w:rPr>
        <w:t>P</w:t>
      </w:r>
      <w:r>
        <w:rPr>
          <w:rFonts w:ascii="Times New Roman" w:hAnsi="Times New Roman" w:cs="Times New Roman"/>
          <w:sz w:val="20"/>
          <w:szCs w:val="20"/>
        </w:rPr>
        <w:t>=0.072).</w:t>
      </w:r>
    </w:p>
    <w:p w14:paraId="5663FBC3">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bCs/>
          <w:i w:val="0"/>
          <w:color w:val="000000"/>
          <w:sz w:val="21"/>
          <w:szCs w:val="21"/>
          <w:u w:val="none"/>
          <w:lang w:eastAsia="zh-CN"/>
        </w:rPr>
        <w:sectPr>
          <w:footerReference r:id="rId3" w:type="default"/>
          <w:pgSz w:w="11906" w:h="16838"/>
          <w:pgMar w:top="1440" w:right="1800" w:bottom="1440" w:left="1800" w:header="851" w:footer="992" w:gutter="0"/>
          <w:cols w:space="425" w:num="1"/>
          <w:docGrid w:type="lines" w:linePitch="312" w:charSpace="0"/>
        </w:sectPr>
      </w:pPr>
    </w:p>
    <w:p w14:paraId="0EF3CEAA">
      <w:pPr>
        <w:jc w:val="left"/>
        <w:rPr>
          <w:rFonts w:hint="default" w:ascii="Times New Roman" w:hAnsi="Times New Roman" w:cs="Times New Roman" w:eastAsiaTheme="minorEastAsia"/>
          <w:b/>
          <w:bCs/>
          <w:color w:val="000000"/>
          <w:sz w:val="21"/>
          <w:szCs w:val="21"/>
          <w:lang w:val="en-US" w:eastAsia="zh-CN"/>
        </w:rPr>
      </w:pPr>
      <w:r>
        <w:rPr>
          <w:rFonts w:hint="default" w:ascii="Times New Roman" w:hAnsi="Times New Roman" w:cs="Times New Roman" w:eastAsiaTheme="minorEastAsia"/>
          <w:b/>
          <w:bCs/>
          <w:color w:val="000000"/>
          <w:sz w:val="21"/>
          <w:szCs w:val="21"/>
          <w:lang w:val="en-US" w:eastAsia="zh-CN"/>
        </w:rPr>
        <w:drawing>
          <wp:inline distT="0" distB="0" distL="114300" distR="114300">
            <wp:extent cx="5266690" cy="2962910"/>
            <wp:effectExtent l="0" t="0" r="16510" b="8890"/>
            <wp:docPr id="8" name="图片 8" descr="S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Figure4"/>
                    <pic:cNvPicPr>
                      <a:picLocks noChangeAspect="1"/>
                    </pic:cNvPicPr>
                  </pic:nvPicPr>
                  <pic:blipFill>
                    <a:blip r:embed="rId9"/>
                    <a:stretch>
                      <a:fillRect/>
                    </a:stretch>
                  </pic:blipFill>
                  <pic:spPr>
                    <a:xfrm>
                      <a:off x="0" y="0"/>
                      <a:ext cx="5266690" cy="2962910"/>
                    </a:xfrm>
                    <a:prstGeom prst="rect">
                      <a:avLst/>
                    </a:prstGeom>
                  </pic:spPr>
                </pic:pic>
              </a:graphicData>
            </a:graphic>
          </wp:inline>
        </w:drawing>
      </w:r>
    </w:p>
    <w:p w14:paraId="393F70D0">
      <w:pPr>
        <w:jc w:val="left"/>
        <w:rPr>
          <w:rFonts w:hint="default" w:ascii="Times New Roman" w:hAnsi="Times New Roman" w:cs="Times New Roman"/>
          <w:b/>
          <w:bCs/>
          <w:color w:val="000000"/>
          <w:sz w:val="21"/>
          <w:szCs w:val="21"/>
        </w:rPr>
      </w:pPr>
      <w:r>
        <w:rPr>
          <w:rFonts w:hint="default" w:ascii="Times New Roman" w:hAnsi="Times New Roman" w:cs="Times New Roman"/>
          <w:b/>
          <w:bCs/>
          <w:color w:val="000000"/>
          <w:sz w:val="21"/>
          <w:szCs w:val="21"/>
          <w:lang w:val="en-US"/>
        </w:rPr>
        <w:t>S</w:t>
      </w:r>
      <w:r>
        <w:rPr>
          <w:rFonts w:hint="default" w:ascii="Times New Roman" w:hAnsi="Times New Roman" w:cs="Times New Roman"/>
          <w:b/>
          <w:bCs/>
          <w:color w:val="000000"/>
          <w:sz w:val="21"/>
          <w:szCs w:val="21"/>
        </w:rPr>
        <w:t>Figure 4. Subgroup and interaction analyses for the association between serum IGF-1 and incident epilepsy.</w:t>
      </w:r>
    </w:p>
    <w:p w14:paraId="0CF565C6">
      <w:pPr>
        <w:jc w:val="left"/>
        <w:rPr>
          <w:rFonts w:hint="default" w:ascii="Times New Roman" w:hAnsi="Times New Roman" w:cs="Times New Roman"/>
          <w:b/>
          <w:bCs/>
          <w:color w:val="000000"/>
          <w:sz w:val="21"/>
          <w:szCs w:val="21"/>
        </w:rPr>
      </w:pPr>
      <w:r>
        <w:rPr>
          <w:rFonts w:hint="default" w:ascii="Times New Roman" w:hAnsi="Times New Roman" w:cs="Times New Roman"/>
          <w:b w:val="0"/>
          <w:bCs w:val="0"/>
          <w:color w:val="000000"/>
          <w:sz w:val="21"/>
          <w:szCs w:val="21"/>
        </w:rPr>
        <w:t xml:space="preserve">Forest plot showing subgroup-specific hazard ratios and 95% confidence intervals for serum IGF-1 in relation to incident epilepsy, expressed per 1 nmol/L increase in serum IGF-1. Results are shown for age-stratified analyses (&lt;60 years and ≥60 years) and </w:t>
      </w:r>
      <w:r>
        <w:rPr>
          <w:rFonts w:hint="default" w:ascii="Times New Roman" w:hAnsi="Times New Roman" w:cs="Times New Roman"/>
          <w:b w:val="0"/>
          <w:bCs w:val="0"/>
          <w:color w:val="000000"/>
          <w:sz w:val="21"/>
          <w:szCs w:val="21"/>
          <w:lang w:val="en-US"/>
        </w:rPr>
        <w:t>sex</w:t>
      </w:r>
      <w:r>
        <w:rPr>
          <w:rFonts w:hint="default" w:ascii="Times New Roman" w:hAnsi="Times New Roman" w:cs="Times New Roman"/>
          <w:b w:val="0"/>
          <w:bCs w:val="0"/>
          <w:color w:val="000000"/>
          <w:sz w:val="21"/>
          <w:szCs w:val="21"/>
        </w:rPr>
        <w:t xml:space="preserve">-stratified analyses (female and male) under both the primary model and the sensitivity model. The primary model was adjusted for age, </w:t>
      </w:r>
      <w:r>
        <w:rPr>
          <w:rFonts w:hint="default" w:ascii="Times New Roman" w:hAnsi="Times New Roman" w:cs="Times New Roman"/>
          <w:b w:val="0"/>
          <w:bCs w:val="0"/>
          <w:color w:val="000000"/>
          <w:sz w:val="21"/>
          <w:szCs w:val="21"/>
          <w:lang w:val="en-US"/>
        </w:rPr>
        <w:t>sex</w:t>
      </w:r>
      <w:r>
        <w:rPr>
          <w:rFonts w:hint="default" w:ascii="Times New Roman" w:hAnsi="Times New Roman" w:cs="Times New Roman"/>
          <w:b w:val="0"/>
          <w:bCs w:val="0"/>
          <w:color w:val="000000"/>
          <w:sz w:val="21"/>
          <w:szCs w:val="21"/>
        </w:rPr>
        <w:t xml:space="preserve">, BMI, smoking, alcohol use, sleep hours per day, and loneliness. The sensitivity model was additionally adjusted for ethnicity, education, deprivation, physical activity, and working hours in a reduced complete-case sample. For sex-stratified analyses, </w:t>
      </w:r>
      <w:r>
        <w:rPr>
          <w:rFonts w:hint="default" w:ascii="Times New Roman" w:hAnsi="Times New Roman" w:cs="Times New Roman"/>
          <w:b w:val="0"/>
          <w:bCs w:val="0"/>
          <w:color w:val="000000"/>
          <w:sz w:val="21"/>
          <w:szCs w:val="21"/>
          <w:lang w:val="en-US"/>
        </w:rPr>
        <w:t>sex</w:t>
      </w:r>
      <w:r>
        <w:rPr>
          <w:rFonts w:hint="default" w:ascii="Times New Roman" w:hAnsi="Times New Roman" w:cs="Times New Roman"/>
          <w:b w:val="0"/>
          <w:bCs w:val="0"/>
          <w:color w:val="000000"/>
          <w:sz w:val="21"/>
          <w:szCs w:val="21"/>
        </w:rPr>
        <w:t xml:space="preserve"> was omitted from the subgroup-specific models. The vertical dashed line indicates HR = 1.0.</w:t>
      </w:r>
      <w:r>
        <w:rPr>
          <w:rFonts w:hint="default" w:ascii="Times New Roman" w:hAnsi="Times New Roman" w:cs="Times New Roman"/>
          <w:b/>
          <w:bCs/>
          <w:color w:val="000000"/>
          <w:sz w:val="21"/>
          <w:szCs w:val="21"/>
        </w:rPr>
        <w:br w:type="page"/>
      </w:r>
    </w:p>
    <w:p w14:paraId="7948BD5A">
      <w:pPr>
        <w:rPr>
          <w:rFonts w:hint="default" w:ascii="Times New Roman" w:hAnsi="Times New Roman" w:cs="Times New Roman"/>
          <w:b/>
          <w:bCs/>
          <w:color w:val="000000"/>
          <w:sz w:val="21"/>
          <w:szCs w:val="21"/>
        </w:rPr>
      </w:pPr>
      <w:r>
        <w:rPr>
          <w:rFonts w:hint="default" w:ascii="Times New Roman" w:hAnsi="Times New Roman" w:cs="Times New Roman"/>
          <w:b/>
          <w:bCs/>
          <w:color w:val="000000"/>
          <w:sz w:val="21"/>
          <w:szCs w:val="21"/>
          <w:lang w:val="en-US"/>
        </w:rPr>
        <w:t>S</w:t>
      </w:r>
      <w:r>
        <w:rPr>
          <w:rFonts w:hint="default" w:ascii="Times New Roman" w:hAnsi="Times New Roman" w:cs="Times New Roman"/>
          <w:b/>
          <w:bCs/>
          <w:color w:val="000000"/>
          <w:sz w:val="21"/>
          <w:szCs w:val="21"/>
        </w:rPr>
        <w:t xml:space="preserve">Table 1. </w:t>
      </w:r>
      <w:r>
        <w:rPr>
          <w:rFonts w:hint="default" w:ascii="Times New Roman" w:hAnsi="Times New Roman" w:eastAsia="Times New Roman" w:cs="Times New Roman"/>
          <w:b/>
          <w:bCs/>
          <w:i w:val="0"/>
          <w:color w:val="000000"/>
          <w:sz w:val="21"/>
          <w:szCs w:val="21"/>
          <w:u w:val="none"/>
          <w:lang w:val="en-US" w:eastAsia="zh-CN"/>
        </w:rPr>
        <w:t>Post hoc pairwise comparisons of baseline characteristics across epilepsy-status groups.</w:t>
      </w:r>
    </w:p>
    <w:tbl>
      <w:tblPr>
        <w:tblStyle w:val="7"/>
        <w:tblW w:w="107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54"/>
        <w:gridCol w:w="2154"/>
        <w:gridCol w:w="2154"/>
        <w:gridCol w:w="2154"/>
        <w:gridCol w:w="2154"/>
      </w:tblGrid>
      <w:tr w14:paraId="160C64C1">
        <w:trPr>
          <w:trHeight w:val="794" w:hRule="atLeast"/>
          <w:tblHeader/>
          <w:jc w:val="center"/>
        </w:trPr>
        <w:tc>
          <w:tcPr>
            <w:tcW w:w="2154" w:type="dxa"/>
            <w:tcBorders>
              <w:top w:val="single" w:color="auto" w:sz="4" w:space="0"/>
              <w:left w:val="nil"/>
              <w:bottom w:val="single" w:color="auto" w:sz="4" w:space="0"/>
            </w:tcBorders>
            <w:shd w:val="clear" w:color="auto" w:fill="auto"/>
            <w:vAlign w:val="center"/>
          </w:tcPr>
          <w:p w14:paraId="22221038">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Variable</w:t>
            </w:r>
          </w:p>
        </w:tc>
        <w:tc>
          <w:tcPr>
            <w:tcW w:w="2154" w:type="dxa"/>
            <w:tcBorders>
              <w:top w:val="single" w:color="auto" w:sz="4" w:space="0"/>
              <w:bottom w:val="single" w:color="auto" w:sz="4" w:space="0"/>
            </w:tcBorders>
            <w:shd w:val="clear" w:color="auto" w:fill="auto"/>
            <w:vAlign w:val="center"/>
          </w:tcPr>
          <w:p w14:paraId="79EC5E49">
            <w:pPr>
              <w:spacing w:after="0" w:line="240" w:lineRule="auto"/>
              <w:jc w:val="center"/>
              <w:rPr>
                <w:rFonts w:hint="default" w:ascii="Times New Roman" w:hAnsi="Times New Roman" w:cs="Times New Roman"/>
                <w:color w:val="auto"/>
                <w:sz w:val="21"/>
                <w:szCs w:val="21"/>
              </w:rPr>
            </w:pPr>
            <w:r>
              <w:rPr>
                <w:rFonts w:hint="default" w:ascii="Times New Roman Bold Italic" w:hAnsi="Times New Roman Bold Italic" w:cs="Times New Roman Bold Italic"/>
                <w:b/>
                <w:i/>
                <w:iCs/>
                <w:color w:val="auto"/>
                <w:sz w:val="21"/>
                <w:szCs w:val="21"/>
              </w:rPr>
              <w:t>P</w:t>
            </w:r>
            <w:r>
              <w:rPr>
                <w:rFonts w:hint="default" w:ascii="Times New Roman" w:hAnsi="Times New Roman" w:cs="Times New Roman"/>
                <w:b/>
                <w:color w:val="auto"/>
                <w:sz w:val="21"/>
                <w:szCs w:val="21"/>
              </w:rPr>
              <w:t xml:space="preserve"> overall</w:t>
            </w:r>
          </w:p>
        </w:tc>
        <w:tc>
          <w:tcPr>
            <w:tcW w:w="2154" w:type="dxa"/>
            <w:tcBorders>
              <w:top w:val="single" w:color="auto" w:sz="4" w:space="0"/>
              <w:bottom w:val="single" w:color="auto" w:sz="4" w:space="0"/>
            </w:tcBorders>
            <w:shd w:val="clear" w:color="auto" w:fill="auto"/>
            <w:vAlign w:val="center"/>
          </w:tcPr>
          <w:p w14:paraId="2CE993A1">
            <w:pPr>
              <w:spacing w:after="0" w:line="240" w:lineRule="auto"/>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b/>
                <w:color w:val="auto"/>
                <w:sz w:val="21"/>
                <w:szCs w:val="21"/>
              </w:rPr>
              <w:t>Baseline epilepsy</w:t>
            </w:r>
            <w:r>
              <w:rPr>
                <w:rFonts w:hint="default" w:ascii="Times New Roman" w:hAnsi="Times New Roman" w:cs="Times New Roman"/>
                <w:b/>
                <w:color w:val="auto"/>
                <w:sz w:val="21"/>
                <w:szCs w:val="21"/>
              </w:rPr>
              <w:br w:type="textWrapping"/>
            </w:r>
            <w:r>
              <w:rPr>
                <w:rFonts w:hint="default" w:ascii="Times New Roman" w:hAnsi="Times New Roman" w:cs="Times New Roman"/>
                <w:b/>
                <w:color w:val="auto"/>
                <w:sz w:val="21"/>
                <w:szCs w:val="21"/>
              </w:rPr>
              <w:t>vs epilepsy</w:t>
            </w:r>
            <w:r>
              <w:rPr>
                <w:rFonts w:hint="eastAsia" w:ascii="Times New Roman" w:hAnsi="Times New Roman" w:cs="Times New Roman"/>
                <w:b/>
                <w:color w:val="auto"/>
                <w:sz w:val="21"/>
                <w:szCs w:val="21"/>
                <w:lang w:val="en-US" w:eastAsia="zh-CN"/>
              </w:rPr>
              <w:t>-free</w:t>
            </w:r>
          </w:p>
        </w:tc>
        <w:tc>
          <w:tcPr>
            <w:tcW w:w="2154" w:type="dxa"/>
            <w:tcBorders>
              <w:top w:val="single" w:color="auto" w:sz="4" w:space="0"/>
              <w:bottom w:val="single" w:color="auto" w:sz="4" w:space="0"/>
            </w:tcBorders>
            <w:shd w:val="clear" w:color="auto" w:fill="auto"/>
            <w:vAlign w:val="center"/>
          </w:tcPr>
          <w:p w14:paraId="6953B5EA">
            <w:pPr>
              <w:spacing w:after="0" w:line="240" w:lineRule="auto"/>
              <w:jc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eastAsia="宋体" w:cs="Times New Roman"/>
                <w:b/>
                <w:color w:val="auto"/>
                <w:sz w:val="21"/>
                <w:szCs w:val="21"/>
                <w:lang w:val="en-US" w:eastAsia="zh-CN"/>
              </w:rPr>
              <w:t>Incident</w:t>
            </w:r>
            <w:r>
              <w:rPr>
                <w:rFonts w:hint="default" w:ascii="Times New Roman" w:hAnsi="Times New Roman" w:cs="Times New Roman"/>
                <w:b/>
                <w:color w:val="auto"/>
                <w:sz w:val="21"/>
                <w:szCs w:val="21"/>
              </w:rPr>
              <w:t xml:space="preserve"> epilepsy</w:t>
            </w:r>
            <w:r>
              <w:rPr>
                <w:rFonts w:hint="default" w:ascii="Times New Roman" w:hAnsi="Times New Roman" w:cs="Times New Roman"/>
                <w:b/>
                <w:color w:val="auto"/>
                <w:sz w:val="21"/>
                <w:szCs w:val="21"/>
              </w:rPr>
              <w:br w:type="textWrapping"/>
            </w:r>
            <w:r>
              <w:rPr>
                <w:rFonts w:hint="default" w:ascii="Times New Roman" w:hAnsi="Times New Roman" w:cs="Times New Roman"/>
                <w:b/>
                <w:color w:val="auto"/>
                <w:sz w:val="21"/>
                <w:szCs w:val="21"/>
              </w:rPr>
              <w:t>vs epilepsy</w:t>
            </w:r>
            <w:r>
              <w:rPr>
                <w:rFonts w:hint="eastAsia" w:ascii="Times New Roman" w:hAnsi="Times New Roman" w:cs="Times New Roman"/>
                <w:b/>
                <w:color w:val="auto"/>
                <w:sz w:val="21"/>
                <w:szCs w:val="21"/>
                <w:lang w:val="en-US" w:eastAsia="zh-CN"/>
              </w:rPr>
              <w:t>-free</w:t>
            </w:r>
          </w:p>
        </w:tc>
        <w:tc>
          <w:tcPr>
            <w:tcW w:w="2154" w:type="dxa"/>
            <w:tcBorders>
              <w:top w:val="single" w:color="auto" w:sz="4" w:space="0"/>
              <w:bottom w:val="single" w:color="auto" w:sz="4" w:space="0"/>
              <w:right w:val="nil"/>
            </w:tcBorders>
            <w:shd w:val="clear" w:color="auto" w:fill="auto"/>
            <w:vAlign w:val="center"/>
          </w:tcPr>
          <w:p w14:paraId="63EE6516">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Baseline epilepsy</w:t>
            </w:r>
            <w:r>
              <w:rPr>
                <w:rFonts w:hint="default" w:ascii="Times New Roman" w:hAnsi="Times New Roman" w:cs="Times New Roman"/>
                <w:b/>
                <w:color w:val="auto"/>
                <w:sz w:val="21"/>
                <w:szCs w:val="21"/>
              </w:rPr>
              <w:br w:type="textWrapping"/>
            </w:r>
            <w:r>
              <w:rPr>
                <w:rFonts w:hint="default" w:ascii="Times New Roman" w:hAnsi="Times New Roman" w:cs="Times New Roman"/>
                <w:b/>
                <w:color w:val="auto"/>
                <w:sz w:val="21"/>
                <w:szCs w:val="21"/>
              </w:rPr>
              <w:t xml:space="preserve">vs </w:t>
            </w:r>
            <w:r>
              <w:rPr>
                <w:rFonts w:hint="eastAsia" w:ascii="Times New Roman" w:hAnsi="Times New Roman" w:eastAsia="宋体" w:cs="Times New Roman"/>
                <w:b/>
                <w:color w:val="auto"/>
                <w:sz w:val="21"/>
                <w:szCs w:val="21"/>
                <w:lang w:val="en-US" w:eastAsia="zh-CN"/>
              </w:rPr>
              <w:t>Incident</w:t>
            </w:r>
            <w:r>
              <w:rPr>
                <w:rFonts w:hint="default" w:ascii="Times New Roman" w:hAnsi="Times New Roman" w:cs="Times New Roman"/>
                <w:b/>
                <w:color w:val="auto"/>
                <w:sz w:val="21"/>
                <w:szCs w:val="21"/>
              </w:rPr>
              <w:t xml:space="preserve"> epilepsy</w:t>
            </w:r>
          </w:p>
        </w:tc>
      </w:tr>
      <w:tr w14:paraId="2D3D8EF9">
        <w:trPr>
          <w:trHeight w:val="397" w:hRule="atLeast"/>
          <w:jc w:val="center"/>
        </w:trPr>
        <w:tc>
          <w:tcPr>
            <w:tcW w:w="2154" w:type="dxa"/>
            <w:tcBorders>
              <w:top w:val="single" w:color="auto" w:sz="4" w:space="0"/>
              <w:left w:val="nil"/>
            </w:tcBorders>
            <w:shd w:val="clear" w:color="auto" w:fill="auto"/>
            <w:vAlign w:val="center"/>
          </w:tcPr>
          <w:p w14:paraId="74425790">
            <w:pPr>
              <w:spacing w:after="0" w:line="240" w:lineRule="auto"/>
              <w:jc w:val="center"/>
              <w:rPr>
                <w:rFonts w:hint="default" w:ascii="Times New Roman" w:hAnsi="Times New Roman" w:cs="Times New Roman"/>
                <w:sz w:val="21"/>
                <w:szCs w:val="21"/>
                <w:lang w:val="en-US"/>
              </w:rPr>
            </w:pPr>
            <w:r>
              <w:rPr>
                <w:rFonts w:hint="default" w:ascii="Times New Roman" w:hAnsi="Times New Roman" w:cs="Times New Roman"/>
                <w:b/>
                <w:sz w:val="21"/>
                <w:szCs w:val="21"/>
                <w:lang w:val="en-US"/>
              </w:rPr>
              <w:t>Sex</w:t>
            </w:r>
          </w:p>
        </w:tc>
        <w:tc>
          <w:tcPr>
            <w:tcW w:w="2154" w:type="dxa"/>
            <w:tcBorders>
              <w:top w:val="single" w:color="auto" w:sz="4" w:space="0"/>
            </w:tcBorders>
            <w:shd w:val="clear" w:color="auto" w:fill="auto"/>
            <w:vAlign w:val="center"/>
          </w:tcPr>
          <w:p w14:paraId="2DAD9309">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top w:val="single" w:color="auto" w:sz="4" w:space="0"/>
            </w:tcBorders>
            <w:shd w:val="clear" w:color="auto" w:fill="auto"/>
            <w:vAlign w:val="center"/>
          </w:tcPr>
          <w:p w14:paraId="7136073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top w:val="single" w:color="auto" w:sz="4" w:space="0"/>
            </w:tcBorders>
            <w:shd w:val="clear" w:color="auto" w:fill="auto"/>
            <w:vAlign w:val="center"/>
          </w:tcPr>
          <w:p w14:paraId="15953E0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top w:val="single" w:color="auto" w:sz="4" w:space="0"/>
              <w:right w:val="nil"/>
            </w:tcBorders>
            <w:shd w:val="clear" w:color="auto" w:fill="auto"/>
            <w:vAlign w:val="center"/>
          </w:tcPr>
          <w:p w14:paraId="03A88F2C">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1.000</w:t>
            </w:r>
          </w:p>
        </w:tc>
      </w:tr>
      <w:tr w14:paraId="278C685E">
        <w:trPr>
          <w:trHeight w:val="397" w:hRule="atLeast"/>
          <w:jc w:val="center"/>
        </w:trPr>
        <w:tc>
          <w:tcPr>
            <w:tcW w:w="2154" w:type="dxa"/>
            <w:tcBorders>
              <w:left w:val="nil"/>
            </w:tcBorders>
            <w:shd w:val="clear" w:color="auto" w:fill="auto"/>
            <w:vAlign w:val="center"/>
          </w:tcPr>
          <w:p w14:paraId="4A415FC7">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Age, years</w:t>
            </w:r>
          </w:p>
        </w:tc>
        <w:tc>
          <w:tcPr>
            <w:tcW w:w="2154" w:type="dxa"/>
            <w:shd w:val="clear" w:color="auto" w:fill="auto"/>
            <w:vAlign w:val="center"/>
          </w:tcPr>
          <w:p w14:paraId="59D06CA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2C9CFFFD">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1.000</w:t>
            </w:r>
          </w:p>
        </w:tc>
        <w:tc>
          <w:tcPr>
            <w:tcW w:w="2154" w:type="dxa"/>
            <w:shd w:val="clear" w:color="auto" w:fill="auto"/>
            <w:vAlign w:val="center"/>
          </w:tcPr>
          <w:p w14:paraId="20BE203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00E65B0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r w14:paraId="3EF62700">
        <w:trPr>
          <w:trHeight w:val="397" w:hRule="atLeast"/>
          <w:jc w:val="center"/>
        </w:trPr>
        <w:tc>
          <w:tcPr>
            <w:tcW w:w="2154" w:type="dxa"/>
            <w:tcBorders>
              <w:left w:val="nil"/>
            </w:tcBorders>
            <w:shd w:val="clear" w:color="auto" w:fill="auto"/>
            <w:vAlign w:val="center"/>
          </w:tcPr>
          <w:p w14:paraId="07452332">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Education</w:t>
            </w:r>
          </w:p>
        </w:tc>
        <w:tc>
          <w:tcPr>
            <w:tcW w:w="2154" w:type="dxa"/>
            <w:shd w:val="clear" w:color="auto" w:fill="auto"/>
            <w:vAlign w:val="center"/>
          </w:tcPr>
          <w:p w14:paraId="523B8BC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29BC82FB">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27C68F4A">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0D915405">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0.062</w:t>
            </w:r>
          </w:p>
        </w:tc>
      </w:tr>
      <w:tr w14:paraId="0EDFF9FD">
        <w:trPr>
          <w:trHeight w:val="397" w:hRule="atLeast"/>
          <w:jc w:val="center"/>
        </w:trPr>
        <w:tc>
          <w:tcPr>
            <w:tcW w:w="2154" w:type="dxa"/>
            <w:tcBorders>
              <w:left w:val="nil"/>
            </w:tcBorders>
            <w:shd w:val="clear" w:color="auto" w:fill="auto"/>
            <w:vAlign w:val="center"/>
          </w:tcPr>
          <w:p w14:paraId="1AE45B63">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BMI, kg/m²</w:t>
            </w:r>
          </w:p>
        </w:tc>
        <w:tc>
          <w:tcPr>
            <w:tcW w:w="2154" w:type="dxa"/>
            <w:shd w:val="clear" w:color="auto" w:fill="auto"/>
            <w:vAlign w:val="center"/>
          </w:tcPr>
          <w:p w14:paraId="0BFFC7DB">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2505AD38">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344972FA">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10A3F70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1.000</w:t>
            </w:r>
          </w:p>
        </w:tc>
      </w:tr>
      <w:tr w14:paraId="319EE3BA">
        <w:trPr>
          <w:trHeight w:val="397" w:hRule="atLeast"/>
          <w:jc w:val="center"/>
        </w:trPr>
        <w:tc>
          <w:tcPr>
            <w:tcW w:w="2154" w:type="dxa"/>
            <w:tcBorders>
              <w:left w:val="nil"/>
            </w:tcBorders>
            <w:shd w:val="clear" w:color="auto" w:fill="auto"/>
            <w:vAlign w:val="center"/>
          </w:tcPr>
          <w:p w14:paraId="37BE6309">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IMD</w:t>
            </w:r>
          </w:p>
        </w:tc>
        <w:tc>
          <w:tcPr>
            <w:tcW w:w="2154" w:type="dxa"/>
            <w:shd w:val="clear" w:color="auto" w:fill="auto"/>
            <w:vAlign w:val="center"/>
          </w:tcPr>
          <w:p w14:paraId="0A1FD7B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01C34585">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5D0C9F0E">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0978F9DD">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r w14:paraId="2EFF5C6A">
        <w:trPr>
          <w:trHeight w:val="397" w:hRule="atLeast"/>
          <w:jc w:val="center"/>
        </w:trPr>
        <w:tc>
          <w:tcPr>
            <w:tcW w:w="2154" w:type="dxa"/>
            <w:tcBorders>
              <w:left w:val="nil"/>
            </w:tcBorders>
            <w:shd w:val="clear" w:color="auto" w:fill="auto"/>
            <w:vAlign w:val="center"/>
          </w:tcPr>
          <w:p w14:paraId="4600C477">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Physical activity minutes per week</w:t>
            </w:r>
          </w:p>
        </w:tc>
        <w:tc>
          <w:tcPr>
            <w:tcW w:w="2154" w:type="dxa"/>
            <w:shd w:val="clear" w:color="auto" w:fill="auto"/>
            <w:vAlign w:val="center"/>
          </w:tcPr>
          <w:p w14:paraId="01EF4B3F">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6E1FF757">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1E2CB77B">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0.272</w:t>
            </w:r>
          </w:p>
        </w:tc>
        <w:tc>
          <w:tcPr>
            <w:tcW w:w="2154" w:type="dxa"/>
            <w:tcBorders>
              <w:right w:val="nil"/>
            </w:tcBorders>
            <w:shd w:val="clear" w:color="auto" w:fill="auto"/>
            <w:vAlign w:val="center"/>
          </w:tcPr>
          <w:p w14:paraId="161949B5">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0.133</w:t>
            </w:r>
          </w:p>
        </w:tc>
      </w:tr>
      <w:tr w14:paraId="15CF13F3">
        <w:trPr>
          <w:trHeight w:val="397" w:hRule="atLeast"/>
          <w:jc w:val="center"/>
        </w:trPr>
        <w:tc>
          <w:tcPr>
            <w:tcW w:w="2154" w:type="dxa"/>
            <w:tcBorders>
              <w:left w:val="nil"/>
            </w:tcBorders>
            <w:shd w:val="clear" w:color="auto" w:fill="auto"/>
            <w:vAlign w:val="center"/>
          </w:tcPr>
          <w:p w14:paraId="7D613219">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Working hours per week</w:t>
            </w:r>
          </w:p>
        </w:tc>
        <w:tc>
          <w:tcPr>
            <w:tcW w:w="2154" w:type="dxa"/>
            <w:shd w:val="clear" w:color="auto" w:fill="auto"/>
            <w:vAlign w:val="center"/>
          </w:tcPr>
          <w:p w14:paraId="0BE5C66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0BB2341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7D5F59FC">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0.002</w:t>
            </w:r>
          </w:p>
        </w:tc>
        <w:tc>
          <w:tcPr>
            <w:tcW w:w="2154" w:type="dxa"/>
            <w:tcBorders>
              <w:right w:val="nil"/>
            </w:tcBorders>
            <w:shd w:val="clear" w:color="auto" w:fill="auto"/>
            <w:vAlign w:val="center"/>
          </w:tcPr>
          <w:p w14:paraId="4EB8876B">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0.101</w:t>
            </w:r>
          </w:p>
        </w:tc>
      </w:tr>
      <w:tr w14:paraId="6F4E3169">
        <w:trPr>
          <w:trHeight w:val="397" w:hRule="atLeast"/>
          <w:jc w:val="center"/>
        </w:trPr>
        <w:tc>
          <w:tcPr>
            <w:tcW w:w="2154" w:type="dxa"/>
            <w:tcBorders>
              <w:left w:val="nil"/>
            </w:tcBorders>
            <w:shd w:val="clear" w:color="auto" w:fill="auto"/>
            <w:vAlign w:val="center"/>
          </w:tcPr>
          <w:p w14:paraId="22824773">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Smoking</w:t>
            </w:r>
          </w:p>
        </w:tc>
        <w:tc>
          <w:tcPr>
            <w:tcW w:w="2154" w:type="dxa"/>
            <w:shd w:val="clear" w:color="auto" w:fill="auto"/>
            <w:vAlign w:val="center"/>
          </w:tcPr>
          <w:p w14:paraId="67059A1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635880A8">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0364A784">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7F3D283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0.004</w:t>
            </w:r>
          </w:p>
        </w:tc>
      </w:tr>
      <w:tr w14:paraId="36C4AB24">
        <w:trPr>
          <w:trHeight w:val="397" w:hRule="atLeast"/>
          <w:jc w:val="center"/>
        </w:trPr>
        <w:tc>
          <w:tcPr>
            <w:tcW w:w="2154" w:type="dxa"/>
            <w:tcBorders>
              <w:left w:val="nil"/>
            </w:tcBorders>
            <w:shd w:val="clear" w:color="auto" w:fill="auto"/>
            <w:vAlign w:val="center"/>
          </w:tcPr>
          <w:p w14:paraId="604B6447">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Alcohol</w:t>
            </w:r>
          </w:p>
        </w:tc>
        <w:tc>
          <w:tcPr>
            <w:tcW w:w="2154" w:type="dxa"/>
            <w:shd w:val="clear" w:color="auto" w:fill="auto"/>
            <w:vAlign w:val="center"/>
          </w:tcPr>
          <w:p w14:paraId="3EB97A0E">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79E9EA7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05DC0DD9">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3F23CF3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r w14:paraId="4B3A34E4">
        <w:trPr>
          <w:trHeight w:val="397" w:hRule="atLeast"/>
          <w:jc w:val="center"/>
        </w:trPr>
        <w:tc>
          <w:tcPr>
            <w:tcW w:w="2154" w:type="dxa"/>
            <w:tcBorders>
              <w:left w:val="nil"/>
            </w:tcBorders>
            <w:shd w:val="clear" w:color="auto" w:fill="auto"/>
            <w:vAlign w:val="center"/>
          </w:tcPr>
          <w:p w14:paraId="2756301E">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Loneliness</w:t>
            </w:r>
          </w:p>
        </w:tc>
        <w:tc>
          <w:tcPr>
            <w:tcW w:w="2154" w:type="dxa"/>
            <w:shd w:val="clear" w:color="auto" w:fill="auto"/>
            <w:vAlign w:val="center"/>
          </w:tcPr>
          <w:p w14:paraId="314166C6">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65C3E23C">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28CC2FC7">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46B5CCF5">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r w14:paraId="76168FE2">
        <w:trPr>
          <w:trHeight w:val="397" w:hRule="atLeast"/>
          <w:jc w:val="center"/>
        </w:trPr>
        <w:tc>
          <w:tcPr>
            <w:tcW w:w="2154" w:type="dxa"/>
            <w:tcBorders>
              <w:left w:val="nil"/>
            </w:tcBorders>
            <w:shd w:val="clear" w:color="auto" w:fill="auto"/>
            <w:vAlign w:val="center"/>
          </w:tcPr>
          <w:p w14:paraId="54AAA422">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Serum IGF-1, nmol/L</w:t>
            </w:r>
          </w:p>
        </w:tc>
        <w:tc>
          <w:tcPr>
            <w:tcW w:w="2154" w:type="dxa"/>
            <w:shd w:val="clear" w:color="auto" w:fill="auto"/>
            <w:vAlign w:val="center"/>
          </w:tcPr>
          <w:p w14:paraId="40108F37">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78F73024">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67B12935">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38F69206">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r w14:paraId="32FAB61F">
        <w:trPr>
          <w:trHeight w:val="397" w:hRule="atLeast"/>
          <w:jc w:val="center"/>
        </w:trPr>
        <w:tc>
          <w:tcPr>
            <w:tcW w:w="2154" w:type="dxa"/>
            <w:tcBorders>
              <w:left w:val="nil"/>
            </w:tcBorders>
            <w:shd w:val="clear" w:color="auto" w:fill="auto"/>
            <w:vAlign w:val="center"/>
          </w:tcPr>
          <w:p w14:paraId="097F9B01">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Visuospatial memory</w:t>
            </w:r>
          </w:p>
        </w:tc>
        <w:tc>
          <w:tcPr>
            <w:tcW w:w="2154" w:type="dxa"/>
            <w:shd w:val="clear" w:color="auto" w:fill="auto"/>
            <w:vAlign w:val="center"/>
          </w:tcPr>
          <w:p w14:paraId="2204F1D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7B6093A9">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0.004</w:t>
            </w:r>
          </w:p>
        </w:tc>
        <w:tc>
          <w:tcPr>
            <w:tcW w:w="2154" w:type="dxa"/>
            <w:shd w:val="clear" w:color="auto" w:fill="auto"/>
            <w:vAlign w:val="center"/>
          </w:tcPr>
          <w:p w14:paraId="6CCCFD23">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06D1427C">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1.000</w:t>
            </w:r>
          </w:p>
        </w:tc>
      </w:tr>
      <w:tr w14:paraId="117B479C">
        <w:trPr>
          <w:trHeight w:val="397" w:hRule="atLeast"/>
          <w:jc w:val="center"/>
        </w:trPr>
        <w:tc>
          <w:tcPr>
            <w:tcW w:w="2154" w:type="dxa"/>
            <w:tcBorders>
              <w:left w:val="nil"/>
            </w:tcBorders>
            <w:shd w:val="clear" w:color="auto" w:fill="auto"/>
            <w:vAlign w:val="center"/>
          </w:tcPr>
          <w:p w14:paraId="76ED0C42">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Prospective memory</w:t>
            </w:r>
          </w:p>
        </w:tc>
        <w:tc>
          <w:tcPr>
            <w:tcW w:w="2154" w:type="dxa"/>
            <w:shd w:val="clear" w:color="auto" w:fill="auto"/>
            <w:vAlign w:val="center"/>
          </w:tcPr>
          <w:p w14:paraId="6E85EE6A">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5C98F92D">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6E62EEBC">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30626725">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r w14:paraId="55E6CC0C">
        <w:trPr>
          <w:trHeight w:val="397" w:hRule="atLeast"/>
          <w:jc w:val="center"/>
        </w:trPr>
        <w:tc>
          <w:tcPr>
            <w:tcW w:w="2154" w:type="dxa"/>
            <w:tcBorders>
              <w:left w:val="nil"/>
            </w:tcBorders>
            <w:shd w:val="clear" w:color="auto" w:fill="auto"/>
            <w:vAlign w:val="center"/>
          </w:tcPr>
          <w:p w14:paraId="13D03768">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Numeric memory</w:t>
            </w:r>
          </w:p>
        </w:tc>
        <w:tc>
          <w:tcPr>
            <w:tcW w:w="2154" w:type="dxa"/>
            <w:shd w:val="clear" w:color="auto" w:fill="auto"/>
            <w:vAlign w:val="center"/>
          </w:tcPr>
          <w:p w14:paraId="64672988">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2475F890">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56530A86">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7D8821C6">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0.080</w:t>
            </w:r>
          </w:p>
        </w:tc>
      </w:tr>
      <w:tr w14:paraId="08C61B4E">
        <w:trPr>
          <w:trHeight w:val="397" w:hRule="atLeast"/>
          <w:jc w:val="center"/>
        </w:trPr>
        <w:tc>
          <w:tcPr>
            <w:tcW w:w="2154" w:type="dxa"/>
            <w:tcBorders>
              <w:left w:val="nil"/>
            </w:tcBorders>
            <w:shd w:val="clear" w:color="auto" w:fill="auto"/>
            <w:vAlign w:val="center"/>
          </w:tcPr>
          <w:p w14:paraId="04A8E8C3">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Reaction time</w:t>
            </w:r>
          </w:p>
        </w:tc>
        <w:tc>
          <w:tcPr>
            <w:tcW w:w="2154" w:type="dxa"/>
            <w:shd w:val="clear" w:color="auto" w:fill="auto"/>
            <w:vAlign w:val="center"/>
          </w:tcPr>
          <w:p w14:paraId="13E0D8E2">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3886A539">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shd w:val="clear" w:color="auto" w:fill="auto"/>
            <w:vAlign w:val="center"/>
          </w:tcPr>
          <w:p w14:paraId="3848EB27">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right w:val="nil"/>
            </w:tcBorders>
            <w:shd w:val="clear" w:color="auto" w:fill="auto"/>
            <w:vAlign w:val="center"/>
          </w:tcPr>
          <w:p w14:paraId="10F0FF0D">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r w14:paraId="6613FBF1">
        <w:trPr>
          <w:trHeight w:val="397" w:hRule="atLeast"/>
          <w:jc w:val="center"/>
        </w:trPr>
        <w:tc>
          <w:tcPr>
            <w:tcW w:w="2154" w:type="dxa"/>
            <w:tcBorders>
              <w:left w:val="nil"/>
              <w:bottom w:val="single" w:color="auto" w:sz="4" w:space="0"/>
            </w:tcBorders>
            <w:shd w:val="clear" w:color="auto" w:fill="auto"/>
            <w:vAlign w:val="center"/>
          </w:tcPr>
          <w:p w14:paraId="72D15906">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Fluid intelligence</w:t>
            </w:r>
          </w:p>
        </w:tc>
        <w:tc>
          <w:tcPr>
            <w:tcW w:w="2154" w:type="dxa"/>
            <w:tcBorders>
              <w:bottom w:val="single" w:color="auto" w:sz="4" w:space="0"/>
            </w:tcBorders>
            <w:shd w:val="clear" w:color="auto" w:fill="auto"/>
            <w:vAlign w:val="center"/>
          </w:tcPr>
          <w:p w14:paraId="7C6B4629">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bottom w:val="single" w:color="auto" w:sz="4" w:space="0"/>
            </w:tcBorders>
            <w:shd w:val="clear" w:color="auto" w:fill="auto"/>
            <w:vAlign w:val="center"/>
          </w:tcPr>
          <w:p w14:paraId="510A6F51">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bottom w:val="single" w:color="auto" w:sz="4" w:space="0"/>
            </w:tcBorders>
            <w:shd w:val="clear" w:color="auto" w:fill="auto"/>
            <w:vAlign w:val="center"/>
          </w:tcPr>
          <w:p w14:paraId="788242A8">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c>
          <w:tcPr>
            <w:tcW w:w="2154" w:type="dxa"/>
            <w:tcBorders>
              <w:bottom w:val="single" w:color="auto" w:sz="4" w:space="0"/>
              <w:right w:val="nil"/>
            </w:tcBorders>
            <w:shd w:val="clear" w:color="auto" w:fill="auto"/>
            <w:vAlign w:val="center"/>
          </w:tcPr>
          <w:p w14:paraId="54C40A4F">
            <w:pPr>
              <w:spacing w:after="0"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&lt;0.001</w:t>
            </w:r>
          </w:p>
        </w:tc>
      </w:tr>
    </w:tbl>
    <w:p w14:paraId="210E3089">
      <w:pPr>
        <w:jc w:val="left"/>
        <w:rPr>
          <w:rFonts w:hint="default" w:ascii="Times New Roman" w:hAnsi="Times New Roman" w:eastAsia="Times New Roman" w:cs="Times New Roman"/>
          <w:b/>
          <w:bCs/>
          <w:i w:val="0"/>
          <w:color w:val="000000"/>
          <w:sz w:val="21"/>
          <w:szCs w:val="21"/>
          <w:u w:val="none"/>
          <w:lang w:val="en-US" w:eastAsia="zh-CN"/>
        </w:rPr>
      </w:pPr>
      <w:r>
        <w:rPr>
          <w:rFonts w:hint="default" w:ascii="Times New Roman" w:hAnsi="Times New Roman" w:cs="Times New Roman"/>
          <w:color w:val="000000"/>
          <w:sz w:val="21"/>
          <w:szCs w:val="21"/>
        </w:rPr>
        <w:t xml:space="preserve">Only variables with statistically significant overall group differences in Table 1 were included in this table. Overall comparisons across the three groups were performed using the χ² test for categorical variables, one-way ANOVA for continuous variables with approximately normal distributions and homogeneity of variance, or the Kruskal–Wallis test for non-normally distributed variables. Post hoc pairwise comparisons were conducted only when the overall test was significant. Tukey’s honestly significant difference test was used following ANOVA, Dunn’s test with Bonferroni correction was used following Kruskal–Wallis tests, and Bonferroni-corrected χ² tests were used for categorical variables. Values shown in this table are multiplicity-adjusted </w:t>
      </w:r>
      <w:r>
        <w:rPr>
          <w:rFonts w:hint="default" w:ascii="Times New Roman Italic" w:hAnsi="Times New Roman Italic" w:cs="Times New Roman Italic"/>
          <w:i/>
          <w:iCs/>
          <w:color w:val="000000"/>
          <w:sz w:val="21"/>
          <w:szCs w:val="21"/>
        </w:rPr>
        <w:t>P</w:t>
      </w:r>
      <w:r>
        <w:rPr>
          <w:rFonts w:hint="default" w:ascii="Times New Roman" w:hAnsi="Times New Roman" w:cs="Times New Roman"/>
          <w:color w:val="000000"/>
          <w:sz w:val="21"/>
          <w:szCs w:val="21"/>
        </w:rPr>
        <w:t xml:space="preserve"> values.</w:t>
      </w:r>
      <w:r>
        <w:rPr>
          <w:rFonts w:hint="default" w:ascii="Times New Roman" w:hAnsi="Times New Roman" w:eastAsia="Times New Roman" w:cs="Times New Roman"/>
          <w:b/>
          <w:bCs/>
          <w:i w:val="0"/>
          <w:color w:val="000000"/>
          <w:sz w:val="21"/>
          <w:szCs w:val="21"/>
          <w:u w:val="none"/>
          <w:lang w:val="en-US" w:eastAsia="zh-CN"/>
        </w:rPr>
        <w:br w:type="page"/>
      </w:r>
    </w:p>
    <w:tbl>
      <w:tblPr>
        <w:tblStyle w:val="7"/>
        <w:tblpPr w:leftFromText="180" w:rightFromText="180" w:vertAnchor="text" w:horzAnchor="page" w:tblpX="634" w:tblpY="335"/>
        <w:tblOverlap w:val="never"/>
        <w:tblW w:w="10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59"/>
        <w:gridCol w:w="2466"/>
        <w:gridCol w:w="1390"/>
        <w:gridCol w:w="949"/>
        <w:gridCol w:w="1706"/>
        <w:gridCol w:w="1423"/>
        <w:gridCol w:w="1469"/>
      </w:tblGrid>
      <w:tr w14:paraId="55C84929">
        <w:trPr>
          <w:trHeight w:val="170" w:hRule="atLeast"/>
          <w:tblHeader/>
        </w:trPr>
        <w:tc>
          <w:tcPr>
            <w:tcW w:w="1559" w:type="dxa"/>
            <w:tcBorders>
              <w:top w:val="single" w:color="auto" w:sz="4" w:space="0"/>
              <w:left w:val="nil"/>
              <w:bottom w:val="single" w:color="auto" w:sz="4" w:space="0"/>
              <w:right w:val="nil"/>
            </w:tcBorders>
            <w:shd w:val="clear" w:color="auto" w:fill="auto"/>
            <w:tcMar>
              <w:top w:w="60" w:type="dxa"/>
              <w:left w:w="80" w:type="dxa"/>
              <w:bottom w:w="60" w:type="dxa"/>
              <w:right w:w="80" w:type="dxa"/>
            </w:tcMar>
            <w:vAlign w:val="center"/>
          </w:tcPr>
          <w:p w14:paraId="0E84FB0A">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Model</w:t>
            </w:r>
          </w:p>
        </w:tc>
        <w:tc>
          <w:tcPr>
            <w:tcW w:w="2466" w:type="dxa"/>
            <w:tcBorders>
              <w:top w:val="single" w:color="auto" w:sz="4" w:space="0"/>
              <w:left w:val="nil"/>
              <w:bottom w:val="single" w:color="auto" w:sz="4" w:space="0"/>
              <w:right w:val="nil"/>
            </w:tcBorders>
            <w:shd w:val="clear" w:color="auto" w:fill="auto"/>
            <w:tcMar>
              <w:top w:w="60" w:type="dxa"/>
              <w:left w:w="80" w:type="dxa"/>
              <w:bottom w:w="60" w:type="dxa"/>
              <w:right w:w="80" w:type="dxa"/>
            </w:tcMar>
            <w:vAlign w:val="center"/>
          </w:tcPr>
          <w:p w14:paraId="45C60A2E">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Description</w:t>
            </w:r>
          </w:p>
        </w:tc>
        <w:tc>
          <w:tcPr>
            <w:tcW w:w="1390" w:type="dxa"/>
            <w:tcBorders>
              <w:top w:val="single" w:color="auto" w:sz="4" w:space="0"/>
              <w:left w:val="nil"/>
              <w:bottom w:val="single" w:color="auto" w:sz="4" w:space="0"/>
              <w:right w:val="nil"/>
            </w:tcBorders>
            <w:shd w:val="clear" w:color="auto" w:fill="auto"/>
            <w:tcMar>
              <w:top w:w="60" w:type="dxa"/>
              <w:left w:w="80" w:type="dxa"/>
              <w:bottom w:w="60" w:type="dxa"/>
              <w:right w:w="80" w:type="dxa"/>
            </w:tcMar>
            <w:vAlign w:val="center"/>
          </w:tcPr>
          <w:p w14:paraId="4408D2A0">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Analytic sample (n)</w:t>
            </w:r>
          </w:p>
        </w:tc>
        <w:tc>
          <w:tcPr>
            <w:tcW w:w="949" w:type="dxa"/>
            <w:tcBorders>
              <w:top w:val="single" w:color="auto" w:sz="4" w:space="0"/>
              <w:left w:val="nil"/>
              <w:bottom w:val="single" w:color="auto" w:sz="4" w:space="0"/>
              <w:right w:val="nil"/>
            </w:tcBorders>
            <w:shd w:val="clear" w:color="auto" w:fill="auto"/>
            <w:tcMar>
              <w:top w:w="60" w:type="dxa"/>
              <w:left w:w="80" w:type="dxa"/>
              <w:bottom w:w="60" w:type="dxa"/>
              <w:right w:w="80" w:type="dxa"/>
            </w:tcMar>
            <w:vAlign w:val="center"/>
          </w:tcPr>
          <w:p w14:paraId="697B09B5">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Events (n)</w:t>
            </w:r>
          </w:p>
        </w:tc>
        <w:tc>
          <w:tcPr>
            <w:tcW w:w="1706" w:type="dxa"/>
            <w:tcBorders>
              <w:top w:val="single" w:color="auto" w:sz="4" w:space="0"/>
              <w:left w:val="nil"/>
              <w:bottom w:val="single" w:color="auto" w:sz="4" w:space="0"/>
              <w:right w:val="nil"/>
            </w:tcBorders>
            <w:shd w:val="clear" w:color="auto" w:fill="auto"/>
            <w:tcMar>
              <w:top w:w="60" w:type="dxa"/>
              <w:left w:w="80" w:type="dxa"/>
              <w:bottom w:w="60" w:type="dxa"/>
              <w:right w:w="80" w:type="dxa"/>
            </w:tcMar>
            <w:vAlign w:val="center"/>
          </w:tcPr>
          <w:p w14:paraId="24C21031">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HR for serum IGF-1</w:t>
            </w:r>
            <w:r>
              <w:rPr>
                <w:rFonts w:hint="default" w:ascii="Times New Roman" w:hAnsi="Times New Roman" w:cs="Times New Roman"/>
                <w:b/>
                <w:color w:val="auto"/>
                <w:sz w:val="21"/>
                <w:szCs w:val="21"/>
              </w:rPr>
              <w:br w:type="textWrapping"/>
            </w:r>
            <w:r>
              <w:rPr>
                <w:rFonts w:hint="default" w:ascii="Times New Roman" w:hAnsi="Times New Roman" w:cs="Times New Roman"/>
                <w:b/>
                <w:color w:val="auto"/>
                <w:sz w:val="21"/>
                <w:szCs w:val="21"/>
              </w:rPr>
              <w:t>(per 1 nmol/L)</w:t>
            </w:r>
          </w:p>
        </w:tc>
        <w:tc>
          <w:tcPr>
            <w:tcW w:w="1423" w:type="dxa"/>
            <w:tcBorders>
              <w:top w:val="single" w:color="auto" w:sz="4" w:space="0"/>
              <w:left w:val="nil"/>
              <w:bottom w:val="single" w:color="auto" w:sz="4" w:space="0"/>
              <w:right w:val="nil"/>
            </w:tcBorders>
            <w:shd w:val="clear" w:color="auto" w:fill="auto"/>
            <w:tcMar>
              <w:top w:w="60" w:type="dxa"/>
              <w:left w:w="80" w:type="dxa"/>
              <w:bottom w:w="60" w:type="dxa"/>
              <w:right w:w="80" w:type="dxa"/>
            </w:tcMar>
            <w:vAlign w:val="center"/>
          </w:tcPr>
          <w:p w14:paraId="78EEB405">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95% CI</w:t>
            </w:r>
          </w:p>
        </w:tc>
        <w:tc>
          <w:tcPr>
            <w:tcW w:w="1469" w:type="dxa"/>
            <w:tcBorders>
              <w:top w:val="single" w:color="auto" w:sz="4" w:space="0"/>
              <w:left w:val="nil"/>
              <w:bottom w:val="single" w:color="auto" w:sz="4" w:space="0"/>
              <w:right w:val="nil"/>
            </w:tcBorders>
            <w:shd w:val="clear" w:color="auto" w:fill="auto"/>
            <w:tcMar>
              <w:top w:w="60" w:type="dxa"/>
              <w:left w:w="80" w:type="dxa"/>
              <w:bottom w:w="60" w:type="dxa"/>
              <w:right w:w="80" w:type="dxa"/>
            </w:tcMar>
            <w:vAlign w:val="center"/>
          </w:tcPr>
          <w:p w14:paraId="5F4B7BEF">
            <w:pPr>
              <w:spacing w:after="0" w:line="240" w:lineRule="auto"/>
              <w:jc w:val="center"/>
              <w:rPr>
                <w:rFonts w:hint="default" w:ascii="Times New Roman" w:hAnsi="Times New Roman" w:cs="Times New Roman"/>
                <w:color w:val="auto"/>
                <w:sz w:val="21"/>
                <w:szCs w:val="21"/>
              </w:rPr>
            </w:pPr>
            <w:r>
              <w:rPr>
                <w:rFonts w:hint="default" w:ascii="Times New Roman Bold Italic" w:hAnsi="Times New Roman Bold Italic" w:cs="Times New Roman Bold Italic"/>
                <w:b/>
                <w:i/>
                <w:iCs/>
                <w:color w:val="auto"/>
                <w:sz w:val="21"/>
                <w:szCs w:val="21"/>
              </w:rPr>
              <w:t>P</w:t>
            </w:r>
            <w:r>
              <w:rPr>
                <w:rFonts w:hint="default" w:ascii="Times New Roman" w:hAnsi="Times New Roman" w:cs="Times New Roman"/>
                <w:b/>
                <w:color w:val="auto"/>
                <w:sz w:val="21"/>
                <w:szCs w:val="21"/>
              </w:rPr>
              <w:t xml:space="preserve"> value</w:t>
            </w:r>
          </w:p>
        </w:tc>
      </w:tr>
      <w:tr w14:paraId="11096A5C">
        <w:trPr>
          <w:trHeight w:val="170" w:hRule="atLeast"/>
        </w:trPr>
        <w:tc>
          <w:tcPr>
            <w:tcW w:w="1559" w:type="dxa"/>
            <w:tcBorders>
              <w:top w:val="single" w:color="auto" w:sz="4" w:space="0"/>
              <w:left w:val="nil"/>
              <w:bottom w:val="nil"/>
              <w:right w:val="nil"/>
            </w:tcBorders>
            <w:shd w:val="clear" w:color="auto" w:fill="auto"/>
            <w:tcMar>
              <w:top w:w="60" w:type="dxa"/>
              <w:left w:w="80" w:type="dxa"/>
              <w:bottom w:w="60" w:type="dxa"/>
              <w:right w:w="80" w:type="dxa"/>
            </w:tcMar>
            <w:vAlign w:val="center"/>
          </w:tcPr>
          <w:p w14:paraId="763CADA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Primary model</w:t>
            </w:r>
          </w:p>
        </w:tc>
        <w:tc>
          <w:tcPr>
            <w:tcW w:w="2466" w:type="dxa"/>
            <w:tcBorders>
              <w:top w:val="single" w:color="auto" w:sz="4" w:space="0"/>
              <w:left w:val="nil"/>
              <w:bottom w:val="nil"/>
              <w:right w:val="nil"/>
            </w:tcBorders>
            <w:shd w:val="clear" w:color="auto" w:fill="auto"/>
            <w:tcMar>
              <w:top w:w="60" w:type="dxa"/>
              <w:left w:w="80" w:type="dxa"/>
              <w:bottom w:w="60" w:type="dxa"/>
              <w:right w:w="80" w:type="dxa"/>
            </w:tcMar>
            <w:vAlign w:val="center"/>
          </w:tcPr>
          <w:p w14:paraId="7EDD483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Adjusted for age, </w:t>
            </w:r>
            <w:r>
              <w:rPr>
                <w:rFonts w:hint="default" w:ascii="Times New Roman" w:hAnsi="Times New Roman" w:cs="Times New Roman"/>
                <w:color w:val="auto"/>
                <w:sz w:val="21"/>
                <w:szCs w:val="21"/>
                <w:lang w:val="en-US"/>
              </w:rPr>
              <w:t>sex</w:t>
            </w:r>
            <w:r>
              <w:rPr>
                <w:rFonts w:hint="default" w:ascii="Times New Roman" w:hAnsi="Times New Roman" w:cs="Times New Roman"/>
                <w:color w:val="auto"/>
                <w:sz w:val="21"/>
                <w:szCs w:val="21"/>
              </w:rPr>
              <w:t>, BMI, smoking, alcohol use, sleep hours/day, and loneliness</w:t>
            </w:r>
          </w:p>
        </w:tc>
        <w:tc>
          <w:tcPr>
            <w:tcW w:w="1390" w:type="dxa"/>
            <w:tcBorders>
              <w:top w:val="single" w:color="auto" w:sz="4" w:space="0"/>
              <w:left w:val="nil"/>
              <w:bottom w:val="nil"/>
              <w:right w:val="nil"/>
            </w:tcBorders>
            <w:shd w:val="clear" w:color="auto" w:fill="auto"/>
            <w:tcMar>
              <w:top w:w="60" w:type="dxa"/>
              <w:left w:w="80" w:type="dxa"/>
              <w:bottom w:w="60" w:type="dxa"/>
              <w:right w:w="80" w:type="dxa"/>
            </w:tcMar>
            <w:vAlign w:val="center"/>
          </w:tcPr>
          <w:p w14:paraId="26E011A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451,230</w:t>
            </w:r>
          </w:p>
        </w:tc>
        <w:tc>
          <w:tcPr>
            <w:tcW w:w="949" w:type="dxa"/>
            <w:tcBorders>
              <w:top w:val="single" w:color="auto" w:sz="4" w:space="0"/>
              <w:left w:val="nil"/>
              <w:bottom w:val="nil"/>
              <w:right w:val="nil"/>
            </w:tcBorders>
            <w:shd w:val="clear" w:color="auto" w:fill="auto"/>
            <w:tcMar>
              <w:top w:w="60" w:type="dxa"/>
              <w:left w:w="80" w:type="dxa"/>
              <w:bottom w:w="60" w:type="dxa"/>
              <w:right w:w="80" w:type="dxa"/>
            </w:tcMar>
            <w:vAlign w:val="center"/>
          </w:tcPr>
          <w:p w14:paraId="54DD217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4,290</w:t>
            </w:r>
          </w:p>
        </w:tc>
        <w:tc>
          <w:tcPr>
            <w:tcW w:w="1706" w:type="dxa"/>
            <w:tcBorders>
              <w:top w:val="single" w:color="auto" w:sz="4" w:space="0"/>
              <w:left w:val="nil"/>
              <w:bottom w:val="nil"/>
              <w:right w:val="nil"/>
            </w:tcBorders>
            <w:shd w:val="clear" w:color="auto" w:fill="auto"/>
            <w:tcMar>
              <w:top w:w="60" w:type="dxa"/>
              <w:left w:w="80" w:type="dxa"/>
              <w:bottom w:w="60" w:type="dxa"/>
              <w:right w:w="80" w:type="dxa"/>
            </w:tcMar>
            <w:vAlign w:val="center"/>
          </w:tcPr>
          <w:p w14:paraId="3F5F474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0.978</w:t>
            </w:r>
          </w:p>
        </w:tc>
        <w:tc>
          <w:tcPr>
            <w:tcW w:w="1423" w:type="dxa"/>
            <w:tcBorders>
              <w:top w:val="single" w:color="auto" w:sz="4" w:space="0"/>
              <w:left w:val="nil"/>
              <w:bottom w:val="nil"/>
              <w:right w:val="nil"/>
            </w:tcBorders>
            <w:shd w:val="clear" w:color="auto" w:fill="auto"/>
            <w:tcMar>
              <w:top w:w="60" w:type="dxa"/>
              <w:left w:w="80" w:type="dxa"/>
              <w:bottom w:w="60" w:type="dxa"/>
              <w:right w:w="80" w:type="dxa"/>
            </w:tcMar>
            <w:vAlign w:val="center"/>
          </w:tcPr>
          <w:p w14:paraId="4DDED64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0.973–0.984</w:t>
            </w:r>
          </w:p>
        </w:tc>
        <w:tc>
          <w:tcPr>
            <w:tcW w:w="1469" w:type="dxa"/>
            <w:tcBorders>
              <w:top w:val="single" w:color="auto" w:sz="4" w:space="0"/>
              <w:left w:val="nil"/>
              <w:bottom w:val="nil"/>
              <w:right w:val="nil"/>
            </w:tcBorders>
            <w:shd w:val="clear" w:color="auto" w:fill="auto"/>
            <w:tcMar>
              <w:top w:w="60" w:type="dxa"/>
              <w:left w:w="80" w:type="dxa"/>
              <w:bottom w:w="60" w:type="dxa"/>
              <w:right w:w="80" w:type="dxa"/>
            </w:tcMar>
            <w:vAlign w:val="center"/>
          </w:tcPr>
          <w:p w14:paraId="6E91119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&lt;0.001</w:t>
            </w:r>
          </w:p>
        </w:tc>
      </w:tr>
      <w:tr w14:paraId="784FAC3B">
        <w:trPr>
          <w:trHeight w:val="170" w:hRule="atLeast"/>
        </w:trPr>
        <w:tc>
          <w:tcPr>
            <w:tcW w:w="1559" w:type="dxa"/>
            <w:tcBorders>
              <w:top w:val="nil"/>
              <w:left w:val="nil"/>
              <w:bottom w:val="single" w:color="auto" w:sz="4" w:space="0"/>
              <w:right w:val="nil"/>
            </w:tcBorders>
            <w:shd w:val="clear" w:color="auto" w:fill="auto"/>
            <w:tcMar>
              <w:top w:w="60" w:type="dxa"/>
              <w:left w:w="80" w:type="dxa"/>
              <w:bottom w:w="60" w:type="dxa"/>
              <w:right w:w="80" w:type="dxa"/>
            </w:tcMar>
            <w:vAlign w:val="center"/>
          </w:tcPr>
          <w:p w14:paraId="11AFE8C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Sensitivity model</w:t>
            </w:r>
          </w:p>
        </w:tc>
        <w:tc>
          <w:tcPr>
            <w:tcW w:w="2466" w:type="dxa"/>
            <w:tcBorders>
              <w:top w:val="nil"/>
              <w:left w:val="nil"/>
              <w:bottom w:val="single" w:color="auto" w:sz="4" w:space="0"/>
              <w:right w:val="nil"/>
            </w:tcBorders>
            <w:shd w:val="clear" w:color="auto" w:fill="auto"/>
            <w:tcMar>
              <w:top w:w="60" w:type="dxa"/>
              <w:left w:w="80" w:type="dxa"/>
              <w:bottom w:w="60" w:type="dxa"/>
              <w:right w:w="80" w:type="dxa"/>
            </w:tcMar>
            <w:vAlign w:val="center"/>
          </w:tcPr>
          <w:p w14:paraId="18E8194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Additionally adjusted for </w:t>
            </w:r>
            <w:r>
              <w:rPr>
                <w:rFonts w:hint="eastAsia" w:ascii="Times New Roman" w:hAnsi="Times New Roman" w:cs="Times New Roman"/>
                <w:color w:val="auto"/>
                <w:sz w:val="21"/>
                <w:szCs w:val="21"/>
                <w:lang w:eastAsia="zh-CN"/>
              </w:rPr>
              <w:t>ethnicity</w:t>
            </w:r>
            <w:r>
              <w:rPr>
                <w:rFonts w:hint="default" w:ascii="Times New Roman" w:hAnsi="Times New Roman" w:cs="Times New Roman"/>
                <w:color w:val="auto"/>
                <w:sz w:val="21"/>
                <w:szCs w:val="21"/>
              </w:rPr>
              <w:t>, education, deprivation, physical activity, and working hours</w:t>
            </w:r>
          </w:p>
        </w:tc>
        <w:tc>
          <w:tcPr>
            <w:tcW w:w="1390" w:type="dxa"/>
            <w:tcBorders>
              <w:top w:val="nil"/>
              <w:left w:val="nil"/>
              <w:bottom w:val="single" w:color="auto" w:sz="4" w:space="0"/>
              <w:right w:val="nil"/>
            </w:tcBorders>
            <w:shd w:val="clear" w:color="auto" w:fill="auto"/>
            <w:tcMar>
              <w:top w:w="60" w:type="dxa"/>
              <w:left w:w="80" w:type="dxa"/>
              <w:bottom w:w="60" w:type="dxa"/>
              <w:right w:w="80" w:type="dxa"/>
            </w:tcMar>
            <w:vAlign w:val="center"/>
          </w:tcPr>
          <w:p w14:paraId="3A32082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155,736</w:t>
            </w:r>
          </w:p>
        </w:tc>
        <w:tc>
          <w:tcPr>
            <w:tcW w:w="949" w:type="dxa"/>
            <w:tcBorders>
              <w:top w:val="nil"/>
              <w:left w:val="nil"/>
              <w:bottom w:val="single" w:color="auto" w:sz="4" w:space="0"/>
              <w:right w:val="nil"/>
            </w:tcBorders>
            <w:shd w:val="clear" w:color="auto" w:fill="auto"/>
            <w:tcMar>
              <w:top w:w="60" w:type="dxa"/>
              <w:left w:w="80" w:type="dxa"/>
              <w:bottom w:w="60" w:type="dxa"/>
              <w:right w:w="80" w:type="dxa"/>
            </w:tcMar>
            <w:vAlign w:val="center"/>
          </w:tcPr>
          <w:p w14:paraId="15B93A8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1,107</w:t>
            </w:r>
          </w:p>
        </w:tc>
        <w:tc>
          <w:tcPr>
            <w:tcW w:w="1706" w:type="dxa"/>
            <w:tcBorders>
              <w:top w:val="nil"/>
              <w:left w:val="nil"/>
              <w:bottom w:val="single" w:color="auto" w:sz="4" w:space="0"/>
              <w:right w:val="nil"/>
            </w:tcBorders>
            <w:shd w:val="clear" w:color="auto" w:fill="auto"/>
            <w:tcMar>
              <w:top w:w="60" w:type="dxa"/>
              <w:left w:w="80" w:type="dxa"/>
              <w:bottom w:w="60" w:type="dxa"/>
              <w:right w:w="80" w:type="dxa"/>
            </w:tcMar>
            <w:vAlign w:val="center"/>
          </w:tcPr>
          <w:p w14:paraId="3C2B6C8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0.979</w:t>
            </w:r>
          </w:p>
        </w:tc>
        <w:tc>
          <w:tcPr>
            <w:tcW w:w="1423" w:type="dxa"/>
            <w:tcBorders>
              <w:top w:val="nil"/>
              <w:left w:val="nil"/>
              <w:bottom w:val="single" w:color="auto" w:sz="4" w:space="0"/>
              <w:right w:val="nil"/>
            </w:tcBorders>
            <w:shd w:val="clear" w:color="auto" w:fill="auto"/>
            <w:tcMar>
              <w:top w:w="60" w:type="dxa"/>
              <w:left w:w="80" w:type="dxa"/>
              <w:bottom w:w="60" w:type="dxa"/>
              <w:right w:w="80" w:type="dxa"/>
            </w:tcMar>
            <w:vAlign w:val="center"/>
          </w:tcPr>
          <w:p w14:paraId="3E8AD4E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0.968–0.990</w:t>
            </w:r>
          </w:p>
        </w:tc>
        <w:tc>
          <w:tcPr>
            <w:tcW w:w="1469" w:type="dxa"/>
            <w:tcBorders>
              <w:top w:val="nil"/>
              <w:left w:val="nil"/>
              <w:bottom w:val="single" w:color="auto" w:sz="4" w:space="0"/>
              <w:right w:val="nil"/>
            </w:tcBorders>
            <w:shd w:val="clear" w:color="auto" w:fill="auto"/>
            <w:tcMar>
              <w:top w:w="60" w:type="dxa"/>
              <w:left w:w="80" w:type="dxa"/>
              <w:bottom w:w="60" w:type="dxa"/>
              <w:right w:w="80" w:type="dxa"/>
            </w:tcMar>
            <w:vAlign w:val="center"/>
          </w:tcPr>
          <w:p w14:paraId="352D50C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&lt;0.001</w:t>
            </w:r>
          </w:p>
        </w:tc>
      </w:tr>
    </w:tbl>
    <w:p w14:paraId="5AC88886">
      <w:pPr>
        <w:jc w:val="center"/>
        <w:rPr>
          <w:rFonts w:hint="default" w:ascii="Times New Roman" w:hAnsi="Times New Roman" w:eastAsia="Times New Roman" w:cs="Times New Roman"/>
          <w:b/>
          <w:bCs/>
          <w:i w:val="0"/>
          <w:color w:val="000000"/>
          <w:sz w:val="21"/>
          <w:szCs w:val="21"/>
          <w:u w:val="none"/>
          <w:lang w:val="en-US" w:eastAsia="zh-CN"/>
        </w:rPr>
      </w:pPr>
      <w:r>
        <w:rPr>
          <w:rFonts w:hint="default" w:ascii="Times New Roman" w:hAnsi="Times New Roman" w:eastAsia="Times New Roman" w:cs="Times New Roman"/>
          <w:b/>
          <w:bCs/>
          <w:i w:val="0"/>
          <w:color w:val="000000"/>
          <w:sz w:val="21"/>
          <w:szCs w:val="21"/>
          <w:u w:val="none"/>
          <w:lang w:val="en-US" w:eastAsia="zh-CN"/>
        </w:rPr>
        <w:t>STable</w:t>
      </w:r>
      <w:r>
        <w:rPr>
          <w:rFonts w:hint="default" w:ascii="Times New Roman" w:hAnsi="Times New Roman" w:eastAsia="Times New Roman" w:cs="Times New Roman"/>
          <w:b/>
          <w:bCs/>
          <w:i w:val="0"/>
          <w:color w:val="000000"/>
          <w:sz w:val="21"/>
          <w:szCs w:val="21"/>
          <w:u w:val="none"/>
          <w:lang w:eastAsia="zh-CN"/>
        </w:rPr>
        <w:t xml:space="preserve"> </w:t>
      </w:r>
      <w:r>
        <w:rPr>
          <w:rFonts w:hint="default" w:ascii="Times New Roman" w:hAnsi="Times New Roman" w:eastAsia="Times New Roman" w:cs="Times New Roman"/>
          <w:b/>
          <w:bCs/>
          <w:i w:val="0"/>
          <w:color w:val="000000"/>
          <w:sz w:val="21"/>
          <w:szCs w:val="21"/>
          <w:u w:val="none"/>
          <w:lang w:val="en-US" w:eastAsia="zh-CN"/>
        </w:rPr>
        <w:t>2. Prespecified Cox proportional hazards models for incident epilepsy.</w:t>
      </w:r>
    </w:p>
    <w:p w14:paraId="587844F9">
      <w:pPr>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Primary model corresponds to the main multivariable model used in the manuscript. Sensitivity model corresponds to the more extensively adjusted reduced complete-case model. Incident epilepsy during follow-up was defined as status=1. The uploaded variable 'time' was used as the follow-up time variable. Cox proportional hazards models used the Breslow method for handling ties. Complete-case analysis was used for each model; therefore, the analytic sample size differs across models according to variable availability.</w:t>
      </w:r>
    </w:p>
    <w:p w14:paraId="612EA7ED">
      <w:pP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br w:type="page"/>
      </w:r>
    </w:p>
    <w:p w14:paraId="1D829858">
      <w:pPr>
        <w:jc w:val="both"/>
        <w:rPr>
          <w:rFonts w:hint="default" w:ascii="Times New Roman" w:hAnsi="Times New Roman" w:cs="Times New Roman"/>
          <w:sz w:val="21"/>
          <w:szCs w:val="21"/>
        </w:rPr>
      </w:pPr>
      <w:r>
        <w:rPr>
          <w:rFonts w:hint="default" w:ascii="Times New Roman" w:hAnsi="Times New Roman" w:cs="Times New Roman"/>
          <w:b/>
          <w:sz w:val="21"/>
          <w:szCs w:val="21"/>
          <w:lang w:val="en-US"/>
        </w:rPr>
        <w:t>S</w:t>
      </w:r>
      <w:r>
        <w:rPr>
          <w:rFonts w:hint="default" w:ascii="Times New Roman" w:hAnsi="Times New Roman" w:cs="Times New Roman"/>
          <w:b/>
          <w:sz w:val="21"/>
          <w:szCs w:val="21"/>
        </w:rPr>
        <w:t>Table 3. Proportional hazards assumption, missing data, and model notes for the Cox analyses.</w:t>
      </w:r>
    </w:p>
    <w:p w14:paraId="2C6B88A6">
      <w:pPr>
        <w:jc w:val="center"/>
        <w:rPr>
          <w:rFonts w:hint="default" w:ascii="Times New Roman" w:hAnsi="Times New Roman" w:cs="Times New Roman"/>
          <w:sz w:val="21"/>
          <w:szCs w:val="21"/>
        </w:rPr>
      </w:pPr>
      <w:r>
        <w:rPr>
          <w:rFonts w:hint="default" w:ascii="Times New Roman" w:hAnsi="Times New Roman" w:cs="Times New Roman"/>
          <w:b/>
          <w:sz w:val="21"/>
          <w:szCs w:val="21"/>
        </w:rPr>
        <w:t xml:space="preserve">Panel </w:t>
      </w:r>
      <w:r>
        <w:rPr>
          <w:rFonts w:hint="default" w:ascii="Times New Roman" w:hAnsi="Times New Roman" w:cs="Times New Roman"/>
          <w:b/>
          <w:sz w:val="21"/>
          <w:szCs w:val="21"/>
          <w:lang w:val="en-US"/>
        </w:rPr>
        <w:t>a</w:t>
      </w:r>
      <w:r>
        <w:rPr>
          <w:rFonts w:hint="default" w:ascii="Times New Roman" w:hAnsi="Times New Roman" w:cs="Times New Roman"/>
          <w:b/>
          <w:sz w:val="21"/>
          <w:szCs w:val="21"/>
        </w:rPr>
        <w:t>. Proportional hazards assumption screening</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04"/>
        <w:gridCol w:w="1668"/>
        <w:gridCol w:w="1466"/>
        <w:gridCol w:w="1329"/>
        <w:gridCol w:w="2299"/>
      </w:tblGrid>
      <w:tr w14:paraId="0D120BCD">
        <w:trPr>
          <w:tblHeader/>
          <w:jc w:val="center"/>
        </w:trPr>
        <w:tc>
          <w:tcPr>
            <w:tcW w:w="1704" w:type="dxa"/>
            <w:tcBorders>
              <w:top w:val="single" w:color="auto" w:sz="4" w:space="0"/>
              <w:bottom w:val="single" w:color="auto" w:sz="4" w:space="0"/>
            </w:tcBorders>
            <w:shd w:val="clear" w:color="auto" w:fill="auto"/>
            <w:tcMar>
              <w:top w:w="60" w:type="dxa"/>
              <w:left w:w="80" w:type="dxa"/>
              <w:bottom w:w="60" w:type="dxa"/>
              <w:right w:w="80" w:type="dxa"/>
            </w:tcMar>
            <w:vAlign w:val="center"/>
          </w:tcPr>
          <w:p w14:paraId="4D4BE857">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Model</w:t>
            </w:r>
          </w:p>
        </w:tc>
        <w:tc>
          <w:tcPr>
            <w:tcW w:w="1668" w:type="dxa"/>
            <w:tcBorders>
              <w:top w:val="single" w:color="auto" w:sz="4" w:space="0"/>
              <w:bottom w:val="single" w:color="auto" w:sz="4" w:space="0"/>
            </w:tcBorders>
            <w:shd w:val="clear" w:color="auto" w:fill="auto"/>
            <w:tcMar>
              <w:top w:w="60" w:type="dxa"/>
              <w:left w:w="80" w:type="dxa"/>
              <w:bottom w:w="60" w:type="dxa"/>
              <w:right w:w="80" w:type="dxa"/>
            </w:tcMar>
            <w:vAlign w:val="center"/>
          </w:tcPr>
          <w:p w14:paraId="3D3BD6D5">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Variable</w:t>
            </w:r>
          </w:p>
        </w:tc>
        <w:tc>
          <w:tcPr>
            <w:tcW w:w="1466" w:type="dxa"/>
            <w:tcBorders>
              <w:top w:val="single" w:color="auto" w:sz="4" w:space="0"/>
              <w:bottom w:val="single" w:color="auto" w:sz="4" w:space="0"/>
            </w:tcBorders>
            <w:shd w:val="clear" w:color="auto" w:fill="auto"/>
            <w:tcMar>
              <w:top w:w="60" w:type="dxa"/>
              <w:left w:w="80" w:type="dxa"/>
              <w:bottom w:w="60" w:type="dxa"/>
              <w:right w:w="80" w:type="dxa"/>
            </w:tcMar>
            <w:vAlign w:val="center"/>
          </w:tcPr>
          <w:p w14:paraId="61278D44">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Spearman rho</w:t>
            </w:r>
          </w:p>
        </w:tc>
        <w:tc>
          <w:tcPr>
            <w:tcW w:w="1329" w:type="dxa"/>
            <w:tcBorders>
              <w:top w:val="single" w:color="auto" w:sz="4" w:space="0"/>
              <w:bottom w:val="single" w:color="auto" w:sz="4" w:space="0"/>
            </w:tcBorders>
            <w:shd w:val="clear" w:color="auto" w:fill="auto"/>
            <w:tcMar>
              <w:top w:w="60" w:type="dxa"/>
              <w:left w:w="80" w:type="dxa"/>
              <w:bottom w:w="60" w:type="dxa"/>
              <w:right w:w="80" w:type="dxa"/>
            </w:tcMar>
            <w:vAlign w:val="center"/>
          </w:tcPr>
          <w:p w14:paraId="31017002">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 xml:space="preserve">PH screening </w:t>
            </w:r>
            <w:r>
              <w:rPr>
                <w:rFonts w:hint="default" w:ascii="Times New Roman Bold Italic" w:hAnsi="Times New Roman Bold Italic" w:cs="Times New Roman Bold Italic"/>
                <w:b/>
                <w:i/>
                <w:iCs/>
                <w:color w:val="auto"/>
                <w:sz w:val="21"/>
                <w:szCs w:val="21"/>
              </w:rPr>
              <w:t>P</w:t>
            </w:r>
          </w:p>
        </w:tc>
        <w:tc>
          <w:tcPr>
            <w:tcW w:w="2299" w:type="dxa"/>
            <w:tcBorders>
              <w:top w:val="single" w:color="auto" w:sz="4" w:space="0"/>
              <w:bottom w:val="single" w:color="auto" w:sz="4" w:space="0"/>
            </w:tcBorders>
            <w:shd w:val="clear" w:color="auto" w:fill="auto"/>
            <w:tcMar>
              <w:top w:w="60" w:type="dxa"/>
              <w:left w:w="80" w:type="dxa"/>
              <w:bottom w:w="60" w:type="dxa"/>
              <w:right w:w="80" w:type="dxa"/>
            </w:tcMar>
            <w:vAlign w:val="center"/>
          </w:tcPr>
          <w:p w14:paraId="3DA0C1A9">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Interpretation</w:t>
            </w:r>
          </w:p>
        </w:tc>
      </w:tr>
      <w:tr w14:paraId="4BBC7BDD">
        <w:trPr>
          <w:jc w:val="center"/>
        </w:trPr>
        <w:tc>
          <w:tcPr>
            <w:tcW w:w="1704" w:type="dxa"/>
            <w:tcBorders>
              <w:top w:val="single" w:color="auto" w:sz="4" w:space="0"/>
            </w:tcBorders>
            <w:shd w:val="clear" w:color="auto" w:fill="auto"/>
            <w:tcMar>
              <w:top w:w="60" w:type="dxa"/>
              <w:left w:w="80" w:type="dxa"/>
              <w:bottom w:w="60" w:type="dxa"/>
              <w:right w:w="80" w:type="dxa"/>
            </w:tcMar>
            <w:vAlign w:val="center"/>
          </w:tcPr>
          <w:p w14:paraId="3D14B14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Primary model</w:t>
            </w:r>
          </w:p>
        </w:tc>
        <w:tc>
          <w:tcPr>
            <w:tcW w:w="1668" w:type="dxa"/>
            <w:tcBorders>
              <w:top w:val="single" w:color="auto" w:sz="4" w:space="0"/>
            </w:tcBorders>
            <w:shd w:val="clear" w:color="auto" w:fill="auto"/>
            <w:tcMar>
              <w:top w:w="60" w:type="dxa"/>
              <w:left w:w="80" w:type="dxa"/>
              <w:bottom w:w="60" w:type="dxa"/>
              <w:right w:w="80" w:type="dxa"/>
            </w:tcMar>
            <w:vAlign w:val="center"/>
          </w:tcPr>
          <w:p w14:paraId="08B6647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Global screening (Fisher combined)</w:t>
            </w:r>
          </w:p>
        </w:tc>
        <w:tc>
          <w:tcPr>
            <w:tcW w:w="1466" w:type="dxa"/>
            <w:tcBorders>
              <w:top w:val="single" w:color="auto" w:sz="4" w:space="0"/>
            </w:tcBorders>
            <w:shd w:val="clear" w:color="auto" w:fill="auto"/>
            <w:tcMar>
              <w:top w:w="60" w:type="dxa"/>
              <w:left w:w="80" w:type="dxa"/>
              <w:bottom w:w="60" w:type="dxa"/>
              <w:right w:w="80" w:type="dxa"/>
            </w:tcMar>
            <w:vAlign w:val="center"/>
          </w:tcPr>
          <w:p w14:paraId="7955886C">
            <w:pPr>
              <w:spacing w:before="0" w:after="0" w:line="240" w:lineRule="auto"/>
              <w:jc w:val="center"/>
              <w:rPr>
                <w:rFonts w:hint="default" w:ascii="Times New Roman" w:hAnsi="Times New Roman" w:cs="Times New Roman"/>
                <w:color w:val="auto"/>
                <w:sz w:val="21"/>
                <w:szCs w:val="21"/>
              </w:rPr>
            </w:pPr>
          </w:p>
        </w:tc>
        <w:tc>
          <w:tcPr>
            <w:tcW w:w="1329" w:type="dxa"/>
            <w:tcBorders>
              <w:top w:val="single" w:color="auto" w:sz="4" w:space="0"/>
            </w:tcBorders>
            <w:shd w:val="clear" w:color="auto" w:fill="auto"/>
            <w:tcMar>
              <w:top w:w="60" w:type="dxa"/>
              <w:left w:w="80" w:type="dxa"/>
              <w:bottom w:w="60" w:type="dxa"/>
              <w:right w:w="80" w:type="dxa"/>
            </w:tcMar>
            <w:vAlign w:val="center"/>
          </w:tcPr>
          <w:p w14:paraId="04B0534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&lt;0.001</w:t>
            </w:r>
          </w:p>
        </w:tc>
        <w:tc>
          <w:tcPr>
            <w:tcW w:w="2299" w:type="dxa"/>
            <w:tcBorders>
              <w:top w:val="single" w:color="auto" w:sz="4" w:space="0"/>
            </w:tcBorders>
            <w:shd w:val="clear" w:color="auto" w:fill="auto"/>
            <w:tcMar>
              <w:top w:w="60" w:type="dxa"/>
              <w:left w:w="80" w:type="dxa"/>
              <w:bottom w:w="60" w:type="dxa"/>
              <w:right w:w="80" w:type="dxa"/>
            </w:tcMar>
            <w:vAlign w:val="center"/>
          </w:tcPr>
          <w:p w14:paraId="5C3E6FF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Screening only; interpret with caution in large samples</w:t>
            </w:r>
          </w:p>
        </w:tc>
      </w:tr>
      <w:tr w14:paraId="6DB7AC0A">
        <w:trPr>
          <w:jc w:val="center"/>
        </w:trPr>
        <w:tc>
          <w:tcPr>
            <w:tcW w:w="1704" w:type="dxa"/>
            <w:shd w:val="clear" w:color="auto" w:fill="auto"/>
            <w:tcMar>
              <w:top w:w="60" w:type="dxa"/>
              <w:left w:w="80" w:type="dxa"/>
              <w:bottom w:w="60" w:type="dxa"/>
              <w:right w:w="80" w:type="dxa"/>
            </w:tcMar>
            <w:vAlign w:val="center"/>
          </w:tcPr>
          <w:p w14:paraId="125F0F2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Primary model</w:t>
            </w:r>
          </w:p>
        </w:tc>
        <w:tc>
          <w:tcPr>
            <w:tcW w:w="1668" w:type="dxa"/>
            <w:shd w:val="clear" w:color="auto" w:fill="auto"/>
            <w:tcMar>
              <w:top w:w="60" w:type="dxa"/>
              <w:left w:w="80" w:type="dxa"/>
              <w:bottom w:w="60" w:type="dxa"/>
              <w:right w:w="80" w:type="dxa"/>
            </w:tcMar>
            <w:vAlign w:val="center"/>
          </w:tcPr>
          <w:p w14:paraId="5351D2E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Serum IGF-1</w:t>
            </w:r>
          </w:p>
        </w:tc>
        <w:tc>
          <w:tcPr>
            <w:tcW w:w="1466" w:type="dxa"/>
            <w:shd w:val="clear" w:color="auto" w:fill="auto"/>
            <w:tcMar>
              <w:top w:w="60" w:type="dxa"/>
              <w:left w:w="80" w:type="dxa"/>
              <w:bottom w:w="60" w:type="dxa"/>
              <w:right w:w="80" w:type="dxa"/>
            </w:tcMar>
            <w:vAlign w:val="center"/>
          </w:tcPr>
          <w:p w14:paraId="35E1DF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0.034</w:t>
            </w:r>
          </w:p>
        </w:tc>
        <w:tc>
          <w:tcPr>
            <w:tcW w:w="1329" w:type="dxa"/>
            <w:shd w:val="clear" w:color="auto" w:fill="auto"/>
            <w:tcMar>
              <w:top w:w="60" w:type="dxa"/>
              <w:left w:w="80" w:type="dxa"/>
              <w:bottom w:w="60" w:type="dxa"/>
              <w:right w:w="80" w:type="dxa"/>
            </w:tcMar>
            <w:vAlign w:val="center"/>
          </w:tcPr>
          <w:p w14:paraId="43D2F9A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0.026</w:t>
            </w:r>
          </w:p>
        </w:tc>
        <w:tc>
          <w:tcPr>
            <w:tcW w:w="2299" w:type="dxa"/>
            <w:shd w:val="clear" w:color="auto" w:fill="auto"/>
            <w:tcMar>
              <w:top w:w="60" w:type="dxa"/>
              <w:left w:w="80" w:type="dxa"/>
              <w:bottom w:w="60" w:type="dxa"/>
              <w:right w:w="80" w:type="dxa"/>
            </w:tcMar>
            <w:vAlign w:val="center"/>
          </w:tcPr>
          <w:p w14:paraId="64546CD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Statistically detectable but very small time trend</w:t>
            </w:r>
          </w:p>
        </w:tc>
      </w:tr>
      <w:tr w14:paraId="23CBCBD2">
        <w:trPr>
          <w:jc w:val="center"/>
        </w:trPr>
        <w:tc>
          <w:tcPr>
            <w:tcW w:w="1704" w:type="dxa"/>
            <w:shd w:val="clear" w:color="auto" w:fill="auto"/>
            <w:tcMar>
              <w:top w:w="60" w:type="dxa"/>
              <w:left w:w="80" w:type="dxa"/>
              <w:bottom w:w="60" w:type="dxa"/>
              <w:right w:w="80" w:type="dxa"/>
            </w:tcMar>
            <w:vAlign w:val="center"/>
          </w:tcPr>
          <w:p w14:paraId="49AB2A8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Sensitivity model</w:t>
            </w:r>
          </w:p>
        </w:tc>
        <w:tc>
          <w:tcPr>
            <w:tcW w:w="1668" w:type="dxa"/>
            <w:shd w:val="clear" w:color="auto" w:fill="auto"/>
            <w:tcMar>
              <w:top w:w="60" w:type="dxa"/>
              <w:left w:w="80" w:type="dxa"/>
              <w:bottom w:w="60" w:type="dxa"/>
              <w:right w:w="80" w:type="dxa"/>
            </w:tcMar>
            <w:vAlign w:val="center"/>
          </w:tcPr>
          <w:p w14:paraId="6108A3B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Global screening (Fisher combined)</w:t>
            </w:r>
          </w:p>
        </w:tc>
        <w:tc>
          <w:tcPr>
            <w:tcW w:w="1466" w:type="dxa"/>
            <w:shd w:val="clear" w:color="auto" w:fill="auto"/>
            <w:tcMar>
              <w:top w:w="60" w:type="dxa"/>
              <w:left w:w="80" w:type="dxa"/>
              <w:bottom w:w="60" w:type="dxa"/>
              <w:right w:w="80" w:type="dxa"/>
            </w:tcMar>
            <w:vAlign w:val="center"/>
          </w:tcPr>
          <w:p w14:paraId="1A056A2C">
            <w:pPr>
              <w:spacing w:before="0" w:after="0" w:line="240" w:lineRule="auto"/>
              <w:jc w:val="center"/>
              <w:rPr>
                <w:rFonts w:hint="default" w:ascii="Times New Roman" w:hAnsi="Times New Roman" w:cs="Times New Roman"/>
                <w:color w:val="auto"/>
                <w:sz w:val="21"/>
                <w:szCs w:val="21"/>
              </w:rPr>
            </w:pPr>
          </w:p>
        </w:tc>
        <w:tc>
          <w:tcPr>
            <w:tcW w:w="1329" w:type="dxa"/>
            <w:shd w:val="clear" w:color="auto" w:fill="auto"/>
            <w:tcMar>
              <w:top w:w="60" w:type="dxa"/>
              <w:left w:w="80" w:type="dxa"/>
              <w:bottom w:w="60" w:type="dxa"/>
              <w:right w:w="80" w:type="dxa"/>
            </w:tcMar>
            <w:vAlign w:val="center"/>
          </w:tcPr>
          <w:p w14:paraId="2E8E4D4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&lt;0.001</w:t>
            </w:r>
          </w:p>
        </w:tc>
        <w:tc>
          <w:tcPr>
            <w:tcW w:w="2299" w:type="dxa"/>
            <w:shd w:val="clear" w:color="auto" w:fill="auto"/>
            <w:tcMar>
              <w:top w:w="60" w:type="dxa"/>
              <w:left w:w="80" w:type="dxa"/>
              <w:bottom w:w="60" w:type="dxa"/>
              <w:right w:w="80" w:type="dxa"/>
            </w:tcMar>
            <w:vAlign w:val="center"/>
          </w:tcPr>
          <w:p w14:paraId="08FECF0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Screening only; interpret with caution in large samples</w:t>
            </w:r>
          </w:p>
        </w:tc>
      </w:tr>
      <w:tr w14:paraId="29460FB5">
        <w:trPr>
          <w:jc w:val="center"/>
        </w:trPr>
        <w:tc>
          <w:tcPr>
            <w:tcW w:w="1704" w:type="dxa"/>
            <w:shd w:val="clear" w:color="auto" w:fill="auto"/>
            <w:tcMar>
              <w:top w:w="60" w:type="dxa"/>
              <w:left w:w="80" w:type="dxa"/>
              <w:bottom w:w="60" w:type="dxa"/>
              <w:right w:w="80" w:type="dxa"/>
            </w:tcMar>
            <w:vAlign w:val="center"/>
          </w:tcPr>
          <w:p w14:paraId="58E0E02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Sensitivity model</w:t>
            </w:r>
          </w:p>
        </w:tc>
        <w:tc>
          <w:tcPr>
            <w:tcW w:w="1668" w:type="dxa"/>
            <w:shd w:val="clear" w:color="auto" w:fill="auto"/>
            <w:tcMar>
              <w:top w:w="60" w:type="dxa"/>
              <w:left w:w="80" w:type="dxa"/>
              <w:bottom w:w="60" w:type="dxa"/>
              <w:right w:w="80" w:type="dxa"/>
            </w:tcMar>
            <w:vAlign w:val="center"/>
          </w:tcPr>
          <w:p w14:paraId="51CE2A3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Serum IGF-1</w:t>
            </w:r>
          </w:p>
        </w:tc>
        <w:tc>
          <w:tcPr>
            <w:tcW w:w="1466" w:type="dxa"/>
            <w:shd w:val="clear" w:color="auto" w:fill="auto"/>
            <w:tcMar>
              <w:top w:w="60" w:type="dxa"/>
              <w:left w:w="80" w:type="dxa"/>
              <w:bottom w:w="60" w:type="dxa"/>
              <w:right w:w="80" w:type="dxa"/>
            </w:tcMar>
            <w:vAlign w:val="center"/>
          </w:tcPr>
          <w:p w14:paraId="55398C8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-0.000</w:t>
            </w:r>
          </w:p>
        </w:tc>
        <w:tc>
          <w:tcPr>
            <w:tcW w:w="1329" w:type="dxa"/>
            <w:shd w:val="clear" w:color="auto" w:fill="auto"/>
            <w:tcMar>
              <w:top w:w="60" w:type="dxa"/>
              <w:left w:w="80" w:type="dxa"/>
              <w:bottom w:w="60" w:type="dxa"/>
              <w:right w:w="80" w:type="dxa"/>
            </w:tcMar>
            <w:vAlign w:val="center"/>
          </w:tcPr>
          <w:p w14:paraId="26706A5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0.989</w:t>
            </w:r>
          </w:p>
        </w:tc>
        <w:tc>
          <w:tcPr>
            <w:tcW w:w="2299" w:type="dxa"/>
            <w:shd w:val="clear" w:color="auto" w:fill="auto"/>
            <w:tcMar>
              <w:top w:w="60" w:type="dxa"/>
              <w:left w:w="80" w:type="dxa"/>
              <w:bottom w:w="60" w:type="dxa"/>
              <w:right w:w="80" w:type="dxa"/>
            </w:tcMar>
            <w:vAlign w:val="center"/>
          </w:tcPr>
          <w:p w14:paraId="2EF5C13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No evidence of PH violation</w:t>
            </w:r>
          </w:p>
        </w:tc>
      </w:tr>
    </w:tbl>
    <w:p w14:paraId="157A70AC">
      <w:pPr>
        <w:rPr>
          <w:rFonts w:hint="default" w:ascii="Times New Roman" w:hAnsi="Times New Roman" w:cs="Times New Roman"/>
          <w:sz w:val="21"/>
          <w:szCs w:val="21"/>
        </w:rPr>
      </w:pPr>
      <w:r>
        <w:rPr>
          <w:rFonts w:hint="default" w:ascii="Times New Roman" w:hAnsi="Times New Roman" w:cs="Times New Roman"/>
          <w:sz w:val="21"/>
          <w:szCs w:val="21"/>
        </w:rPr>
        <w:t xml:space="preserve">PH screening was assessed using correlations between Schoenfeld residuals and log-transformed event time within the fitted Cox models. Because formal proportional hazards screening can be highly sensitive in very large samples, both the </w:t>
      </w:r>
      <w:r>
        <w:rPr>
          <w:rFonts w:hint="default" w:ascii="Times New Roman Italic" w:hAnsi="Times New Roman Italic" w:cs="Times New Roman Italic"/>
          <w:i/>
          <w:iCs/>
          <w:sz w:val="21"/>
          <w:szCs w:val="21"/>
        </w:rPr>
        <w:t>P</w:t>
      </w:r>
      <w:r>
        <w:rPr>
          <w:rFonts w:hint="default" w:ascii="Times New Roman" w:hAnsi="Times New Roman" w:cs="Times New Roman"/>
          <w:sz w:val="21"/>
          <w:szCs w:val="21"/>
        </w:rPr>
        <w:t xml:space="preserve"> value and the magnitude of rho should be interpreted.</w:t>
      </w:r>
    </w:p>
    <w:p w14:paraId="0D6B0342">
      <w:pPr>
        <w:rPr>
          <w:rFonts w:hint="default" w:ascii="Times New Roman" w:hAnsi="Times New Roman" w:cs="Times New Roman"/>
          <w:sz w:val="21"/>
          <w:szCs w:val="21"/>
        </w:rPr>
      </w:pPr>
    </w:p>
    <w:p w14:paraId="4A2E51D5">
      <w:pPr>
        <w:jc w:val="center"/>
        <w:rPr>
          <w:rFonts w:hint="default" w:ascii="Times New Roman" w:hAnsi="Times New Roman" w:cs="Times New Roman"/>
          <w:sz w:val="21"/>
          <w:szCs w:val="21"/>
        </w:rPr>
      </w:pPr>
      <w:r>
        <w:rPr>
          <w:rFonts w:hint="default" w:ascii="Times New Roman" w:hAnsi="Times New Roman" w:cs="Times New Roman"/>
          <w:b/>
          <w:sz w:val="21"/>
          <w:szCs w:val="21"/>
        </w:rPr>
        <w:t xml:space="preserve">Panel </w:t>
      </w:r>
      <w:r>
        <w:rPr>
          <w:rFonts w:hint="default" w:ascii="Times New Roman" w:hAnsi="Times New Roman" w:cs="Times New Roman"/>
          <w:b/>
          <w:sz w:val="21"/>
          <w:szCs w:val="21"/>
          <w:lang w:val="en-US"/>
        </w:rPr>
        <w:t>b</w:t>
      </w:r>
      <w:r>
        <w:rPr>
          <w:rFonts w:hint="default" w:ascii="Times New Roman" w:hAnsi="Times New Roman" w:cs="Times New Roman"/>
          <w:b/>
          <w:sz w:val="21"/>
          <w:szCs w:val="21"/>
        </w:rPr>
        <w:t>. Missingness of variables used in the Cox models</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68"/>
        <w:gridCol w:w="1872"/>
        <w:gridCol w:w="1440"/>
      </w:tblGrid>
      <w:tr w14:paraId="2B115DD2">
        <w:trPr>
          <w:tblHeader/>
          <w:jc w:val="center"/>
        </w:trPr>
        <w:tc>
          <w:tcPr>
            <w:tcW w:w="3168" w:type="dxa"/>
            <w:tcBorders>
              <w:bottom w:val="single" w:color="auto" w:sz="4" w:space="0"/>
            </w:tcBorders>
            <w:shd w:val="clear" w:color="auto" w:fill="auto"/>
            <w:tcMar>
              <w:top w:w="60" w:type="dxa"/>
              <w:left w:w="80" w:type="dxa"/>
              <w:bottom w:w="60" w:type="dxa"/>
              <w:right w:w="80" w:type="dxa"/>
            </w:tcMar>
            <w:vAlign w:val="center"/>
          </w:tcPr>
          <w:p w14:paraId="2195AC2A">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Variable</w:t>
            </w:r>
          </w:p>
        </w:tc>
        <w:tc>
          <w:tcPr>
            <w:tcW w:w="1872" w:type="dxa"/>
            <w:tcBorders>
              <w:bottom w:val="single" w:color="auto" w:sz="4" w:space="0"/>
            </w:tcBorders>
            <w:shd w:val="clear" w:color="auto" w:fill="auto"/>
            <w:tcMar>
              <w:top w:w="60" w:type="dxa"/>
              <w:left w:w="80" w:type="dxa"/>
              <w:bottom w:w="60" w:type="dxa"/>
              <w:right w:w="80" w:type="dxa"/>
            </w:tcMar>
            <w:vAlign w:val="center"/>
          </w:tcPr>
          <w:p w14:paraId="644717B9">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Missing n</w:t>
            </w:r>
          </w:p>
        </w:tc>
        <w:tc>
          <w:tcPr>
            <w:tcW w:w="1440" w:type="dxa"/>
            <w:tcBorders>
              <w:bottom w:val="single" w:color="auto" w:sz="4" w:space="0"/>
            </w:tcBorders>
            <w:shd w:val="clear" w:color="auto" w:fill="auto"/>
            <w:tcMar>
              <w:top w:w="60" w:type="dxa"/>
              <w:left w:w="80" w:type="dxa"/>
              <w:bottom w:w="60" w:type="dxa"/>
              <w:right w:w="80" w:type="dxa"/>
            </w:tcMar>
            <w:vAlign w:val="center"/>
          </w:tcPr>
          <w:p w14:paraId="327F7370">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Missing %</w:t>
            </w:r>
          </w:p>
        </w:tc>
      </w:tr>
      <w:tr w14:paraId="048D5E4B">
        <w:trPr>
          <w:jc w:val="center"/>
        </w:trPr>
        <w:tc>
          <w:tcPr>
            <w:tcW w:w="3168" w:type="dxa"/>
            <w:tcBorders>
              <w:top w:val="single" w:color="auto" w:sz="4" w:space="0"/>
            </w:tcBorders>
            <w:shd w:val="clear" w:color="auto" w:fill="auto"/>
            <w:tcMar>
              <w:top w:w="60" w:type="dxa"/>
              <w:left w:w="80" w:type="dxa"/>
              <w:bottom w:w="60" w:type="dxa"/>
              <w:right w:w="80" w:type="dxa"/>
            </w:tcMar>
            <w:vAlign w:val="center"/>
          </w:tcPr>
          <w:p w14:paraId="365AADB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Serum IGF-1</w:t>
            </w:r>
          </w:p>
        </w:tc>
        <w:tc>
          <w:tcPr>
            <w:tcW w:w="1872" w:type="dxa"/>
            <w:tcBorders>
              <w:top w:val="single" w:color="auto" w:sz="4" w:space="0"/>
            </w:tcBorders>
            <w:shd w:val="clear" w:color="auto" w:fill="auto"/>
            <w:tcMar>
              <w:top w:w="60" w:type="dxa"/>
              <w:left w:w="80" w:type="dxa"/>
              <w:bottom w:w="60" w:type="dxa"/>
              <w:right w:w="80" w:type="dxa"/>
            </w:tcMar>
            <w:vAlign w:val="center"/>
          </w:tcPr>
          <w:p w14:paraId="06B6F76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p>
        </w:tc>
        <w:tc>
          <w:tcPr>
            <w:tcW w:w="1440" w:type="dxa"/>
            <w:tcBorders>
              <w:top w:val="single" w:color="auto" w:sz="4" w:space="0"/>
            </w:tcBorders>
            <w:shd w:val="clear" w:color="auto" w:fill="auto"/>
            <w:tcMar>
              <w:top w:w="60" w:type="dxa"/>
              <w:left w:w="80" w:type="dxa"/>
              <w:bottom w:w="60" w:type="dxa"/>
              <w:right w:w="80" w:type="dxa"/>
            </w:tcMar>
            <w:vAlign w:val="center"/>
          </w:tcPr>
          <w:p w14:paraId="7058FED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w:t>
            </w:r>
          </w:p>
        </w:tc>
      </w:tr>
      <w:tr w14:paraId="2BA65604">
        <w:trPr>
          <w:jc w:val="center"/>
        </w:trPr>
        <w:tc>
          <w:tcPr>
            <w:tcW w:w="3168" w:type="dxa"/>
            <w:shd w:val="clear" w:color="auto" w:fill="auto"/>
            <w:tcMar>
              <w:top w:w="60" w:type="dxa"/>
              <w:left w:w="80" w:type="dxa"/>
              <w:bottom w:w="60" w:type="dxa"/>
              <w:right w:w="80" w:type="dxa"/>
            </w:tcMar>
            <w:vAlign w:val="center"/>
          </w:tcPr>
          <w:p w14:paraId="27077A0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Age</w:t>
            </w:r>
          </w:p>
        </w:tc>
        <w:tc>
          <w:tcPr>
            <w:tcW w:w="1872" w:type="dxa"/>
            <w:shd w:val="clear" w:color="auto" w:fill="auto"/>
            <w:tcMar>
              <w:top w:w="60" w:type="dxa"/>
              <w:left w:w="80" w:type="dxa"/>
              <w:bottom w:w="60" w:type="dxa"/>
              <w:right w:w="80" w:type="dxa"/>
            </w:tcMar>
            <w:vAlign w:val="center"/>
          </w:tcPr>
          <w:p w14:paraId="29BDA12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p>
        </w:tc>
        <w:tc>
          <w:tcPr>
            <w:tcW w:w="1440" w:type="dxa"/>
            <w:shd w:val="clear" w:color="auto" w:fill="auto"/>
            <w:tcMar>
              <w:top w:w="60" w:type="dxa"/>
              <w:left w:w="80" w:type="dxa"/>
              <w:bottom w:w="60" w:type="dxa"/>
              <w:right w:w="80" w:type="dxa"/>
            </w:tcMar>
            <w:vAlign w:val="center"/>
          </w:tcPr>
          <w:p w14:paraId="1106BC1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w:t>
            </w:r>
          </w:p>
        </w:tc>
      </w:tr>
      <w:tr w14:paraId="59649F34">
        <w:trPr>
          <w:jc w:val="center"/>
        </w:trPr>
        <w:tc>
          <w:tcPr>
            <w:tcW w:w="3168" w:type="dxa"/>
            <w:shd w:val="clear" w:color="auto" w:fill="auto"/>
            <w:tcMar>
              <w:top w:w="60" w:type="dxa"/>
              <w:left w:w="80" w:type="dxa"/>
              <w:bottom w:w="60" w:type="dxa"/>
              <w:right w:w="80" w:type="dxa"/>
            </w:tcMar>
            <w:vAlign w:val="center"/>
          </w:tcPr>
          <w:p w14:paraId="2EBA1C71">
            <w:pPr>
              <w:spacing w:before="0" w:after="0" w:line="240" w:lineRule="auto"/>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Sex</w:t>
            </w:r>
          </w:p>
        </w:tc>
        <w:tc>
          <w:tcPr>
            <w:tcW w:w="1872" w:type="dxa"/>
            <w:shd w:val="clear" w:color="auto" w:fill="auto"/>
            <w:tcMar>
              <w:top w:w="60" w:type="dxa"/>
              <w:left w:w="80" w:type="dxa"/>
              <w:bottom w:w="60" w:type="dxa"/>
              <w:right w:w="80" w:type="dxa"/>
            </w:tcMar>
            <w:vAlign w:val="center"/>
          </w:tcPr>
          <w:p w14:paraId="7212098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p>
        </w:tc>
        <w:tc>
          <w:tcPr>
            <w:tcW w:w="1440" w:type="dxa"/>
            <w:shd w:val="clear" w:color="auto" w:fill="auto"/>
            <w:tcMar>
              <w:top w:w="60" w:type="dxa"/>
              <w:left w:w="80" w:type="dxa"/>
              <w:bottom w:w="60" w:type="dxa"/>
              <w:right w:w="80" w:type="dxa"/>
            </w:tcMar>
            <w:vAlign w:val="center"/>
          </w:tcPr>
          <w:p w14:paraId="1450725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0.00</w:t>
            </w:r>
          </w:p>
        </w:tc>
      </w:tr>
      <w:tr w14:paraId="79E8F1A7">
        <w:trPr>
          <w:jc w:val="center"/>
        </w:trPr>
        <w:tc>
          <w:tcPr>
            <w:tcW w:w="3168" w:type="dxa"/>
            <w:shd w:val="clear" w:color="auto" w:fill="auto"/>
            <w:tcMar>
              <w:top w:w="60" w:type="dxa"/>
              <w:left w:w="80" w:type="dxa"/>
              <w:bottom w:w="60" w:type="dxa"/>
              <w:right w:w="80" w:type="dxa"/>
            </w:tcMar>
            <w:vAlign w:val="center"/>
          </w:tcPr>
          <w:p w14:paraId="7CD5659A">
            <w:pPr>
              <w:spacing w:before="0" w:after="0" w:line="240" w:lineRule="auto"/>
              <w:jc w:val="center"/>
              <w:rPr>
                <w:rFonts w:hint="eastAsia" w:ascii="Times New Roman" w:hAnsi="Times New Roman" w:cs="Times New Roman" w:eastAsiaTheme="minorEastAsia"/>
                <w:color w:val="auto"/>
                <w:sz w:val="21"/>
                <w:szCs w:val="21"/>
                <w:lang w:eastAsia="zh-CN"/>
              </w:rPr>
            </w:pPr>
            <w:r>
              <w:rPr>
                <w:rFonts w:hint="eastAsia" w:ascii="Times New Roman" w:hAnsi="Times New Roman" w:cs="Times New Roman"/>
                <w:color w:val="auto"/>
                <w:sz w:val="21"/>
                <w:szCs w:val="21"/>
                <w:lang w:eastAsia="zh-CN"/>
              </w:rPr>
              <w:t>ethnicity</w:t>
            </w:r>
          </w:p>
        </w:tc>
        <w:tc>
          <w:tcPr>
            <w:tcW w:w="1872" w:type="dxa"/>
            <w:shd w:val="clear" w:color="auto" w:fill="auto"/>
            <w:tcMar>
              <w:top w:w="60" w:type="dxa"/>
              <w:left w:w="80" w:type="dxa"/>
              <w:bottom w:w="60" w:type="dxa"/>
              <w:right w:w="80" w:type="dxa"/>
            </w:tcMar>
            <w:vAlign w:val="center"/>
          </w:tcPr>
          <w:p w14:paraId="1AF631B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34,823</w:t>
            </w:r>
          </w:p>
        </w:tc>
        <w:tc>
          <w:tcPr>
            <w:tcW w:w="1440" w:type="dxa"/>
            <w:shd w:val="clear" w:color="auto" w:fill="auto"/>
            <w:tcMar>
              <w:top w:w="60" w:type="dxa"/>
              <w:left w:w="80" w:type="dxa"/>
              <w:bottom w:w="60" w:type="dxa"/>
              <w:right w:w="80" w:type="dxa"/>
            </w:tcMar>
            <w:vAlign w:val="center"/>
          </w:tcPr>
          <w:p w14:paraId="2B5F292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7.49</w:t>
            </w:r>
          </w:p>
        </w:tc>
      </w:tr>
      <w:tr w14:paraId="2F47AC26">
        <w:trPr>
          <w:jc w:val="center"/>
        </w:trPr>
        <w:tc>
          <w:tcPr>
            <w:tcW w:w="3168" w:type="dxa"/>
            <w:shd w:val="clear" w:color="auto" w:fill="auto"/>
            <w:tcMar>
              <w:top w:w="60" w:type="dxa"/>
              <w:left w:w="80" w:type="dxa"/>
              <w:bottom w:w="60" w:type="dxa"/>
              <w:right w:w="80" w:type="dxa"/>
            </w:tcMar>
            <w:vAlign w:val="center"/>
          </w:tcPr>
          <w:p w14:paraId="4C8E705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Education</w:t>
            </w:r>
          </w:p>
        </w:tc>
        <w:tc>
          <w:tcPr>
            <w:tcW w:w="1872" w:type="dxa"/>
            <w:shd w:val="clear" w:color="auto" w:fill="auto"/>
            <w:tcMar>
              <w:top w:w="60" w:type="dxa"/>
              <w:left w:w="80" w:type="dxa"/>
              <w:bottom w:w="60" w:type="dxa"/>
              <w:right w:w="80" w:type="dxa"/>
            </w:tcMar>
            <w:vAlign w:val="center"/>
          </w:tcPr>
          <w:p w14:paraId="2E1A873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84,475</w:t>
            </w:r>
          </w:p>
        </w:tc>
        <w:tc>
          <w:tcPr>
            <w:tcW w:w="1440" w:type="dxa"/>
            <w:shd w:val="clear" w:color="auto" w:fill="auto"/>
            <w:tcMar>
              <w:top w:w="60" w:type="dxa"/>
              <w:left w:w="80" w:type="dxa"/>
              <w:bottom w:w="60" w:type="dxa"/>
              <w:right w:w="80" w:type="dxa"/>
            </w:tcMar>
            <w:vAlign w:val="center"/>
          </w:tcPr>
          <w:p w14:paraId="43A6C2A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18.18</w:t>
            </w:r>
          </w:p>
        </w:tc>
      </w:tr>
      <w:tr w14:paraId="6E90296A">
        <w:trPr>
          <w:jc w:val="center"/>
        </w:trPr>
        <w:tc>
          <w:tcPr>
            <w:tcW w:w="3168" w:type="dxa"/>
            <w:shd w:val="clear" w:color="auto" w:fill="auto"/>
            <w:tcMar>
              <w:top w:w="60" w:type="dxa"/>
              <w:left w:w="80" w:type="dxa"/>
              <w:bottom w:w="60" w:type="dxa"/>
              <w:right w:w="80" w:type="dxa"/>
            </w:tcMar>
            <w:vAlign w:val="center"/>
          </w:tcPr>
          <w:p w14:paraId="6FE5D62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Deprivation</w:t>
            </w:r>
          </w:p>
        </w:tc>
        <w:tc>
          <w:tcPr>
            <w:tcW w:w="1872" w:type="dxa"/>
            <w:shd w:val="clear" w:color="auto" w:fill="auto"/>
            <w:tcMar>
              <w:top w:w="60" w:type="dxa"/>
              <w:left w:w="80" w:type="dxa"/>
              <w:bottom w:w="60" w:type="dxa"/>
              <w:right w:w="80" w:type="dxa"/>
            </w:tcMar>
            <w:vAlign w:val="center"/>
          </w:tcPr>
          <w:p w14:paraId="1E5E1B7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65,909</w:t>
            </w:r>
          </w:p>
        </w:tc>
        <w:tc>
          <w:tcPr>
            <w:tcW w:w="1440" w:type="dxa"/>
            <w:shd w:val="clear" w:color="auto" w:fill="auto"/>
            <w:tcMar>
              <w:top w:w="60" w:type="dxa"/>
              <w:left w:w="80" w:type="dxa"/>
              <w:bottom w:w="60" w:type="dxa"/>
              <w:right w:w="80" w:type="dxa"/>
            </w:tcMar>
            <w:vAlign w:val="center"/>
          </w:tcPr>
          <w:p w14:paraId="1D0B20D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14.19</w:t>
            </w:r>
          </w:p>
        </w:tc>
      </w:tr>
      <w:tr w14:paraId="55F8B076">
        <w:trPr>
          <w:jc w:val="center"/>
        </w:trPr>
        <w:tc>
          <w:tcPr>
            <w:tcW w:w="3168" w:type="dxa"/>
            <w:shd w:val="clear" w:color="auto" w:fill="auto"/>
            <w:tcMar>
              <w:top w:w="60" w:type="dxa"/>
              <w:left w:w="80" w:type="dxa"/>
              <w:bottom w:w="60" w:type="dxa"/>
              <w:right w:w="80" w:type="dxa"/>
            </w:tcMar>
            <w:vAlign w:val="center"/>
          </w:tcPr>
          <w:p w14:paraId="0CAA954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BMI</w:t>
            </w:r>
          </w:p>
        </w:tc>
        <w:tc>
          <w:tcPr>
            <w:tcW w:w="1872" w:type="dxa"/>
            <w:shd w:val="clear" w:color="auto" w:fill="auto"/>
            <w:tcMar>
              <w:top w:w="60" w:type="dxa"/>
              <w:left w:w="80" w:type="dxa"/>
              <w:bottom w:w="60" w:type="dxa"/>
              <w:right w:w="80" w:type="dxa"/>
            </w:tcMar>
            <w:vAlign w:val="center"/>
          </w:tcPr>
          <w:p w14:paraId="097808D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1,823</w:t>
            </w:r>
          </w:p>
        </w:tc>
        <w:tc>
          <w:tcPr>
            <w:tcW w:w="1440" w:type="dxa"/>
            <w:shd w:val="clear" w:color="auto" w:fill="auto"/>
            <w:tcMar>
              <w:top w:w="60" w:type="dxa"/>
              <w:left w:w="80" w:type="dxa"/>
              <w:bottom w:w="60" w:type="dxa"/>
              <w:right w:w="80" w:type="dxa"/>
            </w:tcMar>
            <w:vAlign w:val="center"/>
          </w:tcPr>
          <w:p w14:paraId="15654E5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0.39</w:t>
            </w:r>
          </w:p>
        </w:tc>
      </w:tr>
      <w:tr w14:paraId="24A4FDD6">
        <w:trPr>
          <w:jc w:val="center"/>
        </w:trPr>
        <w:tc>
          <w:tcPr>
            <w:tcW w:w="3168" w:type="dxa"/>
            <w:shd w:val="clear" w:color="auto" w:fill="auto"/>
            <w:tcMar>
              <w:top w:w="60" w:type="dxa"/>
              <w:left w:w="80" w:type="dxa"/>
              <w:bottom w:w="60" w:type="dxa"/>
              <w:right w:w="80" w:type="dxa"/>
            </w:tcMar>
            <w:vAlign w:val="center"/>
          </w:tcPr>
          <w:p w14:paraId="386F4B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Smoking</w:t>
            </w:r>
          </w:p>
        </w:tc>
        <w:tc>
          <w:tcPr>
            <w:tcW w:w="1872" w:type="dxa"/>
            <w:shd w:val="clear" w:color="auto" w:fill="auto"/>
            <w:tcMar>
              <w:top w:w="60" w:type="dxa"/>
              <w:left w:w="80" w:type="dxa"/>
              <w:bottom w:w="60" w:type="dxa"/>
              <w:right w:w="80" w:type="dxa"/>
            </w:tcMar>
            <w:vAlign w:val="center"/>
          </w:tcPr>
          <w:p w14:paraId="1DE1465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854</w:t>
            </w:r>
          </w:p>
        </w:tc>
        <w:tc>
          <w:tcPr>
            <w:tcW w:w="1440" w:type="dxa"/>
            <w:shd w:val="clear" w:color="auto" w:fill="auto"/>
            <w:tcMar>
              <w:top w:w="60" w:type="dxa"/>
              <w:left w:w="80" w:type="dxa"/>
              <w:bottom w:w="60" w:type="dxa"/>
              <w:right w:w="80" w:type="dxa"/>
            </w:tcMar>
            <w:vAlign w:val="center"/>
          </w:tcPr>
          <w:p w14:paraId="3E38ACE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0.18</w:t>
            </w:r>
          </w:p>
        </w:tc>
      </w:tr>
      <w:tr w14:paraId="53EBFDDA">
        <w:trPr>
          <w:jc w:val="center"/>
        </w:trPr>
        <w:tc>
          <w:tcPr>
            <w:tcW w:w="3168" w:type="dxa"/>
            <w:shd w:val="clear" w:color="auto" w:fill="auto"/>
            <w:tcMar>
              <w:top w:w="60" w:type="dxa"/>
              <w:left w:w="80" w:type="dxa"/>
              <w:bottom w:w="60" w:type="dxa"/>
              <w:right w:w="80" w:type="dxa"/>
            </w:tcMar>
            <w:vAlign w:val="center"/>
          </w:tcPr>
          <w:p w14:paraId="681D9C0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Alcohol use</w:t>
            </w:r>
          </w:p>
        </w:tc>
        <w:tc>
          <w:tcPr>
            <w:tcW w:w="1872" w:type="dxa"/>
            <w:shd w:val="clear" w:color="auto" w:fill="auto"/>
            <w:tcMar>
              <w:top w:w="60" w:type="dxa"/>
              <w:left w:w="80" w:type="dxa"/>
              <w:bottom w:w="60" w:type="dxa"/>
              <w:right w:w="80" w:type="dxa"/>
            </w:tcMar>
            <w:vAlign w:val="center"/>
          </w:tcPr>
          <w:p w14:paraId="5CAFB54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1,012</w:t>
            </w:r>
          </w:p>
        </w:tc>
        <w:tc>
          <w:tcPr>
            <w:tcW w:w="1440" w:type="dxa"/>
            <w:shd w:val="clear" w:color="auto" w:fill="auto"/>
            <w:tcMar>
              <w:top w:w="60" w:type="dxa"/>
              <w:left w:w="80" w:type="dxa"/>
              <w:bottom w:w="60" w:type="dxa"/>
              <w:right w:w="80" w:type="dxa"/>
            </w:tcMar>
            <w:vAlign w:val="center"/>
          </w:tcPr>
          <w:p w14:paraId="6DDC0E7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0.22</w:t>
            </w:r>
          </w:p>
        </w:tc>
      </w:tr>
      <w:tr w14:paraId="15037E3B">
        <w:trPr>
          <w:jc w:val="center"/>
        </w:trPr>
        <w:tc>
          <w:tcPr>
            <w:tcW w:w="3168" w:type="dxa"/>
            <w:shd w:val="clear" w:color="auto" w:fill="auto"/>
            <w:tcMar>
              <w:top w:w="60" w:type="dxa"/>
              <w:left w:w="80" w:type="dxa"/>
              <w:bottom w:w="60" w:type="dxa"/>
              <w:right w:w="80" w:type="dxa"/>
            </w:tcMar>
            <w:vAlign w:val="center"/>
          </w:tcPr>
          <w:p w14:paraId="2F4FAFF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Sleep hours/day</w:t>
            </w:r>
          </w:p>
        </w:tc>
        <w:tc>
          <w:tcPr>
            <w:tcW w:w="1872" w:type="dxa"/>
            <w:shd w:val="clear" w:color="auto" w:fill="auto"/>
            <w:tcMar>
              <w:top w:w="60" w:type="dxa"/>
              <w:left w:w="80" w:type="dxa"/>
              <w:bottom w:w="60" w:type="dxa"/>
              <w:right w:w="80" w:type="dxa"/>
            </w:tcMar>
            <w:vAlign w:val="center"/>
          </w:tcPr>
          <w:p w14:paraId="4212EF6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3,468</w:t>
            </w:r>
          </w:p>
        </w:tc>
        <w:tc>
          <w:tcPr>
            <w:tcW w:w="1440" w:type="dxa"/>
            <w:shd w:val="clear" w:color="auto" w:fill="auto"/>
            <w:tcMar>
              <w:top w:w="60" w:type="dxa"/>
              <w:left w:w="80" w:type="dxa"/>
              <w:bottom w:w="60" w:type="dxa"/>
              <w:right w:w="80" w:type="dxa"/>
            </w:tcMar>
            <w:vAlign w:val="center"/>
          </w:tcPr>
          <w:p w14:paraId="6BE62FC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0.75</w:t>
            </w:r>
          </w:p>
        </w:tc>
      </w:tr>
      <w:tr w14:paraId="5A93D932">
        <w:trPr>
          <w:jc w:val="center"/>
        </w:trPr>
        <w:tc>
          <w:tcPr>
            <w:tcW w:w="3168" w:type="dxa"/>
            <w:shd w:val="clear" w:color="auto" w:fill="auto"/>
            <w:tcMar>
              <w:top w:w="60" w:type="dxa"/>
              <w:left w:w="80" w:type="dxa"/>
              <w:bottom w:w="60" w:type="dxa"/>
              <w:right w:w="80" w:type="dxa"/>
            </w:tcMar>
            <w:vAlign w:val="center"/>
          </w:tcPr>
          <w:p w14:paraId="17921DB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Physical activity</w:t>
            </w:r>
          </w:p>
        </w:tc>
        <w:tc>
          <w:tcPr>
            <w:tcW w:w="1872" w:type="dxa"/>
            <w:shd w:val="clear" w:color="auto" w:fill="auto"/>
            <w:tcMar>
              <w:top w:w="60" w:type="dxa"/>
              <w:left w:w="80" w:type="dxa"/>
              <w:bottom w:w="60" w:type="dxa"/>
              <w:right w:w="80" w:type="dxa"/>
            </w:tcMar>
            <w:vAlign w:val="center"/>
          </w:tcPr>
          <w:p w14:paraId="7924D1B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89,113</w:t>
            </w:r>
          </w:p>
        </w:tc>
        <w:tc>
          <w:tcPr>
            <w:tcW w:w="1440" w:type="dxa"/>
            <w:shd w:val="clear" w:color="auto" w:fill="auto"/>
            <w:tcMar>
              <w:top w:w="60" w:type="dxa"/>
              <w:left w:w="80" w:type="dxa"/>
              <w:bottom w:w="60" w:type="dxa"/>
              <w:right w:w="80" w:type="dxa"/>
            </w:tcMar>
            <w:vAlign w:val="center"/>
          </w:tcPr>
          <w:p w14:paraId="530DE49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19.18</w:t>
            </w:r>
          </w:p>
        </w:tc>
      </w:tr>
      <w:tr w14:paraId="6D0896A4">
        <w:trPr>
          <w:jc w:val="center"/>
        </w:trPr>
        <w:tc>
          <w:tcPr>
            <w:tcW w:w="3168" w:type="dxa"/>
            <w:shd w:val="clear" w:color="auto" w:fill="auto"/>
            <w:tcMar>
              <w:top w:w="60" w:type="dxa"/>
              <w:left w:w="80" w:type="dxa"/>
              <w:bottom w:w="60" w:type="dxa"/>
              <w:right w:w="80" w:type="dxa"/>
            </w:tcMar>
            <w:vAlign w:val="center"/>
          </w:tcPr>
          <w:p w14:paraId="5FAB5F8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Working hours</w:t>
            </w:r>
          </w:p>
        </w:tc>
        <w:tc>
          <w:tcPr>
            <w:tcW w:w="1872" w:type="dxa"/>
            <w:shd w:val="clear" w:color="auto" w:fill="auto"/>
            <w:tcMar>
              <w:top w:w="60" w:type="dxa"/>
              <w:left w:w="80" w:type="dxa"/>
              <w:bottom w:w="60" w:type="dxa"/>
              <w:right w:w="80" w:type="dxa"/>
            </w:tcMar>
            <w:vAlign w:val="center"/>
          </w:tcPr>
          <w:p w14:paraId="09EF714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201,972</w:t>
            </w:r>
          </w:p>
        </w:tc>
        <w:tc>
          <w:tcPr>
            <w:tcW w:w="1440" w:type="dxa"/>
            <w:shd w:val="clear" w:color="auto" w:fill="auto"/>
            <w:tcMar>
              <w:top w:w="60" w:type="dxa"/>
              <w:left w:w="80" w:type="dxa"/>
              <w:bottom w:w="60" w:type="dxa"/>
              <w:right w:w="80" w:type="dxa"/>
            </w:tcMar>
            <w:vAlign w:val="center"/>
          </w:tcPr>
          <w:p w14:paraId="68D983E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43.47</w:t>
            </w:r>
          </w:p>
        </w:tc>
      </w:tr>
      <w:tr w14:paraId="4B628F66">
        <w:trPr>
          <w:jc w:val="center"/>
        </w:trPr>
        <w:tc>
          <w:tcPr>
            <w:tcW w:w="3168" w:type="dxa"/>
            <w:shd w:val="clear" w:color="auto" w:fill="auto"/>
            <w:tcMar>
              <w:top w:w="60" w:type="dxa"/>
              <w:left w:w="80" w:type="dxa"/>
              <w:bottom w:w="60" w:type="dxa"/>
              <w:right w:w="80" w:type="dxa"/>
            </w:tcMar>
            <w:vAlign w:val="center"/>
          </w:tcPr>
          <w:p w14:paraId="1F86989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Loneliness</w:t>
            </w:r>
          </w:p>
        </w:tc>
        <w:tc>
          <w:tcPr>
            <w:tcW w:w="1872" w:type="dxa"/>
            <w:shd w:val="clear" w:color="auto" w:fill="auto"/>
            <w:tcMar>
              <w:top w:w="60" w:type="dxa"/>
              <w:left w:w="80" w:type="dxa"/>
              <w:bottom w:w="60" w:type="dxa"/>
              <w:right w:w="80" w:type="dxa"/>
            </w:tcMar>
            <w:vAlign w:val="center"/>
          </w:tcPr>
          <w:p w14:paraId="25B6273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8,662</w:t>
            </w:r>
          </w:p>
        </w:tc>
        <w:tc>
          <w:tcPr>
            <w:tcW w:w="1440" w:type="dxa"/>
            <w:shd w:val="clear" w:color="auto" w:fill="auto"/>
            <w:tcMar>
              <w:top w:w="60" w:type="dxa"/>
              <w:left w:w="80" w:type="dxa"/>
              <w:bottom w:w="60" w:type="dxa"/>
              <w:right w:w="80" w:type="dxa"/>
            </w:tcMar>
            <w:vAlign w:val="center"/>
          </w:tcPr>
          <w:p w14:paraId="7A36F10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1.86</w:t>
            </w:r>
          </w:p>
        </w:tc>
      </w:tr>
    </w:tbl>
    <w:p w14:paraId="211A0CCC">
      <w:pPr>
        <w:jc w:val="center"/>
        <w:rPr>
          <w:rFonts w:hint="default" w:ascii="Times New Roman" w:hAnsi="Times New Roman" w:cs="Times New Roman"/>
          <w:b/>
          <w:sz w:val="21"/>
          <w:szCs w:val="21"/>
        </w:rPr>
      </w:pPr>
    </w:p>
    <w:p w14:paraId="577DC1A9">
      <w:pPr>
        <w:jc w:val="center"/>
        <w:rPr>
          <w:rFonts w:hint="default" w:ascii="Times New Roman" w:hAnsi="Times New Roman" w:cs="Times New Roman"/>
          <w:b/>
          <w:sz w:val="21"/>
          <w:szCs w:val="21"/>
        </w:rPr>
      </w:pPr>
    </w:p>
    <w:p w14:paraId="45F6F94C">
      <w:pPr>
        <w:jc w:val="center"/>
        <w:rPr>
          <w:rFonts w:hint="default" w:ascii="Times New Roman" w:hAnsi="Times New Roman" w:cs="Times New Roman"/>
          <w:sz w:val="21"/>
          <w:szCs w:val="21"/>
        </w:rPr>
      </w:pPr>
      <w:r>
        <w:rPr>
          <w:rFonts w:hint="default" w:ascii="Times New Roman" w:hAnsi="Times New Roman" w:cs="Times New Roman"/>
          <w:b/>
          <w:sz w:val="21"/>
          <w:szCs w:val="21"/>
        </w:rPr>
        <w:t xml:space="preserve">Panel </w:t>
      </w:r>
      <w:r>
        <w:rPr>
          <w:rFonts w:hint="default" w:ascii="Times New Roman" w:hAnsi="Times New Roman" w:cs="Times New Roman"/>
          <w:b/>
          <w:sz w:val="21"/>
          <w:szCs w:val="21"/>
          <w:lang w:val="en-US"/>
        </w:rPr>
        <w:t>c</w:t>
      </w:r>
      <w:r>
        <w:rPr>
          <w:rFonts w:hint="default" w:ascii="Times New Roman" w:hAnsi="Times New Roman" w:cs="Times New Roman"/>
          <w:b/>
          <w:sz w:val="21"/>
          <w:szCs w:val="21"/>
        </w:rPr>
        <w:t>. Model notes and analytic samples</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4"/>
        <w:gridCol w:w="2245"/>
        <w:gridCol w:w="1081"/>
        <w:gridCol w:w="884"/>
        <w:gridCol w:w="1558"/>
        <w:gridCol w:w="1444"/>
      </w:tblGrid>
      <w:tr w14:paraId="7CBF9042">
        <w:trPr>
          <w:tblHeader/>
          <w:jc w:val="center"/>
        </w:trPr>
        <w:tc>
          <w:tcPr>
            <w:tcW w:w="1944" w:type="dxa"/>
            <w:tcBorders>
              <w:bottom w:val="single" w:color="auto" w:sz="4" w:space="0"/>
            </w:tcBorders>
            <w:shd w:val="clear" w:color="auto" w:fill="auto"/>
            <w:tcMar>
              <w:top w:w="60" w:type="dxa"/>
              <w:left w:w="80" w:type="dxa"/>
              <w:bottom w:w="60" w:type="dxa"/>
              <w:right w:w="80" w:type="dxa"/>
            </w:tcMar>
            <w:vAlign w:val="center"/>
          </w:tcPr>
          <w:p w14:paraId="6FA446FE">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Model</w:t>
            </w:r>
          </w:p>
        </w:tc>
        <w:tc>
          <w:tcPr>
            <w:tcW w:w="6048" w:type="dxa"/>
            <w:tcBorders>
              <w:bottom w:val="single" w:color="auto" w:sz="4" w:space="0"/>
            </w:tcBorders>
            <w:shd w:val="clear" w:color="auto" w:fill="auto"/>
            <w:tcMar>
              <w:top w:w="60" w:type="dxa"/>
              <w:left w:w="80" w:type="dxa"/>
              <w:bottom w:w="60" w:type="dxa"/>
              <w:right w:w="80" w:type="dxa"/>
            </w:tcMar>
            <w:vAlign w:val="center"/>
          </w:tcPr>
          <w:p w14:paraId="5ACF0F07">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Covariates</w:t>
            </w:r>
          </w:p>
        </w:tc>
        <w:tc>
          <w:tcPr>
            <w:tcW w:w="1656" w:type="dxa"/>
            <w:tcBorders>
              <w:bottom w:val="single" w:color="auto" w:sz="4" w:space="0"/>
            </w:tcBorders>
            <w:shd w:val="clear" w:color="auto" w:fill="auto"/>
            <w:tcMar>
              <w:top w:w="60" w:type="dxa"/>
              <w:left w:w="80" w:type="dxa"/>
              <w:bottom w:w="60" w:type="dxa"/>
              <w:right w:w="80" w:type="dxa"/>
            </w:tcMar>
            <w:vAlign w:val="center"/>
          </w:tcPr>
          <w:p w14:paraId="7FCC17AB">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Analytic sample (n)</w:t>
            </w:r>
          </w:p>
        </w:tc>
        <w:tc>
          <w:tcPr>
            <w:tcW w:w="1296" w:type="dxa"/>
            <w:tcBorders>
              <w:bottom w:val="single" w:color="auto" w:sz="4" w:space="0"/>
            </w:tcBorders>
            <w:shd w:val="clear" w:color="auto" w:fill="auto"/>
            <w:tcMar>
              <w:top w:w="60" w:type="dxa"/>
              <w:left w:w="80" w:type="dxa"/>
              <w:bottom w:w="60" w:type="dxa"/>
              <w:right w:w="80" w:type="dxa"/>
            </w:tcMar>
            <w:vAlign w:val="center"/>
          </w:tcPr>
          <w:p w14:paraId="22FE6E26">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Events (n)</w:t>
            </w:r>
          </w:p>
        </w:tc>
        <w:tc>
          <w:tcPr>
            <w:tcW w:w="2088" w:type="dxa"/>
            <w:tcBorders>
              <w:bottom w:val="single" w:color="auto" w:sz="4" w:space="0"/>
            </w:tcBorders>
            <w:shd w:val="clear" w:color="auto" w:fill="auto"/>
            <w:tcMar>
              <w:top w:w="60" w:type="dxa"/>
              <w:left w:w="80" w:type="dxa"/>
              <w:bottom w:w="60" w:type="dxa"/>
              <w:right w:w="80" w:type="dxa"/>
            </w:tcMar>
            <w:vAlign w:val="center"/>
          </w:tcPr>
          <w:p w14:paraId="3A90B24D">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Missing-data approach</w:t>
            </w:r>
          </w:p>
        </w:tc>
        <w:tc>
          <w:tcPr>
            <w:tcW w:w="3096" w:type="dxa"/>
            <w:tcBorders>
              <w:bottom w:val="single" w:color="auto" w:sz="4" w:space="0"/>
            </w:tcBorders>
            <w:shd w:val="clear" w:color="auto" w:fill="auto"/>
            <w:tcMar>
              <w:top w:w="60" w:type="dxa"/>
              <w:left w:w="80" w:type="dxa"/>
              <w:bottom w:w="60" w:type="dxa"/>
              <w:right w:w="80" w:type="dxa"/>
            </w:tcMar>
            <w:vAlign w:val="center"/>
          </w:tcPr>
          <w:p w14:paraId="4B261989">
            <w:pPr>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Time scale</w:t>
            </w:r>
          </w:p>
        </w:tc>
      </w:tr>
      <w:tr w14:paraId="4DAAD5D0">
        <w:trPr>
          <w:jc w:val="center"/>
        </w:trPr>
        <w:tc>
          <w:tcPr>
            <w:tcW w:w="1944" w:type="dxa"/>
            <w:tcBorders>
              <w:top w:val="single" w:color="auto" w:sz="4" w:space="0"/>
            </w:tcBorders>
            <w:shd w:val="clear" w:color="auto" w:fill="auto"/>
            <w:tcMar>
              <w:top w:w="60" w:type="dxa"/>
              <w:left w:w="80" w:type="dxa"/>
              <w:bottom w:w="60" w:type="dxa"/>
              <w:right w:w="80" w:type="dxa"/>
            </w:tcMar>
            <w:vAlign w:val="center"/>
          </w:tcPr>
          <w:p w14:paraId="250946C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Primary model</w:t>
            </w:r>
          </w:p>
        </w:tc>
        <w:tc>
          <w:tcPr>
            <w:tcW w:w="6048" w:type="dxa"/>
            <w:tcBorders>
              <w:top w:val="single" w:color="auto" w:sz="4" w:space="0"/>
            </w:tcBorders>
            <w:shd w:val="clear" w:color="auto" w:fill="auto"/>
            <w:tcMar>
              <w:top w:w="60" w:type="dxa"/>
              <w:left w:w="80" w:type="dxa"/>
              <w:bottom w:w="60" w:type="dxa"/>
              <w:right w:w="80" w:type="dxa"/>
            </w:tcMar>
            <w:vAlign w:val="center"/>
          </w:tcPr>
          <w:p w14:paraId="28BC8CC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Serum IGF-1, age, </w:t>
            </w:r>
            <w:r>
              <w:rPr>
                <w:rFonts w:hint="default" w:ascii="Times New Roman" w:hAnsi="Times New Roman" w:cs="Times New Roman"/>
                <w:color w:val="auto"/>
                <w:sz w:val="21"/>
                <w:szCs w:val="21"/>
                <w:lang w:val="en-US"/>
              </w:rPr>
              <w:t>sex</w:t>
            </w:r>
            <w:r>
              <w:rPr>
                <w:rFonts w:hint="default" w:ascii="Times New Roman" w:hAnsi="Times New Roman" w:cs="Times New Roman"/>
                <w:color w:val="auto"/>
                <w:sz w:val="21"/>
                <w:szCs w:val="21"/>
              </w:rPr>
              <w:t>, BMI, smoking, alcohol use, sleep hours/day, loneliness</w:t>
            </w:r>
          </w:p>
        </w:tc>
        <w:tc>
          <w:tcPr>
            <w:tcW w:w="1656" w:type="dxa"/>
            <w:tcBorders>
              <w:top w:val="single" w:color="auto" w:sz="4" w:space="0"/>
            </w:tcBorders>
            <w:shd w:val="clear" w:color="auto" w:fill="auto"/>
            <w:tcMar>
              <w:top w:w="60" w:type="dxa"/>
              <w:left w:w="80" w:type="dxa"/>
              <w:bottom w:w="60" w:type="dxa"/>
              <w:right w:w="80" w:type="dxa"/>
            </w:tcMar>
            <w:vAlign w:val="center"/>
          </w:tcPr>
          <w:p w14:paraId="7023375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451,230</w:t>
            </w:r>
          </w:p>
        </w:tc>
        <w:tc>
          <w:tcPr>
            <w:tcW w:w="1296" w:type="dxa"/>
            <w:tcBorders>
              <w:top w:val="single" w:color="auto" w:sz="4" w:space="0"/>
            </w:tcBorders>
            <w:shd w:val="clear" w:color="auto" w:fill="auto"/>
            <w:tcMar>
              <w:top w:w="60" w:type="dxa"/>
              <w:left w:w="80" w:type="dxa"/>
              <w:bottom w:w="60" w:type="dxa"/>
              <w:right w:w="80" w:type="dxa"/>
            </w:tcMar>
            <w:vAlign w:val="center"/>
          </w:tcPr>
          <w:p w14:paraId="7264F8C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4,290</w:t>
            </w:r>
          </w:p>
        </w:tc>
        <w:tc>
          <w:tcPr>
            <w:tcW w:w="2088" w:type="dxa"/>
            <w:tcBorders>
              <w:top w:val="single" w:color="auto" w:sz="4" w:space="0"/>
            </w:tcBorders>
            <w:shd w:val="clear" w:color="auto" w:fill="auto"/>
            <w:tcMar>
              <w:top w:w="60" w:type="dxa"/>
              <w:left w:w="80" w:type="dxa"/>
              <w:bottom w:w="60" w:type="dxa"/>
              <w:right w:w="80" w:type="dxa"/>
            </w:tcMar>
            <w:vAlign w:val="center"/>
          </w:tcPr>
          <w:p w14:paraId="4821E50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Complete-case analysis</w:t>
            </w:r>
          </w:p>
        </w:tc>
        <w:tc>
          <w:tcPr>
            <w:tcW w:w="3096" w:type="dxa"/>
            <w:tcBorders>
              <w:top w:val="single" w:color="auto" w:sz="4" w:space="0"/>
            </w:tcBorders>
            <w:shd w:val="clear" w:color="auto" w:fill="auto"/>
            <w:tcMar>
              <w:top w:w="60" w:type="dxa"/>
              <w:left w:w="80" w:type="dxa"/>
              <w:bottom w:w="60" w:type="dxa"/>
              <w:right w:w="80" w:type="dxa"/>
            </w:tcMar>
            <w:vAlign w:val="center"/>
          </w:tcPr>
          <w:p w14:paraId="34EBF39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Days from baseline to incident epilepsy or censoring</w:t>
            </w:r>
          </w:p>
        </w:tc>
      </w:tr>
      <w:tr w14:paraId="58B60388">
        <w:trPr>
          <w:jc w:val="center"/>
        </w:trPr>
        <w:tc>
          <w:tcPr>
            <w:tcW w:w="1944" w:type="dxa"/>
            <w:shd w:val="clear" w:color="auto" w:fill="auto"/>
            <w:tcMar>
              <w:top w:w="60" w:type="dxa"/>
              <w:left w:w="80" w:type="dxa"/>
              <w:bottom w:w="60" w:type="dxa"/>
              <w:right w:w="80" w:type="dxa"/>
            </w:tcMar>
            <w:vAlign w:val="center"/>
          </w:tcPr>
          <w:p w14:paraId="6040D06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Sensitivity model</w:t>
            </w:r>
          </w:p>
        </w:tc>
        <w:tc>
          <w:tcPr>
            <w:tcW w:w="6048" w:type="dxa"/>
            <w:shd w:val="clear" w:color="auto" w:fill="auto"/>
            <w:tcMar>
              <w:top w:w="60" w:type="dxa"/>
              <w:left w:w="80" w:type="dxa"/>
              <w:bottom w:w="60" w:type="dxa"/>
              <w:right w:w="80" w:type="dxa"/>
            </w:tcMar>
            <w:vAlign w:val="center"/>
          </w:tcPr>
          <w:p w14:paraId="28619FA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Serum IGF-1, age, </w:t>
            </w:r>
            <w:r>
              <w:rPr>
                <w:rFonts w:hint="default" w:ascii="Times New Roman" w:hAnsi="Times New Roman" w:cs="Times New Roman"/>
                <w:color w:val="auto"/>
                <w:sz w:val="21"/>
                <w:szCs w:val="21"/>
                <w:lang w:val="en-US"/>
              </w:rPr>
              <w:t>sex</w:t>
            </w:r>
            <w:r>
              <w:rPr>
                <w:rFonts w:hint="default" w:ascii="Times New Roman" w:hAnsi="Times New Roman" w:cs="Times New Roman"/>
                <w:color w:val="auto"/>
                <w:sz w:val="21"/>
                <w:szCs w:val="21"/>
              </w:rPr>
              <w:t xml:space="preserve">, </w:t>
            </w:r>
            <w:r>
              <w:rPr>
                <w:rFonts w:hint="eastAsia" w:ascii="Times New Roman" w:hAnsi="Times New Roman" w:cs="Times New Roman"/>
                <w:color w:val="auto"/>
                <w:sz w:val="21"/>
                <w:szCs w:val="21"/>
                <w:lang w:eastAsia="zh-CN"/>
              </w:rPr>
              <w:t>ethnicity</w:t>
            </w:r>
            <w:r>
              <w:rPr>
                <w:rFonts w:hint="default" w:ascii="Times New Roman" w:hAnsi="Times New Roman" w:cs="Times New Roman"/>
                <w:color w:val="auto"/>
                <w:sz w:val="21"/>
                <w:szCs w:val="21"/>
              </w:rPr>
              <w:t>, education, deprivation, BMI, smoking, alcohol use, sleep hours/day, physical activity, working hours, loneliness</w:t>
            </w:r>
          </w:p>
        </w:tc>
        <w:tc>
          <w:tcPr>
            <w:tcW w:w="1656" w:type="dxa"/>
            <w:shd w:val="clear" w:color="auto" w:fill="auto"/>
            <w:tcMar>
              <w:top w:w="60" w:type="dxa"/>
              <w:left w:w="80" w:type="dxa"/>
              <w:bottom w:w="60" w:type="dxa"/>
              <w:right w:w="80" w:type="dxa"/>
            </w:tcMar>
            <w:vAlign w:val="center"/>
          </w:tcPr>
          <w:p w14:paraId="3490A74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155,736</w:t>
            </w:r>
          </w:p>
        </w:tc>
        <w:tc>
          <w:tcPr>
            <w:tcW w:w="1296" w:type="dxa"/>
            <w:shd w:val="clear" w:color="auto" w:fill="auto"/>
            <w:tcMar>
              <w:top w:w="60" w:type="dxa"/>
              <w:left w:w="80" w:type="dxa"/>
              <w:bottom w:w="60" w:type="dxa"/>
              <w:right w:w="80" w:type="dxa"/>
            </w:tcMar>
            <w:vAlign w:val="center"/>
          </w:tcPr>
          <w:p w14:paraId="57D5BE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1,107</w:t>
            </w:r>
          </w:p>
        </w:tc>
        <w:tc>
          <w:tcPr>
            <w:tcW w:w="2088" w:type="dxa"/>
            <w:shd w:val="clear" w:color="auto" w:fill="auto"/>
            <w:tcMar>
              <w:top w:w="60" w:type="dxa"/>
              <w:left w:w="80" w:type="dxa"/>
              <w:bottom w:w="60" w:type="dxa"/>
              <w:right w:w="80" w:type="dxa"/>
            </w:tcMar>
            <w:vAlign w:val="center"/>
          </w:tcPr>
          <w:p w14:paraId="55FFD6E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Complete-case analysis</w:t>
            </w:r>
          </w:p>
        </w:tc>
        <w:tc>
          <w:tcPr>
            <w:tcW w:w="3096" w:type="dxa"/>
            <w:shd w:val="clear" w:color="auto" w:fill="auto"/>
            <w:tcMar>
              <w:top w:w="60" w:type="dxa"/>
              <w:left w:w="80" w:type="dxa"/>
              <w:bottom w:w="60" w:type="dxa"/>
              <w:right w:w="80" w:type="dxa"/>
            </w:tcMar>
            <w:vAlign w:val="center"/>
          </w:tcPr>
          <w:p w14:paraId="2FFB745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Days from baseline to incident epilepsy or censoring</w:t>
            </w:r>
          </w:p>
        </w:tc>
      </w:tr>
    </w:tbl>
    <w:p w14:paraId="5D67D0B5">
      <w:pPr>
        <w:spacing w:before="120"/>
        <w:rPr>
          <w:rFonts w:hint="default" w:ascii="Times New Roman" w:hAnsi="Times New Roman" w:cs="Times New Roman"/>
          <w:sz w:val="21"/>
          <w:szCs w:val="21"/>
        </w:rPr>
      </w:pPr>
      <w:r>
        <w:rPr>
          <w:rFonts w:hint="default" w:ascii="Times New Roman" w:hAnsi="Times New Roman" w:cs="Times New Roman"/>
          <w:sz w:val="21"/>
          <w:szCs w:val="21"/>
        </w:rPr>
        <w:t xml:space="preserve">Missing data were handled using complete-case analysis. The primary model included serum IGF-1, age, </w:t>
      </w:r>
      <w:r>
        <w:rPr>
          <w:rFonts w:hint="default" w:ascii="Times New Roman" w:hAnsi="Times New Roman" w:cs="Times New Roman"/>
          <w:sz w:val="21"/>
          <w:szCs w:val="21"/>
          <w:lang w:val="en-US"/>
        </w:rPr>
        <w:t>sex</w:t>
      </w:r>
      <w:r>
        <w:rPr>
          <w:rFonts w:hint="default" w:ascii="Times New Roman" w:hAnsi="Times New Roman" w:cs="Times New Roman"/>
          <w:sz w:val="21"/>
          <w:szCs w:val="21"/>
        </w:rPr>
        <w:t xml:space="preserve">, BMI, smoking, alcohol use, sleep hours/day, and loneliness. The sensitivity model additionally included </w:t>
      </w:r>
      <w:r>
        <w:rPr>
          <w:rFonts w:hint="eastAsia" w:ascii="Times New Roman" w:hAnsi="Times New Roman" w:cs="Times New Roman"/>
          <w:sz w:val="21"/>
          <w:szCs w:val="21"/>
          <w:lang w:eastAsia="zh-CN"/>
        </w:rPr>
        <w:t>ethnicity</w:t>
      </w:r>
      <w:r>
        <w:rPr>
          <w:rFonts w:hint="default" w:ascii="Times New Roman" w:hAnsi="Times New Roman" w:cs="Times New Roman"/>
          <w:sz w:val="21"/>
          <w:szCs w:val="21"/>
        </w:rPr>
        <w:t>, education, deprivation, physical activity, and working hours.</w:t>
      </w:r>
    </w:p>
    <w:p w14:paraId="4F629173">
      <w:pPr>
        <w:rPr>
          <w:rFonts w:hint="default" w:ascii="Times New Roman" w:hAnsi="Times New Roman" w:cs="Times New Roman"/>
          <w:sz w:val="21"/>
          <w:szCs w:val="21"/>
        </w:rPr>
      </w:pPr>
      <w:r>
        <w:rPr>
          <w:rFonts w:hint="default" w:ascii="Times New Roman" w:hAnsi="Times New Roman" w:cs="Times New Roman"/>
          <w:sz w:val="21"/>
          <w:szCs w:val="21"/>
        </w:rPr>
        <w:br w:type="page"/>
      </w:r>
    </w:p>
    <w:p w14:paraId="63476DF2">
      <w:pPr>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val="en-US"/>
        </w:rPr>
        <w:t>S</w:t>
      </w:r>
      <w:r>
        <w:rPr>
          <w:rFonts w:hint="default" w:ascii="Times New Roman" w:hAnsi="Times New Roman" w:eastAsia="宋体" w:cs="Times New Roman"/>
          <w:b/>
          <w:color w:val="auto"/>
          <w:sz w:val="21"/>
          <w:szCs w:val="21"/>
        </w:rPr>
        <w:t>Table 4.</w:t>
      </w:r>
      <w:r>
        <w:rPr>
          <w:rFonts w:hint="eastAsia" w:ascii="Times New Roman" w:hAnsi="Times New Roman" w:eastAsia="宋体" w:cs="Times New Roman"/>
          <w:b/>
          <w:color w:val="auto"/>
          <w:sz w:val="21"/>
          <w:szCs w:val="21"/>
          <w:lang w:val="en-US" w:eastAsia="zh-CN"/>
        </w:rPr>
        <w:t xml:space="preserve"> Lagged Cox analyses excluding epilepsy events occurring within the first 2 and 5 years of follow-up.</w:t>
      </w:r>
    </w:p>
    <w:tbl>
      <w:tblPr>
        <w:tblStyle w:val="7"/>
        <w:tblpPr w:leftFromText="180" w:rightFromText="180" w:vertAnchor="text" w:horzAnchor="page" w:tblpX="869" w:tblpY="309"/>
        <w:tblOverlap w:val="never"/>
        <w:tblW w:w="10145"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6"/>
        <w:gridCol w:w="1283"/>
        <w:gridCol w:w="1135"/>
        <w:gridCol w:w="1135"/>
        <w:gridCol w:w="1135"/>
        <w:gridCol w:w="1136"/>
        <w:gridCol w:w="1941"/>
        <w:gridCol w:w="994"/>
      </w:tblGrid>
      <w:tr w14:paraId="725EE61A">
        <w:trPr>
          <w:tblHeader/>
        </w:trPr>
        <w:tc>
          <w:tcPr>
            <w:tcW w:w="1386" w:type="dxa"/>
            <w:tcBorders>
              <w:bottom w:val="single" w:color="auto" w:sz="4" w:space="0"/>
            </w:tcBorders>
            <w:shd w:val="clear" w:color="auto" w:fill="auto"/>
            <w:tcMar>
              <w:top w:w="60" w:type="dxa"/>
              <w:left w:w="80" w:type="dxa"/>
              <w:bottom w:w="60" w:type="dxa"/>
              <w:right w:w="80" w:type="dxa"/>
            </w:tcMar>
            <w:vAlign w:val="center"/>
          </w:tcPr>
          <w:p w14:paraId="7EC8D2CB">
            <w:pPr>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Analysis</w:t>
            </w:r>
          </w:p>
        </w:tc>
        <w:tc>
          <w:tcPr>
            <w:tcW w:w="1283" w:type="dxa"/>
            <w:tcBorders>
              <w:bottom w:val="single" w:color="auto" w:sz="4" w:space="0"/>
            </w:tcBorders>
            <w:shd w:val="clear" w:color="auto" w:fill="auto"/>
            <w:tcMar>
              <w:top w:w="60" w:type="dxa"/>
              <w:left w:w="80" w:type="dxa"/>
              <w:bottom w:w="60" w:type="dxa"/>
              <w:right w:w="80" w:type="dxa"/>
            </w:tcMar>
            <w:vAlign w:val="center"/>
          </w:tcPr>
          <w:p w14:paraId="0695B668">
            <w:pPr>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Model</w:t>
            </w:r>
          </w:p>
        </w:tc>
        <w:tc>
          <w:tcPr>
            <w:tcW w:w="1135" w:type="dxa"/>
            <w:tcBorders>
              <w:bottom w:val="single" w:color="auto" w:sz="4" w:space="0"/>
            </w:tcBorders>
            <w:shd w:val="clear" w:color="auto" w:fill="auto"/>
            <w:tcMar>
              <w:top w:w="60" w:type="dxa"/>
              <w:left w:w="80" w:type="dxa"/>
              <w:bottom w:w="60" w:type="dxa"/>
              <w:right w:w="80" w:type="dxa"/>
            </w:tcMar>
            <w:vAlign w:val="center"/>
          </w:tcPr>
          <w:p w14:paraId="1D141B67">
            <w:pPr>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N after lag filter</w:t>
            </w:r>
          </w:p>
        </w:tc>
        <w:tc>
          <w:tcPr>
            <w:tcW w:w="1135" w:type="dxa"/>
            <w:tcBorders>
              <w:bottom w:val="single" w:color="auto" w:sz="4" w:space="0"/>
            </w:tcBorders>
            <w:shd w:val="clear" w:color="auto" w:fill="auto"/>
            <w:tcMar>
              <w:top w:w="60" w:type="dxa"/>
              <w:left w:w="80" w:type="dxa"/>
              <w:bottom w:w="60" w:type="dxa"/>
              <w:right w:w="80" w:type="dxa"/>
            </w:tcMar>
            <w:vAlign w:val="center"/>
          </w:tcPr>
          <w:p w14:paraId="3845F7A0">
            <w:pPr>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Events after lag filter</w:t>
            </w:r>
          </w:p>
        </w:tc>
        <w:tc>
          <w:tcPr>
            <w:tcW w:w="1135" w:type="dxa"/>
            <w:tcBorders>
              <w:bottom w:val="single" w:color="auto" w:sz="4" w:space="0"/>
            </w:tcBorders>
            <w:shd w:val="clear" w:color="auto" w:fill="auto"/>
            <w:tcMar>
              <w:top w:w="60" w:type="dxa"/>
              <w:left w:w="80" w:type="dxa"/>
              <w:bottom w:w="60" w:type="dxa"/>
              <w:right w:w="80" w:type="dxa"/>
            </w:tcMar>
            <w:vAlign w:val="center"/>
          </w:tcPr>
          <w:p w14:paraId="25C9B1FD">
            <w:pPr>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Model N (complete cases)</w:t>
            </w:r>
          </w:p>
        </w:tc>
        <w:tc>
          <w:tcPr>
            <w:tcW w:w="1136" w:type="dxa"/>
            <w:tcBorders>
              <w:bottom w:val="single" w:color="auto" w:sz="4" w:space="0"/>
            </w:tcBorders>
            <w:shd w:val="clear" w:color="auto" w:fill="auto"/>
            <w:tcMar>
              <w:top w:w="60" w:type="dxa"/>
              <w:left w:w="80" w:type="dxa"/>
              <w:bottom w:w="60" w:type="dxa"/>
              <w:right w:w="80" w:type="dxa"/>
            </w:tcMar>
            <w:vAlign w:val="center"/>
          </w:tcPr>
          <w:p w14:paraId="4F4156D9">
            <w:pPr>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Model events</w:t>
            </w:r>
          </w:p>
        </w:tc>
        <w:tc>
          <w:tcPr>
            <w:tcW w:w="1941" w:type="dxa"/>
            <w:tcBorders>
              <w:bottom w:val="single" w:color="auto" w:sz="4" w:space="0"/>
            </w:tcBorders>
            <w:shd w:val="clear" w:color="auto" w:fill="auto"/>
            <w:tcMar>
              <w:top w:w="60" w:type="dxa"/>
              <w:left w:w="80" w:type="dxa"/>
              <w:bottom w:w="60" w:type="dxa"/>
              <w:right w:w="80" w:type="dxa"/>
            </w:tcMar>
            <w:vAlign w:val="center"/>
          </w:tcPr>
          <w:p w14:paraId="6EA0335D">
            <w:pPr>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IGF-1 HR (95% CI)</w:t>
            </w:r>
          </w:p>
        </w:tc>
        <w:tc>
          <w:tcPr>
            <w:tcW w:w="994" w:type="dxa"/>
            <w:tcBorders>
              <w:bottom w:val="single" w:color="auto" w:sz="4" w:space="0"/>
            </w:tcBorders>
            <w:shd w:val="clear" w:color="auto" w:fill="auto"/>
            <w:tcMar>
              <w:top w:w="60" w:type="dxa"/>
              <w:left w:w="80" w:type="dxa"/>
              <w:bottom w:w="60" w:type="dxa"/>
              <w:right w:w="80" w:type="dxa"/>
            </w:tcMar>
            <w:vAlign w:val="center"/>
          </w:tcPr>
          <w:p w14:paraId="018BA367">
            <w:pPr>
              <w:spacing w:after="0" w:line="240" w:lineRule="auto"/>
              <w:jc w:val="center"/>
              <w:rPr>
                <w:rFonts w:hint="default" w:ascii="Times New Roman" w:hAnsi="Times New Roman" w:eastAsia="宋体" w:cs="Times New Roman"/>
                <w:color w:val="auto"/>
                <w:sz w:val="21"/>
                <w:szCs w:val="21"/>
              </w:rPr>
            </w:pPr>
            <w:r>
              <w:rPr>
                <w:rFonts w:hint="default" w:ascii="Times New Roman Bold Italic" w:hAnsi="Times New Roman Bold Italic" w:eastAsia="宋体" w:cs="Times New Roman Bold Italic"/>
                <w:b/>
                <w:bCs w:val="0"/>
                <w:i/>
                <w:iCs/>
                <w:color w:val="auto"/>
                <w:sz w:val="21"/>
                <w:szCs w:val="21"/>
              </w:rPr>
              <w:t>P</w:t>
            </w:r>
            <w:r>
              <w:rPr>
                <w:rFonts w:hint="default" w:ascii="Times New Roman" w:hAnsi="Times New Roman" w:eastAsia="宋体" w:cs="Times New Roman"/>
                <w:b/>
                <w:color w:val="auto"/>
                <w:sz w:val="21"/>
                <w:szCs w:val="21"/>
              </w:rPr>
              <w:t xml:space="preserve"> value</w:t>
            </w:r>
          </w:p>
        </w:tc>
      </w:tr>
      <w:tr w14:paraId="05055E33">
        <w:tc>
          <w:tcPr>
            <w:tcW w:w="1386" w:type="dxa"/>
            <w:tcBorders>
              <w:top w:val="single" w:color="auto" w:sz="4" w:space="0"/>
            </w:tcBorders>
            <w:shd w:val="clear" w:color="auto" w:fill="auto"/>
            <w:tcMar>
              <w:top w:w="60" w:type="dxa"/>
              <w:left w:w="80" w:type="dxa"/>
              <w:bottom w:w="60" w:type="dxa"/>
              <w:right w:w="80" w:type="dxa"/>
            </w:tcMar>
            <w:vAlign w:val="center"/>
          </w:tcPr>
          <w:p w14:paraId="20ADFD2C">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Main analysis</w:t>
            </w:r>
          </w:p>
        </w:tc>
        <w:tc>
          <w:tcPr>
            <w:tcW w:w="1283" w:type="dxa"/>
            <w:tcBorders>
              <w:top w:val="single" w:color="auto" w:sz="4" w:space="0"/>
            </w:tcBorders>
            <w:shd w:val="clear" w:color="auto" w:fill="auto"/>
            <w:tcMar>
              <w:top w:w="60" w:type="dxa"/>
              <w:left w:w="80" w:type="dxa"/>
              <w:bottom w:w="60" w:type="dxa"/>
              <w:right w:w="80" w:type="dxa"/>
            </w:tcMar>
            <w:vAlign w:val="center"/>
          </w:tcPr>
          <w:p w14:paraId="5125E598">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Primary model</w:t>
            </w:r>
          </w:p>
        </w:tc>
        <w:tc>
          <w:tcPr>
            <w:tcW w:w="1135" w:type="dxa"/>
            <w:tcBorders>
              <w:top w:val="single" w:color="auto" w:sz="4" w:space="0"/>
            </w:tcBorders>
            <w:shd w:val="clear" w:color="auto" w:fill="auto"/>
            <w:tcMar>
              <w:top w:w="60" w:type="dxa"/>
              <w:left w:w="80" w:type="dxa"/>
              <w:bottom w:w="60" w:type="dxa"/>
              <w:right w:w="80" w:type="dxa"/>
            </w:tcMar>
            <w:vAlign w:val="center"/>
          </w:tcPr>
          <w:p w14:paraId="4EA84A2E">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464,632</w:t>
            </w:r>
          </w:p>
        </w:tc>
        <w:tc>
          <w:tcPr>
            <w:tcW w:w="1135" w:type="dxa"/>
            <w:tcBorders>
              <w:top w:val="single" w:color="auto" w:sz="4" w:space="0"/>
            </w:tcBorders>
            <w:shd w:val="clear" w:color="auto" w:fill="auto"/>
            <w:tcMar>
              <w:top w:w="60" w:type="dxa"/>
              <w:left w:w="80" w:type="dxa"/>
              <w:bottom w:w="60" w:type="dxa"/>
              <w:right w:w="80" w:type="dxa"/>
            </w:tcMar>
            <w:vAlign w:val="center"/>
          </w:tcPr>
          <w:p w14:paraId="5771C84F">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4,532</w:t>
            </w:r>
          </w:p>
        </w:tc>
        <w:tc>
          <w:tcPr>
            <w:tcW w:w="1135" w:type="dxa"/>
            <w:tcBorders>
              <w:top w:val="single" w:color="auto" w:sz="4" w:space="0"/>
            </w:tcBorders>
            <w:shd w:val="clear" w:color="auto" w:fill="auto"/>
            <w:tcMar>
              <w:top w:w="60" w:type="dxa"/>
              <w:left w:w="80" w:type="dxa"/>
              <w:bottom w:w="60" w:type="dxa"/>
              <w:right w:w="80" w:type="dxa"/>
            </w:tcMar>
            <w:vAlign w:val="center"/>
          </w:tcPr>
          <w:p w14:paraId="47E7D288">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451,230</w:t>
            </w:r>
          </w:p>
        </w:tc>
        <w:tc>
          <w:tcPr>
            <w:tcW w:w="1136" w:type="dxa"/>
            <w:tcBorders>
              <w:top w:val="single" w:color="auto" w:sz="4" w:space="0"/>
            </w:tcBorders>
            <w:shd w:val="clear" w:color="auto" w:fill="auto"/>
            <w:tcMar>
              <w:top w:w="60" w:type="dxa"/>
              <w:left w:w="80" w:type="dxa"/>
              <w:bottom w:w="60" w:type="dxa"/>
              <w:right w:w="80" w:type="dxa"/>
            </w:tcMar>
            <w:vAlign w:val="center"/>
          </w:tcPr>
          <w:p w14:paraId="2AA4B0E4">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4,290</w:t>
            </w:r>
          </w:p>
        </w:tc>
        <w:tc>
          <w:tcPr>
            <w:tcW w:w="1941" w:type="dxa"/>
            <w:tcBorders>
              <w:top w:val="single" w:color="auto" w:sz="4" w:space="0"/>
            </w:tcBorders>
            <w:shd w:val="clear" w:color="auto" w:fill="auto"/>
            <w:tcMar>
              <w:top w:w="60" w:type="dxa"/>
              <w:left w:w="80" w:type="dxa"/>
              <w:bottom w:w="60" w:type="dxa"/>
              <w:right w:w="80" w:type="dxa"/>
            </w:tcMar>
            <w:vAlign w:val="center"/>
          </w:tcPr>
          <w:p w14:paraId="36A253E6">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0.978 (0.973-0.984)</w:t>
            </w:r>
          </w:p>
        </w:tc>
        <w:tc>
          <w:tcPr>
            <w:tcW w:w="994" w:type="dxa"/>
            <w:tcBorders>
              <w:top w:val="single" w:color="auto" w:sz="4" w:space="0"/>
            </w:tcBorders>
            <w:shd w:val="clear" w:color="auto" w:fill="auto"/>
            <w:tcMar>
              <w:top w:w="60" w:type="dxa"/>
              <w:left w:w="80" w:type="dxa"/>
              <w:bottom w:w="60" w:type="dxa"/>
              <w:right w:w="80" w:type="dxa"/>
            </w:tcMar>
            <w:vAlign w:val="center"/>
          </w:tcPr>
          <w:p w14:paraId="6AC58C58">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&lt;0.001</w:t>
            </w:r>
          </w:p>
        </w:tc>
      </w:tr>
      <w:tr w14:paraId="1F8F1534">
        <w:tc>
          <w:tcPr>
            <w:tcW w:w="1386" w:type="dxa"/>
            <w:shd w:val="clear" w:color="auto" w:fill="auto"/>
            <w:tcMar>
              <w:top w:w="60" w:type="dxa"/>
              <w:left w:w="80" w:type="dxa"/>
              <w:bottom w:w="60" w:type="dxa"/>
              <w:right w:w="80" w:type="dxa"/>
            </w:tcMar>
            <w:vAlign w:val="center"/>
          </w:tcPr>
          <w:p w14:paraId="4C91650E">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Main analysis</w:t>
            </w:r>
          </w:p>
        </w:tc>
        <w:tc>
          <w:tcPr>
            <w:tcW w:w="1283" w:type="dxa"/>
            <w:shd w:val="clear" w:color="auto" w:fill="auto"/>
            <w:tcMar>
              <w:top w:w="60" w:type="dxa"/>
              <w:left w:w="80" w:type="dxa"/>
              <w:bottom w:w="60" w:type="dxa"/>
              <w:right w:w="80" w:type="dxa"/>
            </w:tcMar>
            <w:vAlign w:val="center"/>
          </w:tcPr>
          <w:p w14:paraId="560CEC56">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Sensitivity model</w:t>
            </w:r>
          </w:p>
        </w:tc>
        <w:tc>
          <w:tcPr>
            <w:tcW w:w="1135" w:type="dxa"/>
            <w:shd w:val="clear" w:color="auto" w:fill="auto"/>
            <w:tcMar>
              <w:top w:w="60" w:type="dxa"/>
              <w:left w:w="80" w:type="dxa"/>
              <w:bottom w:w="60" w:type="dxa"/>
              <w:right w:w="80" w:type="dxa"/>
            </w:tcMar>
            <w:vAlign w:val="center"/>
          </w:tcPr>
          <w:p w14:paraId="4A77AB46">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464,632</w:t>
            </w:r>
          </w:p>
        </w:tc>
        <w:tc>
          <w:tcPr>
            <w:tcW w:w="1135" w:type="dxa"/>
            <w:shd w:val="clear" w:color="auto" w:fill="auto"/>
            <w:tcMar>
              <w:top w:w="60" w:type="dxa"/>
              <w:left w:w="80" w:type="dxa"/>
              <w:bottom w:w="60" w:type="dxa"/>
              <w:right w:w="80" w:type="dxa"/>
            </w:tcMar>
            <w:vAlign w:val="center"/>
          </w:tcPr>
          <w:p w14:paraId="209ABDB8">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4,532</w:t>
            </w:r>
          </w:p>
        </w:tc>
        <w:tc>
          <w:tcPr>
            <w:tcW w:w="1135" w:type="dxa"/>
            <w:shd w:val="clear" w:color="auto" w:fill="auto"/>
            <w:tcMar>
              <w:top w:w="60" w:type="dxa"/>
              <w:left w:w="80" w:type="dxa"/>
              <w:bottom w:w="60" w:type="dxa"/>
              <w:right w:w="80" w:type="dxa"/>
            </w:tcMar>
            <w:vAlign w:val="center"/>
          </w:tcPr>
          <w:p w14:paraId="7784725B">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155,736</w:t>
            </w:r>
          </w:p>
        </w:tc>
        <w:tc>
          <w:tcPr>
            <w:tcW w:w="1136" w:type="dxa"/>
            <w:shd w:val="clear" w:color="auto" w:fill="auto"/>
            <w:tcMar>
              <w:top w:w="60" w:type="dxa"/>
              <w:left w:w="80" w:type="dxa"/>
              <w:bottom w:w="60" w:type="dxa"/>
              <w:right w:w="80" w:type="dxa"/>
            </w:tcMar>
            <w:vAlign w:val="center"/>
          </w:tcPr>
          <w:p w14:paraId="3B17321E">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1,107</w:t>
            </w:r>
          </w:p>
        </w:tc>
        <w:tc>
          <w:tcPr>
            <w:tcW w:w="1941" w:type="dxa"/>
            <w:shd w:val="clear" w:color="auto" w:fill="auto"/>
            <w:tcMar>
              <w:top w:w="60" w:type="dxa"/>
              <w:left w:w="80" w:type="dxa"/>
              <w:bottom w:w="60" w:type="dxa"/>
              <w:right w:w="80" w:type="dxa"/>
            </w:tcMar>
            <w:vAlign w:val="center"/>
          </w:tcPr>
          <w:p w14:paraId="189ACB5D">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0.979 (0.968-0.990)</w:t>
            </w:r>
          </w:p>
        </w:tc>
        <w:tc>
          <w:tcPr>
            <w:tcW w:w="994" w:type="dxa"/>
            <w:shd w:val="clear" w:color="auto" w:fill="auto"/>
            <w:tcMar>
              <w:top w:w="60" w:type="dxa"/>
              <w:left w:w="80" w:type="dxa"/>
              <w:bottom w:w="60" w:type="dxa"/>
              <w:right w:w="80" w:type="dxa"/>
            </w:tcMar>
            <w:vAlign w:val="center"/>
          </w:tcPr>
          <w:p w14:paraId="1FDDEC12">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&lt;0.001</w:t>
            </w:r>
          </w:p>
        </w:tc>
      </w:tr>
      <w:tr w14:paraId="651AB459">
        <w:tc>
          <w:tcPr>
            <w:tcW w:w="1386" w:type="dxa"/>
            <w:shd w:val="clear" w:color="auto" w:fill="auto"/>
            <w:tcMar>
              <w:top w:w="60" w:type="dxa"/>
              <w:left w:w="80" w:type="dxa"/>
              <w:bottom w:w="60" w:type="dxa"/>
              <w:right w:w="80" w:type="dxa"/>
            </w:tcMar>
            <w:vAlign w:val="center"/>
          </w:tcPr>
          <w:p w14:paraId="59363524">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2-year lag</w:t>
            </w:r>
          </w:p>
        </w:tc>
        <w:tc>
          <w:tcPr>
            <w:tcW w:w="1283" w:type="dxa"/>
            <w:shd w:val="clear" w:color="auto" w:fill="auto"/>
            <w:tcMar>
              <w:top w:w="60" w:type="dxa"/>
              <w:left w:w="80" w:type="dxa"/>
              <w:bottom w:w="60" w:type="dxa"/>
              <w:right w:w="80" w:type="dxa"/>
            </w:tcMar>
            <w:vAlign w:val="center"/>
          </w:tcPr>
          <w:p w14:paraId="77172BFC">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Primary model</w:t>
            </w:r>
          </w:p>
        </w:tc>
        <w:tc>
          <w:tcPr>
            <w:tcW w:w="1135" w:type="dxa"/>
            <w:shd w:val="clear" w:color="auto" w:fill="auto"/>
            <w:tcMar>
              <w:top w:w="60" w:type="dxa"/>
              <w:left w:w="80" w:type="dxa"/>
              <w:bottom w:w="60" w:type="dxa"/>
              <w:right w:w="80" w:type="dxa"/>
            </w:tcMar>
            <w:vAlign w:val="center"/>
          </w:tcPr>
          <w:p w14:paraId="54066AA9">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464,070</w:t>
            </w:r>
          </w:p>
        </w:tc>
        <w:tc>
          <w:tcPr>
            <w:tcW w:w="1135" w:type="dxa"/>
            <w:shd w:val="clear" w:color="auto" w:fill="auto"/>
            <w:tcMar>
              <w:top w:w="60" w:type="dxa"/>
              <w:left w:w="80" w:type="dxa"/>
              <w:bottom w:w="60" w:type="dxa"/>
              <w:right w:w="80" w:type="dxa"/>
            </w:tcMar>
            <w:vAlign w:val="center"/>
          </w:tcPr>
          <w:p w14:paraId="7A58EFC0">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3,970</w:t>
            </w:r>
          </w:p>
        </w:tc>
        <w:tc>
          <w:tcPr>
            <w:tcW w:w="1135" w:type="dxa"/>
            <w:shd w:val="clear" w:color="auto" w:fill="auto"/>
            <w:tcMar>
              <w:top w:w="60" w:type="dxa"/>
              <w:left w:w="80" w:type="dxa"/>
              <w:bottom w:w="60" w:type="dxa"/>
              <w:right w:w="80" w:type="dxa"/>
            </w:tcMar>
            <w:vAlign w:val="center"/>
          </w:tcPr>
          <w:p w14:paraId="17E18505">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450,704</w:t>
            </w:r>
          </w:p>
        </w:tc>
        <w:tc>
          <w:tcPr>
            <w:tcW w:w="1136" w:type="dxa"/>
            <w:shd w:val="clear" w:color="auto" w:fill="auto"/>
            <w:tcMar>
              <w:top w:w="60" w:type="dxa"/>
              <w:left w:w="80" w:type="dxa"/>
              <w:bottom w:w="60" w:type="dxa"/>
              <w:right w:w="80" w:type="dxa"/>
            </w:tcMar>
            <w:vAlign w:val="center"/>
          </w:tcPr>
          <w:p w14:paraId="5F621F56">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3,764</w:t>
            </w:r>
          </w:p>
        </w:tc>
        <w:tc>
          <w:tcPr>
            <w:tcW w:w="1941" w:type="dxa"/>
            <w:shd w:val="clear" w:color="auto" w:fill="auto"/>
            <w:tcMar>
              <w:top w:w="60" w:type="dxa"/>
              <w:left w:w="80" w:type="dxa"/>
              <w:bottom w:w="60" w:type="dxa"/>
              <w:right w:w="80" w:type="dxa"/>
            </w:tcMar>
            <w:vAlign w:val="center"/>
          </w:tcPr>
          <w:p w14:paraId="318ED36A">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0.980 (0.974-0.986)</w:t>
            </w:r>
          </w:p>
        </w:tc>
        <w:tc>
          <w:tcPr>
            <w:tcW w:w="994" w:type="dxa"/>
            <w:shd w:val="clear" w:color="auto" w:fill="auto"/>
            <w:tcMar>
              <w:top w:w="60" w:type="dxa"/>
              <w:left w:w="80" w:type="dxa"/>
              <w:bottom w:w="60" w:type="dxa"/>
              <w:right w:w="80" w:type="dxa"/>
            </w:tcMar>
            <w:vAlign w:val="center"/>
          </w:tcPr>
          <w:p w14:paraId="7C6C660F">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&lt;0.001</w:t>
            </w:r>
          </w:p>
        </w:tc>
      </w:tr>
      <w:tr w14:paraId="4CC60141">
        <w:tc>
          <w:tcPr>
            <w:tcW w:w="1386" w:type="dxa"/>
            <w:shd w:val="clear" w:color="auto" w:fill="auto"/>
            <w:tcMar>
              <w:top w:w="60" w:type="dxa"/>
              <w:left w:w="80" w:type="dxa"/>
              <w:bottom w:w="60" w:type="dxa"/>
              <w:right w:w="80" w:type="dxa"/>
            </w:tcMar>
            <w:vAlign w:val="center"/>
          </w:tcPr>
          <w:p w14:paraId="69F15493">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2-year lag</w:t>
            </w:r>
          </w:p>
        </w:tc>
        <w:tc>
          <w:tcPr>
            <w:tcW w:w="1283" w:type="dxa"/>
            <w:shd w:val="clear" w:color="auto" w:fill="auto"/>
            <w:tcMar>
              <w:top w:w="60" w:type="dxa"/>
              <w:left w:w="80" w:type="dxa"/>
              <w:bottom w:w="60" w:type="dxa"/>
              <w:right w:w="80" w:type="dxa"/>
            </w:tcMar>
            <w:vAlign w:val="center"/>
          </w:tcPr>
          <w:p w14:paraId="51DB4D60">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Sensitivity model</w:t>
            </w:r>
          </w:p>
        </w:tc>
        <w:tc>
          <w:tcPr>
            <w:tcW w:w="1135" w:type="dxa"/>
            <w:shd w:val="clear" w:color="auto" w:fill="auto"/>
            <w:tcMar>
              <w:top w:w="60" w:type="dxa"/>
              <w:left w:w="80" w:type="dxa"/>
              <w:bottom w:w="60" w:type="dxa"/>
              <w:right w:w="80" w:type="dxa"/>
            </w:tcMar>
            <w:vAlign w:val="center"/>
          </w:tcPr>
          <w:p w14:paraId="2A91A8CE">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464,070</w:t>
            </w:r>
          </w:p>
        </w:tc>
        <w:tc>
          <w:tcPr>
            <w:tcW w:w="1135" w:type="dxa"/>
            <w:shd w:val="clear" w:color="auto" w:fill="auto"/>
            <w:tcMar>
              <w:top w:w="60" w:type="dxa"/>
              <w:left w:w="80" w:type="dxa"/>
              <w:bottom w:w="60" w:type="dxa"/>
              <w:right w:w="80" w:type="dxa"/>
            </w:tcMar>
            <w:vAlign w:val="center"/>
          </w:tcPr>
          <w:p w14:paraId="7B0962D5">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3,970</w:t>
            </w:r>
          </w:p>
        </w:tc>
        <w:tc>
          <w:tcPr>
            <w:tcW w:w="1135" w:type="dxa"/>
            <w:shd w:val="clear" w:color="auto" w:fill="auto"/>
            <w:tcMar>
              <w:top w:w="60" w:type="dxa"/>
              <w:left w:w="80" w:type="dxa"/>
              <w:bottom w:w="60" w:type="dxa"/>
              <w:right w:w="80" w:type="dxa"/>
            </w:tcMar>
            <w:vAlign w:val="center"/>
          </w:tcPr>
          <w:p w14:paraId="253ECE14">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155,616</w:t>
            </w:r>
          </w:p>
        </w:tc>
        <w:tc>
          <w:tcPr>
            <w:tcW w:w="1136" w:type="dxa"/>
            <w:shd w:val="clear" w:color="auto" w:fill="auto"/>
            <w:tcMar>
              <w:top w:w="60" w:type="dxa"/>
              <w:left w:w="80" w:type="dxa"/>
              <w:bottom w:w="60" w:type="dxa"/>
              <w:right w:w="80" w:type="dxa"/>
            </w:tcMar>
            <w:vAlign w:val="center"/>
          </w:tcPr>
          <w:p w14:paraId="442519B1">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987</w:t>
            </w:r>
          </w:p>
        </w:tc>
        <w:tc>
          <w:tcPr>
            <w:tcW w:w="1941" w:type="dxa"/>
            <w:shd w:val="clear" w:color="auto" w:fill="auto"/>
            <w:tcMar>
              <w:top w:w="60" w:type="dxa"/>
              <w:left w:w="80" w:type="dxa"/>
              <w:bottom w:w="60" w:type="dxa"/>
              <w:right w:w="80" w:type="dxa"/>
            </w:tcMar>
            <w:vAlign w:val="center"/>
          </w:tcPr>
          <w:p w14:paraId="4EAF8F4A">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0.979 (0.968-0.991)</w:t>
            </w:r>
          </w:p>
        </w:tc>
        <w:tc>
          <w:tcPr>
            <w:tcW w:w="994" w:type="dxa"/>
            <w:shd w:val="clear" w:color="auto" w:fill="auto"/>
            <w:tcMar>
              <w:top w:w="60" w:type="dxa"/>
              <w:left w:w="80" w:type="dxa"/>
              <w:bottom w:w="60" w:type="dxa"/>
              <w:right w:w="80" w:type="dxa"/>
            </w:tcMar>
            <w:vAlign w:val="center"/>
          </w:tcPr>
          <w:p w14:paraId="226771FE">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&lt;0.001</w:t>
            </w:r>
          </w:p>
        </w:tc>
      </w:tr>
      <w:tr w14:paraId="175EF1C2">
        <w:tc>
          <w:tcPr>
            <w:tcW w:w="1386" w:type="dxa"/>
            <w:shd w:val="clear" w:color="auto" w:fill="auto"/>
            <w:tcMar>
              <w:top w:w="60" w:type="dxa"/>
              <w:left w:w="80" w:type="dxa"/>
              <w:bottom w:w="60" w:type="dxa"/>
              <w:right w:w="80" w:type="dxa"/>
            </w:tcMar>
            <w:vAlign w:val="center"/>
          </w:tcPr>
          <w:p w14:paraId="4897C07D">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5-year lag</w:t>
            </w:r>
          </w:p>
        </w:tc>
        <w:tc>
          <w:tcPr>
            <w:tcW w:w="1283" w:type="dxa"/>
            <w:shd w:val="clear" w:color="auto" w:fill="auto"/>
            <w:tcMar>
              <w:top w:w="60" w:type="dxa"/>
              <w:left w:w="80" w:type="dxa"/>
              <w:bottom w:w="60" w:type="dxa"/>
              <w:right w:w="80" w:type="dxa"/>
            </w:tcMar>
            <w:vAlign w:val="center"/>
          </w:tcPr>
          <w:p w14:paraId="6D8D8B3A">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Primary model</w:t>
            </w:r>
          </w:p>
        </w:tc>
        <w:tc>
          <w:tcPr>
            <w:tcW w:w="1135" w:type="dxa"/>
            <w:shd w:val="clear" w:color="auto" w:fill="auto"/>
            <w:tcMar>
              <w:top w:w="60" w:type="dxa"/>
              <w:left w:w="80" w:type="dxa"/>
              <w:bottom w:w="60" w:type="dxa"/>
              <w:right w:w="80" w:type="dxa"/>
            </w:tcMar>
            <w:vAlign w:val="center"/>
          </w:tcPr>
          <w:p w14:paraId="40772B97">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463,102</w:t>
            </w:r>
          </w:p>
        </w:tc>
        <w:tc>
          <w:tcPr>
            <w:tcW w:w="1135" w:type="dxa"/>
            <w:shd w:val="clear" w:color="auto" w:fill="auto"/>
            <w:tcMar>
              <w:top w:w="60" w:type="dxa"/>
              <w:left w:w="80" w:type="dxa"/>
              <w:bottom w:w="60" w:type="dxa"/>
              <w:right w:w="80" w:type="dxa"/>
            </w:tcMar>
            <w:vAlign w:val="center"/>
          </w:tcPr>
          <w:p w14:paraId="68B92522">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3,002</w:t>
            </w:r>
          </w:p>
        </w:tc>
        <w:tc>
          <w:tcPr>
            <w:tcW w:w="1135" w:type="dxa"/>
            <w:shd w:val="clear" w:color="auto" w:fill="auto"/>
            <w:tcMar>
              <w:top w:w="60" w:type="dxa"/>
              <w:left w:w="80" w:type="dxa"/>
              <w:bottom w:w="60" w:type="dxa"/>
              <w:right w:w="80" w:type="dxa"/>
            </w:tcMar>
            <w:vAlign w:val="center"/>
          </w:tcPr>
          <w:p w14:paraId="71732409">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449,793</w:t>
            </w:r>
          </w:p>
        </w:tc>
        <w:tc>
          <w:tcPr>
            <w:tcW w:w="1136" w:type="dxa"/>
            <w:shd w:val="clear" w:color="auto" w:fill="auto"/>
            <w:tcMar>
              <w:top w:w="60" w:type="dxa"/>
              <w:left w:w="80" w:type="dxa"/>
              <w:bottom w:w="60" w:type="dxa"/>
              <w:right w:w="80" w:type="dxa"/>
            </w:tcMar>
            <w:vAlign w:val="center"/>
          </w:tcPr>
          <w:p w14:paraId="7E51D509">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2,853</w:t>
            </w:r>
          </w:p>
        </w:tc>
        <w:tc>
          <w:tcPr>
            <w:tcW w:w="1941" w:type="dxa"/>
            <w:shd w:val="clear" w:color="auto" w:fill="auto"/>
            <w:tcMar>
              <w:top w:w="60" w:type="dxa"/>
              <w:left w:w="80" w:type="dxa"/>
              <w:bottom w:w="60" w:type="dxa"/>
              <w:right w:w="80" w:type="dxa"/>
            </w:tcMar>
            <w:vAlign w:val="center"/>
          </w:tcPr>
          <w:p w14:paraId="15E3E6D9">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0.985 (0.978-0.992)</w:t>
            </w:r>
          </w:p>
        </w:tc>
        <w:tc>
          <w:tcPr>
            <w:tcW w:w="994" w:type="dxa"/>
            <w:shd w:val="clear" w:color="auto" w:fill="auto"/>
            <w:tcMar>
              <w:top w:w="60" w:type="dxa"/>
              <w:left w:w="80" w:type="dxa"/>
              <w:bottom w:w="60" w:type="dxa"/>
              <w:right w:w="80" w:type="dxa"/>
            </w:tcMar>
            <w:vAlign w:val="center"/>
          </w:tcPr>
          <w:p w14:paraId="3B7BDE6C">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&lt;0.001</w:t>
            </w:r>
          </w:p>
        </w:tc>
      </w:tr>
      <w:tr w14:paraId="012AEB96">
        <w:tc>
          <w:tcPr>
            <w:tcW w:w="1386" w:type="dxa"/>
            <w:shd w:val="clear" w:color="auto" w:fill="auto"/>
            <w:tcMar>
              <w:top w:w="60" w:type="dxa"/>
              <w:left w:w="80" w:type="dxa"/>
              <w:bottom w:w="60" w:type="dxa"/>
              <w:right w:w="80" w:type="dxa"/>
            </w:tcMar>
            <w:vAlign w:val="center"/>
          </w:tcPr>
          <w:p w14:paraId="077B36C9">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5-year lag</w:t>
            </w:r>
          </w:p>
        </w:tc>
        <w:tc>
          <w:tcPr>
            <w:tcW w:w="1283" w:type="dxa"/>
            <w:shd w:val="clear" w:color="auto" w:fill="auto"/>
            <w:tcMar>
              <w:top w:w="60" w:type="dxa"/>
              <w:left w:w="80" w:type="dxa"/>
              <w:bottom w:w="60" w:type="dxa"/>
              <w:right w:w="80" w:type="dxa"/>
            </w:tcMar>
            <w:vAlign w:val="center"/>
          </w:tcPr>
          <w:p w14:paraId="132AA804">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Sensitivity model</w:t>
            </w:r>
          </w:p>
        </w:tc>
        <w:tc>
          <w:tcPr>
            <w:tcW w:w="1135" w:type="dxa"/>
            <w:shd w:val="clear" w:color="auto" w:fill="auto"/>
            <w:tcMar>
              <w:top w:w="60" w:type="dxa"/>
              <w:left w:w="80" w:type="dxa"/>
              <w:bottom w:w="60" w:type="dxa"/>
              <w:right w:w="80" w:type="dxa"/>
            </w:tcMar>
            <w:vAlign w:val="center"/>
          </w:tcPr>
          <w:p w14:paraId="5BBCAFC6">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463,102</w:t>
            </w:r>
          </w:p>
        </w:tc>
        <w:tc>
          <w:tcPr>
            <w:tcW w:w="1135" w:type="dxa"/>
            <w:shd w:val="clear" w:color="auto" w:fill="auto"/>
            <w:tcMar>
              <w:top w:w="60" w:type="dxa"/>
              <w:left w:w="80" w:type="dxa"/>
              <w:bottom w:w="60" w:type="dxa"/>
              <w:right w:w="80" w:type="dxa"/>
            </w:tcMar>
            <w:vAlign w:val="center"/>
          </w:tcPr>
          <w:p w14:paraId="79D2DDD7">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3,002</w:t>
            </w:r>
          </w:p>
        </w:tc>
        <w:tc>
          <w:tcPr>
            <w:tcW w:w="1135" w:type="dxa"/>
            <w:shd w:val="clear" w:color="auto" w:fill="auto"/>
            <w:tcMar>
              <w:top w:w="60" w:type="dxa"/>
              <w:left w:w="80" w:type="dxa"/>
              <w:bottom w:w="60" w:type="dxa"/>
              <w:right w:w="80" w:type="dxa"/>
            </w:tcMar>
            <w:vAlign w:val="center"/>
          </w:tcPr>
          <w:p w14:paraId="6CB6A44A">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155,406</w:t>
            </w:r>
          </w:p>
        </w:tc>
        <w:tc>
          <w:tcPr>
            <w:tcW w:w="1136" w:type="dxa"/>
            <w:shd w:val="clear" w:color="auto" w:fill="auto"/>
            <w:tcMar>
              <w:top w:w="60" w:type="dxa"/>
              <w:left w:w="80" w:type="dxa"/>
              <w:bottom w:w="60" w:type="dxa"/>
              <w:right w:w="80" w:type="dxa"/>
            </w:tcMar>
            <w:vAlign w:val="center"/>
          </w:tcPr>
          <w:p w14:paraId="31BF98E5">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777</w:t>
            </w:r>
          </w:p>
        </w:tc>
        <w:tc>
          <w:tcPr>
            <w:tcW w:w="1941" w:type="dxa"/>
            <w:shd w:val="clear" w:color="auto" w:fill="auto"/>
            <w:tcMar>
              <w:top w:w="60" w:type="dxa"/>
              <w:left w:w="80" w:type="dxa"/>
              <w:bottom w:w="60" w:type="dxa"/>
              <w:right w:w="80" w:type="dxa"/>
            </w:tcMar>
            <w:vAlign w:val="center"/>
          </w:tcPr>
          <w:p w14:paraId="2854B77E">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0.981 (0.967-0.994)</w:t>
            </w:r>
          </w:p>
        </w:tc>
        <w:tc>
          <w:tcPr>
            <w:tcW w:w="994" w:type="dxa"/>
            <w:shd w:val="clear" w:color="auto" w:fill="auto"/>
            <w:tcMar>
              <w:top w:w="60" w:type="dxa"/>
              <w:left w:w="80" w:type="dxa"/>
              <w:bottom w:w="60" w:type="dxa"/>
              <w:right w:w="80" w:type="dxa"/>
            </w:tcMar>
            <w:vAlign w:val="center"/>
          </w:tcPr>
          <w:p w14:paraId="5C1095A0">
            <w:pPr>
              <w:spacing w:before="0"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0.005</w:t>
            </w:r>
          </w:p>
        </w:tc>
      </w:tr>
    </w:tbl>
    <w:p w14:paraId="5D815D39">
      <w:pPr>
        <w:spacing w:before="1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Participants with follow-up time less than or equal to the corresponding landmark time were excluded; follow-up time was redefined from the landmark onward. Primary model and sensitivity model used the same prespecified covariates as in the main Cox analyses.</w:t>
      </w:r>
      <w:r>
        <w:rPr>
          <w:rFonts w:hint="default" w:ascii="Times New Roman" w:hAnsi="Times New Roman" w:eastAsia="宋体" w:cs="Times New Roman"/>
          <w:color w:val="auto"/>
          <w:sz w:val="21"/>
          <w:szCs w:val="21"/>
        </w:rPr>
        <w:br w:type="page"/>
      </w:r>
    </w:p>
    <w:p w14:paraId="5949DE7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lang w:val="en-US"/>
        </w:rPr>
        <w:t>S</w:t>
      </w:r>
      <w:r>
        <w:rPr>
          <w:rFonts w:hint="default" w:ascii="Times New Roman" w:hAnsi="Times New Roman" w:eastAsia="宋体" w:cs="Times New Roman"/>
          <w:b/>
          <w:color w:val="auto"/>
          <w:sz w:val="21"/>
          <w:szCs w:val="21"/>
        </w:rPr>
        <w:t>Table 5. Association of serum IGF-1 quartiles and per 1 SD increase with incident epilepsy, including event counts, person-years, incidence rates, and 15-year cumulative incidence.</w:t>
      </w:r>
    </w:p>
    <w:tbl>
      <w:tblPr>
        <w:tblStyle w:val="7"/>
        <w:tblpPr w:leftFromText="180" w:rightFromText="180" w:vertAnchor="text" w:horzAnchor="page" w:tblpX="672" w:tblpY="351"/>
        <w:tblOverlap w:val="never"/>
        <w:tblW w:w="10940"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1"/>
        <w:gridCol w:w="911"/>
        <w:gridCol w:w="911"/>
        <w:gridCol w:w="766"/>
        <w:gridCol w:w="802"/>
        <w:gridCol w:w="1165"/>
        <w:gridCol w:w="911"/>
        <w:gridCol w:w="911"/>
        <w:gridCol w:w="911"/>
        <w:gridCol w:w="911"/>
        <w:gridCol w:w="911"/>
        <w:gridCol w:w="919"/>
      </w:tblGrid>
      <w:tr w14:paraId="2F48DE55">
        <w:trPr>
          <w:trHeight w:val="1191" w:hRule="atLeast"/>
          <w:tblHeader/>
        </w:trPr>
        <w:tc>
          <w:tcPr>
            <w:tcW w:w="911" w:type="dxa"/>
            <w:tcBorders>
              <w:bottom w:val="single" w:color="auto" w:sz="4" w:space="0"/>
            </w:tcBorders>
            <w:shd w:val="clear" w:color="auto" w:fill="auto"/>
            <w:tcMar>
              <w:top w:w="60" w:type="dxa"/>
              <w:left w:w="80" w:type="dxa"/>
              <w:bottom w:w="60" w:type="dxa"/>
              <w:right w:w="80" w:type="dxa"/>
            </w:tcMar>
            <w:vAlign w:val="center"/>
          </w:tcPr>
          <w:p w14:paraId="5BC71308">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IGF-1 category</w:t>
            </w:r>
          </w:p>
        </w:tc>
        <w:tc>
          <w:tcPr>
            <w:tcW w:w="911" w:type="dxa"/>
            <w:tcBorders>
              <w:bottom w:val="single" w:color="auto" w:sz="4" w:space="0"/>
            </w:tcBorders>
            <w:shd w:val="clear" w:color="auto" w:fill="auto"/>
            <w:tcMar>
              <w:top w:w="60" w:type="dxa"/>
              <w:left w:w="80" w:type="dxa"/>
              <w:bottom w:w="60" w:type="dxa"/>
              <w:right w:w="80" w:type="dxa"/>
            </w:tcMar>
            <w:vAlign w:val="center"/>
          </w:tcPr>
          <w:p w14:paraId="11274656">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Median IGF-1 (nmol/L)</w:t>
            </w:r>
          </w:p>
        </w:tc>
        <w:tc>
          <w:tcPr>
            <w:tcW w:w="911" w:type="dxa"/>
            <w:tcBorders>
              <w:bottom w:val="single" w:color="auto" w:sz="4" w:space="0"/>
            </w:tcBorders>
            <w:shd w:val="clear" w:color="auto" w:fill="auto"/>
            <w:tcMar>
              <w:top w:w="60" w:type="dxa"/>
              <w:left w:w="80" w:type="dxa"/>
              <w:bottom w:w="60" w:type="dxa"/>
              <w:right w:w="80" w:type="dxa"/>
            </w:tcMar>
            <w:vAlign w:val="center"/>
          </w:tcPr>
          <w:p w14:paraId="1F6FE72F">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Range (nmol/L)</w:t>
            </w:r>
          </w:p>
        </w:tc>
        <w:tc>
          <w:tcPr>
            <w:tcW w:w="766" w:type="dxa"/>
            <w:tcBorders>
              <w:bottom w:val="single" w:color="auto" w:sz="4" w:space="0"/>
            </w:tcBorders>
            <w:shd w:val="clear" w:color="auto" w:fill="auto"/>
            <w:tcMar>
              <w:top w:w="60" w:type="dxa"/>
              <w:left w:w="80" w:type="dxa"/>
              <w:bottom w:w="60" w:type="dxa"/>
              <w:right w:w="80" w:type="dxa"/>
            </w:tcMar>
            <w:vAlign w:val="center"/>
          </w:tcPr>
          <w:p w14:paraId="3F910958">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N</w:t>
            </w:r>
          </w:p>
        </w:tc>
        <w:tc>
          <w:tcPr>
            <w:tcW w:w="802" w:type="dxa"/>
            <w:tcBorders>
              <w:bottom w:val="single" w:color="auto" w:sz="4" w:space="0"/>
            </w:tcBorders>
            <w:shd w:val="clear" w:color="auto" w:fill="auto"/>
            <w:tcMar>
              <w:top w:w="60" w:type="dxa"/>
              <w:left w:w="80" w:type="dxa"/>
              <w:bottom w:w="60" w:type="dxa"/>
              <w:right w:w="80" w:type="dxa"/>
            </w:tcMar>
            <w:vAlign w:val="center"/>
          </w:tcPr>
          <w:p w14:paraId="39D69FEE">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Events</w:t>
            </w:r>
          </w:p>
        </w:tc>
        <w:tc>
          <w:tcPr>
            <w:tcW w:w="1165" w:type="dxa"/>
            <w:tcBorders>
              <w:bottom w:val="single" w:color="auto" w:sz="4" w:space="0"/>
            </w:tcBorders>
            <w:shd w:val="clear" w:color="auto" w:fill="auto"/>
            <w:tcMar>
              <w:top w:w="60" w:type="dxa"/>
              <w:left w:w="80" w:type="dxa"/>
              <w:bottom w:w="60" w:type="dxa"/>
              <w:right w:w="80" w:type="dxa"/>
            </w:tcMar>
            <w:vAlign w:val="center"/>
          </w:tcPr>
          <w:p w14:paraId="44356DF0">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Person-years</w:t>
            </w:r>
          </w:p>
        </w:tc>
        <w:tc>
          <w:tcPr>
            <w:tcW w:w="911" w:type="dxa"/>
            <w:tcBorders>
              <w:bottom w:val="single" w:color="auto" w:sz="4" w:space="0"/>
            </w:tcBorders>
            <w:shd w:val="clear" w:color="auto" w:fill="auto"/>
            <w:tcMar>
              <w:top w:w="60" w:type="dxa"/>
              <w:left w:w="80" w:type="dxa"/>
              <w:bottom w:w="60" w:type="dxa"/>
              <w:right w:w="80" w:type="dxa"/>
            </w:tcMar>
            <w:vAlign w:val="center"/>
          </w:tcPr>
          <w:p w14:paraId="225FB30D">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Incidence rate per 1,000 PY</w:t>
            </w:r>
          </w:p>
        </w:tc>
        <w:tc>
          <w:tcPr>
            <w:tcW w:w="911" w:type="dxa"/>
            <w:tcBorders>
              <w:bottom w:val="single" w:color="auto" w:sz="4" w:space="0"/>
            </w:tcBorders>
            <w:shd w:val="clear" w:color="auto" w:fill="auto"/>
            <w:tcMar>
              <w:top w:w="60" w:type="dxa"/>
              <w:left w:w="80" w:type="dxa"/>
              <w:bottom w:w="60" w:type="dxa"/>
              <w:right w:w="80" w:type="dxa"/>
            </w:tcMar>
            <w:vAlign w:val="center"/>
          </w:tcPr>
          <w:p w14:paraId="6D5AE516">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15-year cumulative incidence</w:t>
            </w:r>
          </w:p>
        </w:tc>
        <w:tc>
          <w:tcPr>
            <w:tcW w:w="911" w:type="dxa"/>
            <w:tcBorders>
              <w:bottom w:val="single" w:color="auto" w:sz="4" w:space="0"/>
            </w:tcBorders>
            <w:shd w:val="clear" w:color="auto" w:fill="auto"/>
            <w:tcMar>
              <w:top w:w="60" w:type="dxa"/>
              <w:left w:w="80" w:type="dxa"/>
              <w:bottom w:w="60" w:type="dxa"/>
              <w:right w:w="80" w:type="dxa"/>
            </w:tcMar>
            <w:vAlign w:val="center"/>
          </w:tcPr>
          <w:p w14:paraId="5888AAD3">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Primary model HR (95% CI)</w:t>
            </w:r>
          </w:p>
        </w:tc>
        <w:tc>
          <w:tcPr>
            <w:tcW w:w="911" w:type="dxa"/>
            <w:tcBorders>
              <w:bottom w:val="single" w:color="auto" w:sz="4" w:space="0"/>
            </w:tcBorders>
            <w:shd w:val="clear" w:color="auto" w:fill="auto"/>
            <w:tcMar>
              <w:top w:w="60" w:type="dxa"/>
              <w:left w:w="80" w:type="dxa"/>
              <w:bottom w:w="60" w:type="dxa"/>
              <w:right w:w="80" w:type="dxa"/>
            </w:tcMar>
            <w:vAlign w:val="center"/>
          </w:tcPr>
          <w:p w14:paraId="51F104BF">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Primary</w:t>
            </w:r>
            <w:r>
              <w:rPr>
                <w:rFonts w:hint="default" w:ascii="Times New Roman" w:hAnsi="Times New Roman" w:eastAsia="宋体" w:cs="Times New Roman"/>
                <w:b/>
                <w:color w:val="auto"/>
                <w:sz w:val="18"/>
                <w:szCs w:val="18"/>
                <w:lang w:val="en-US" w:eastAsia="zh-CN"/>
              </w:rPr>
              <w:t xml:space="preserve"> </w:t>
            </w:r>
            <w:r>
              <w:rPr>
                <w:rFonts w:hint="default" w:ascii="Times New Roman Bold Italic" w:hAnsi="Times New Roman Bold Italic" w:eastAsia="宋体" w:cs="Times New Roman Bold Italic"/>
                <w:b/>
                <w:i/>
                <w:iCs/>
                <w:color w:val="auto"/>
                <w:sz w:val="18"/>
                <w:szCs w:val="18"/>
              </w:rPr>
              <w:t>P</w:t>
            </w:r>
          </w:p>
        </w:tc>
        <w:tc>
          <w:tcPr>
            <w:tcW w:w="911" w:type="dxa"/>
            <w:tcBorders>
              <w:bottom w:val="single" w:color="auto" w:sz="4" w:space="0"/>
            </w:tcBorders>
            <w:shd w:val="clear" w:color="auto" w:fill="auto"/>
            <w:tcMar>
              <w:top w:w="60" w:type="dxa"/>
              <w:left w:w="80" w:type="dxa"/>
              <w:bottom w:w="60" w:type="dxa"/>
              <w:right w:w="80" w:type="dxa"/>
            </w:tcMar>
            <w:vAlign w:val="center"/>
          </w:tcPr>
          <w:p w14:paraId="7AC9DCAD">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Sensitivity model HR (95% CI)</w:t>
            </w:r>
          </w:p>
        </w:tc>
        <w:tc>
          <w:tcPr>
            <w:tcW w:w="919" w:type="dxa"/>
            <w:tcBorders>
              <w:bottom w:val="single" w:color="auto" w:sz="4" w:space="0"/>
            </w:tcBorders>
            <w:shd w:val="clear" w:color="auto" w:fill="auto"/>
            <w:tcMar>
              <w:top w:w="60" w:type="dxa"/>
              <w:left w:w="80" w:type="dxa"/>
              <w:bottom w:w="60" w:type="dxa"/>
              <w:right w:w="80" w:type="dxa"/>
            </w:tcMar>
            <w:vAlign w:val="center"/>
          </w:tcPr>
          <w:p w14:paraId="2478F066">
            <w:pPr>
              <w:spacing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color w:val="auto"/>
                <w:sz w:val="18"/>
                <w:szCs w:val="18"/>
              </w:rPr>
              <w:t xml:space="preserve">Sensitivity </w:t>
            </w:r>
            <w:r>
              <w:rPr>
                <w:rFonts w:hint="default" w:ascii="Times New Roman Bold Italic" w:hAnsi="Times New Roman Bold Italic" w:eastAsia="宋体" w:cs="Times New Roman Bold Italic"/>
                <w:b/>
                <w:i/>
                <w:iCs/>
                <w:color w:val="auto"/>
                <w:sz w:val="18"/>
                <w:szCs w:val="18"/>
              </w:rPr>
              <w:t>P</w:t>
            </w:r>
          </w:p>
        </w:tc>
      </w:tr>
      <w:tr w14:paraId="0A843DF7">
        <w:trPr>
          <w:trHeight w:val="1191" w:hRule="atLeast"/>
        </w:trPr>
        <w:tc>
          <w:tcPr>
            <w:tcW w:w="911" w:type="dxa"/>
            <w:tcBorders>
              <w:top w:val="single" w:color="auto" w:sz="4" w:space="0"/>
            </w:tcBorders>
            <w:shd w:val="clear" w:color="auto" w:fill="auto"/>
            <w:tcMar>
              <w:top w:w="60" w:type="dxa"/>
              <w:left w:w="80" w:type="dxa"/>
              <w:bottom w:w="60" w:type="dxa"/>
              <w:right w:w="80" w:type="dxa"/>
            </w:tcMar>
            <w:vAlign w:val="center"/>
          </w:tcPr>
          <w:p w14:paraId="3B9BD263">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Q1 (reference)</w:t>
            </w:r>
          </w:p>
        </w:tc>
        <w:tc>
          <w:tcPr>
            <w:tcW w:w="911" w:type="dxa"/>
            <w:tcBorders>
              <w:top w:val="single" w:color="auto" w:sz="4" w:space="0"/>
            </w:tcBorders>
            <w:shd w:val="clear" w:color="auto" w:fill="auto"/>
            <w:tcMar>
              <w:top w:w="60" w:type="dxa"/>
              <w:left w:w="80" w:type="dxa"/>
              <w:bottom w:w="60" w:type="dxa"/>
              <w:right w:w="80" w:type="dxa"/>
            </w:tcMar>
            <w:vAlign w:val="center"/>
          </w:tcPr>
          <w:p w14:paraId="4E0C9021">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15.02</w:t>
            </w:r>
          </w:p>
        </w:tc>
        <w:tc>
          <w:tcPr>
            <w:tcW w:w="911" w:type="dxa"/>
            <w:tcBorders>
              <w:top w:val="single" w:color="auto" w:sz="4" w:space="0"/>
            </w:tcBorders>
            <w:shd w:val="clear" w:color="auto" w:fill="auto"/>
            <w:tcMar>
              <w:top w:w="60" w:type="dxa"/>
              <w:left w:w="80" w:type="dxa"/>
              <w:bottom w:w="60" w:type="dxa"/>
              <w:right w:w="80" w:type="dxa"/>
            </w:tcMar>
            <w:vAlign w:val="center"/>
          </w:tcPr>
          <w:p w14:paraId="7B91F75E">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1.45–17.53</w:t>
            </w:r>
          </w:p>
        </w:tc>
        <w:tc>
          <w:tcPr>
            <w:tcW w:w="766" w:type="dxa"/>
            <w:tcBorders>
              <w:top w:val="single" w:color="auto" w:sz="4" w:space="0"/>
            </w:tcBorders>
            <w:shd w:val="clear" w:color="auto" w:fill="auto"/>
            <w:tcMar>
              <w:top w:w="60" w:type="dxa"/>
              <w:left w:w="80" w:type="dxa"/>
              <w:bottom w:w="60" w:type="dxa"/>
              <w:right w:w="80" w:type="dxa"/>
            </w:tcMar>
            <w:vAlign w:val="center"/>
          </w:tcPr>
          <w:p w14:paraId="7D983398">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116,171</w:t>
            </w:r>
          </w:p>
        </w:tc>
        <w:tc>
          <w:tcPr>
            <w:tcW w:w="802" w:type="dxa"/>
            <w:tcBorders>
              <w:top w:val="single" w:color="auto" w:sz="4" w:space="0"/>
            </w:tcBorders>
            <w:shd w:val="clear" w:color="auto" w:fill="auto"/>
            <w:tcMar>
              <w:top w:w="60" w:type="dxa"/>
              <w:left w:w="80" w:type="dxa"/>
              <w:bottom w:w="60" w:type="dxa"/>
              <w:right w:w="80" w:type="dxa"/>
            </w:tcMar>
            <w:vAlign w:val="center"/>
          </w:tcPr>
          <w:p w14:paraId="158F6470">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1,490</w:t>
            </w:r>
          </w:p>
        </w:tc>
        <w:tc>
          <w:tcPr>
            <w:tcW w:w="1165" w:type="dxa"/>
            <w:tcBorders>
              <w:top w:val="single" w:color="auto" w:sz="4" w:space="0"/>
            </w:tcBorders>
            <w:shd w:val="clear" w:color="auto" w:fill="auto"/>
            <w:tcMar>
              <w:top w:w="60" w:type="dxa"/>
              <w:left w:w="80" w:type="dxa"/>
              <w:bottom w:w="60" w:type="dxa"/>
              <w:right w:w="80" w:type="dxa"/>
            </w:tcMar>
            <w:vAlign w:val="center"/>
          </w:tcPr>
          <w:p w14:paraId="25E85DFE">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1,589,599.3</w:t>
            </w:r>
          </w:p>
        </w:tc>
        <w:tc>
          <w:tcPr>
            <w:tcW w:w="911" w:type="dxa"/>
            <w:tcBorders>
              <w:top w:val="single" w:color="auto" w:sz="4" w:space="0"/>
            </w:tcBorders>
            <w:shd w:val="clear" w:color="auto" w:fill="auto"/>
            <w:tcMar>
              <w:top w:w="60" w:type="dxa"/>
              <w:left w:w="80" w:type="dxa"/>
              <w:bottom w:w="60" w:type="dxa"/>
              <w:right w:w="80" w:type="dxa"/>
            </w:tcMar>
            <w:vAlign w:val="center"/>
          </w:tcPr>
          <w:p w14:paraId="6DFC684E">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0.937</w:t>
            </w:r>
          </w:p>
        </w:tc>
        <w:tc>
          <w:tcPr>
            <w:tcW w:w="911" w:type="dxa"/>
            <w:tcBorders>
              <w:top w:val="single" w:color="auto" w:sz="4" w:space="0"/>
            </w:tcBorders>
            <w:shd w:val="clear" w:color="auto" w:fill="auto"/>
            <w:tcMar>
              <w:top w:w="60" w:type="dxa"/>
              <w:left w:w="80" w:type="dxa"/>
              <w:bottom w:w="60" w:type="dxa"/>
              <w:right w:w="80" w:type="dxa"/>
            </w:tcMar>
            <w:vAlign w:val="center"/>
          </w:tcPr>
          <w:p w14:paraId="5B7D9CE4">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1.382%</w:t>
            </w:r>
          </w:p>
        </w:tc>
        <w:tc>
          <w:tcPr>
            <w:tcW w:w="911" w:type="dxa"/>
            <w:tcBorders>
              <w:top w:val="single" w:color="auto" w:sz="4" w:space="0"/>
            </w:tcBorders>
            <w:shd w:val="clear" w:color="auto" w:fill="auto"/>
            <w:tcMar>
              <w:top w:w="60" w:type="dxa"/>
              <w:left w:w="80" w:type="dxa"/>
              <w:bottom w:w="60" w:type="dxa"/>
              <w:right w:w="80" w:type="dxa"/>
            </w:tcMar>
            <w:vAlign w:val="center"/>
          </w:tcPr>
          <w:p w14:paraId="175652AD">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1.00 (reference)</w:t>
            </w:r>
          </w:p>
        </w:tc>
        <w:tc>
          <w:tcPr>
            <w:tcW w:w="911" w:type="dxa"/>
            <w:tcBorders>
              <w:top w:val="single" w:color="auto" w:sz="4" w:space="0"/>
            </w:tcBorders>
            <w:shd w:val="clear" w:color="auto" w:fill="auto"/>
            <w:tcMar>
              <w:top w:w="60" w:type="dxa"/>
              <w:left w:w="80" w:type="dxa"/>
              <w:bottom w:w="60" w:type="dxa"/>
              <w:right w:w="80" w:type="dxa"/>
            </w:tcMar>
            <w:vAlign w:val="center"/>
          </w:tcPr>
          <w:p w14:paraId="25887C81">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w:t>
            </w:r>
          </w:p>
        </w:tc>
        <w:tc>
          <w:tcPr>
            <w:tcW w:w="911" w:type="dxa"/>
            <w:tcBorders>
              <w:top w:val="single" w:color="auto" w:sz="4" w:space="0"/>
            </w:tcBorders>
            <w:shd w:val="clear" w:color="auto" w:fill="auto"/>
            <w:tcMar>
              <w:top w:w="60" w:type="dxa"/>
              <w:left w:w="80" w:type="dxa"/>
              <w:bottom w:w="60" w:type="dxa"/>
              <w:right w:w="80" w:type="dxa"/>
            </w:tcMar>
            <w:vAlign w:val="center"/>
          </w:tcPr>
          <w:p w14:paraId="1624272F">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1.00 (reference)</w:t>
            </w:r>
          </w:p>
        </w:tc>
        <w:tc>
          <w:tcPr>
            <w:tcW w:w="919" w:type="dxa"/>
            <w:tcBorders>
              <w:top w:val="single" w:color="auto" w:sz="4" w:space="0"/>
            </w:tcBorders>
            <w:shd w:val="clear" w:color="auto" w:fill="auto"/>
            <w:tcMar>
              <w:top w:w="60" w:type="dxa"/>
              <w:left w:w="80" w:type="dxa"/>
              <w:bottom w:w="60" w:type="dxa"/>
              <w:right w:w="80" w:type="dxa"/>
            </w:tcMar>
            <w:vAlign w:val="center"/>
          </w:tcPr>
          <w:p w14:paraId="52B7FB3D">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w:t>
            </w:r>
          </w:p>
        </w:tc>
      </w:tr>
      <w:tr w14:paraId="4B3A9EAE">
        <w:trPr>
          <w:trHeight w:val="1191" w:hRule="atLeast"/>
        </w:trPr>
        <w:tc>
          <w:tcPr>
            <w:tcW w:w="911" w:type="dxa"/>
            <w:shd w:val="clear" w:color="auto" w:fill="auto"/>
            <w:tcMar>
              <w:top w:w="60" w:type="dxa"/>
              <w:left w:w="80" w:type="dxa"/>
              <w:bottom w:w="60" w:type="dxa"/>
              <w:right w:w="80" w:type="dxa"/>
            </w:tcMar>
            <w:vAlign w:val="center"/>
          </w:tcPr>
          <w:p w14:paraId="39C7A3CF">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Q2</w:t>
            </w:r>
          </w:p>
        </w:tc>
        <w:tc>
          <w:tcPr>
            <w:tcW w:w="911" w:type="dxa"/>
            <w:shd w:val="clear" w:color="auto" w:fill="auto"/>
            <w:tcMar>
              <w:top w:w="60" w:type="dxa"/>
              <w:left w:w="80" w:type="dxa"/>
              <w:bottom w:w="60" w:type="dxa"/>
              <w:right w:w="80" w:type="dxa"/>
            </w:tcMar>
            <w:vAlign w:val="center"/>
          </w:tcPr>
          <w:p w14:paraId="3D2690C1">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19.50</w:t>
            </w:r>
          </w:p>
        </w:tc>
        <w:tc>
          <w:tcPr>
            <w:tcW w:w="911" w:type="dxa"/>
            <w:shd w:val="clear" w:color="auto" w:fill="auto"/>
            <w:tcMar>
              <w:top w:w="60" w:type="dxa"/>
              <w:left w:w="80" w:type="dxa"/>
              <w:bottom w:w="60" w:type="dxa"/>
              <w:right w:w="80" w:type="dxa"/>
            </w:tcMar>
            <w:vAlign w:val="center"/>
          </w:tcPr>
          <w:p w14:paraId="4BC8AC85">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17.53–21.25</w:t>
            </w:r>
          </w:p>
        </w:tc>
        <w:tc>
          <w:tcPr>
            <w:tcW w:w="766" w:type="dxa"/>
            <w:shd w:val="clear" w:color="auto" w:fill="auto"/>
            <w:tcMar>
              <w:top w:w="60" w:type="dxa"/>
              <w:left w:w="80" w:type="dxa"/>
              <w:bottom w:w="60" w:type="dxa"/>
              <w:right w:w="80" w:type="dxa"/>
            </w:tcMar>
            <w:vAlign w:val="center"/>
          </w:tcPr>
          <w:p w14:paraId="2157557C">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116,145</w:t>
            </w:r>
          </w:p>
        </w:tc>
        <w:tc>
          <w:tcPr>
            <w:tcW w:w="802" w:type="dxa"/>
            <w:shd w:val="clear" w:color="auto" w:fill="auto"/>
            <w:tcMar>
              <w:top w:w="60" w:type="dxa"/>
              <w:left w:w="80" w:type="dxa"/>
              <w:bottom w:w="60" w:type="dxa"/>
              <w:right w:w="80" w:type="dxa"/>
            </w:tcMar>
            <w:vAlign w:val="center"/>
          </w:tcPr>
          <w:p w14:paraId="36821A8A">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1,093</w:t>
            </w:r>
          </w:p>
        </w:tc>
        <w:tc>
          <w:tcPr>
            <w:tcW w:w="1165" w:type="dxa"/>
            <w:shd w:val="clear" w:color="auto" w:fill="auto"/>
            <w:tcMar>
              <w:top w:w="60" w:type="dxa"/>
              <w:left w:w="80" w:type="dxa"/>
              <w:bottom w:w="60" w:type="dxa"/>
              <w:right w:w="80" w:type="dxa"/>
            </w:tcMar>
            <w:vAlign w:val="center"/>
          </w:tcPr>
          <w:p w14:paraId="1A65A032">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1,591,332.3</w:t>
            </w:r>
          </w:p>
        </w:tc>
        <w:tc>
          <w:tcPr>
            <w:tcW w:w="911" w:type="dxa"/>
            <w:shd w:val="clear" w:color="auto" w:fill="auto"/>
            <w:tcMar>
              <w:top w:w="60" w:type="dxa"/>
              <w:left w:w="80" w:type="dxa"/>
              <w:bottom w:w="60" w:type="dxa"/>
              <w:right w:w="80" w:type="dxa"/>
            </w:tcMar>
            <w:vAlign w:val="center"/>
          </w:tcPr>
          <w:p w14:paraId="2106C510">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0.687</w:t>
            </w:r>
          </w:p>
        </w:tc>
        <w:tc>
          <w:tcPr>
            <w:tcW w:w="911" w:type="dxa"/>
            <w:shd w:val="clear" w:color="auto" w:fill="auto"/>
            <w:tcMar>
              <w:top w:w="60" w:type="dxa"/>
              <w:left w:w="80" w:type="dxa"/>
              <w:bottom w:w="60" w:type="dxa"/>
              <w:right w:w="80" w:type="dxa"/>
            </w:tcMar>
            <w:vAlign w:val="center"/>
          </w:tcPr>
          <w:p w14:paraId="73EA0897">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1.000%</w:t>
            </w:r>
          </w:p>
        </w:tc>
        <w:tc>
          <w:tcPr>
            <w:tcW w:w="911" w:type="dxa"/>
            <w:shd w:val="clear" w:color="auto" w:fill="auto"/>
            <w:tcMar>
              <w:top w:w="60" w:type="dxa"/>
              <w:left w:w="80" w:type="dxa"/>
              <w:bottom w:w="60" w:type="dxa"/>
              <w:right w:w="80" w:type="dxa"/>
            </w:tcMar>
            <w:vAlign w:val="center"/>
          </w:tcPr>
          <w:p w14:paraId="4121BF3C">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0.783 (0.722–0.849)</w:t>
            </w:r>
          </w:p>
        </w:tc>
        <w:tc>
          <w:tcPr>
            <w:tcW w:w="911" w:type="dxa"/>
            <w:shd w:val="clear" w:color="auto" w:fill="auto"/>
            <w:tcMar>
              <w:top w:w="60" w:type="dxa"/>
              <w:left w:w="80" w:type="dxa"/>
              <w:bottom w:w="60" w:type="dxa"/>
              <w:right w:w="80" w:type="dxa"/>
            </w:tcMar>
            <w:vAlign w:val="center"/>
          </w:tcPr>
          <w:p w14:paraId="2821961E">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11" w:type="dxa"/>
            <w:shd w:val="clear" w:color="auto" w:fill="auto"/>
            <w:tcMar>
              <w:top w:w="60" w:type="dxa"/>
              <w:left w:w="80" w:type="dxa"/>
              <w:bottom w:w="60" w:type="dxa"/>
              <w:right w:w="80" w:type="dxa"/>
            </w:tcMar>
            <w:vAlign w:val="center"/>
          </w:tcPr>
          <w:p w14:paraId="6AB9C2A2">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0.733 (0.618–0.869)</w:t>
            </w:r>
          </w:p>
        </w:tc>
        <w:tc>
          <w:tcPr>
            <w:tcW w:w="919" w:type="dxa"/>
            <w:shd w:val="clear" w:color="auto" w:fill="auto"/>
            <w:tcMar>
              <w:top w:w="60" w:type="dxa"/>
              <w:left w:w="80" w:type="dxa"/>
              <w:bottom w:w="60" w:type="dxa"/>
              <w:right w:w="80" w:type="dxa"/>
            </w:tcMar>
            <w:vAlign w:val="center"/>
          </w:tcPr>
          <w:p w14:paraId="5C44F7E1">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17C778F2">
        <w:trPr>
          <w:trHeight w:val="1191" w:hRule="atLeast"/>
        </w:trPr>
        <w:tc>
          <w:tcPr>
            <w:tcW w:w="911" w:type="dxa"/>
            <w:shd w:val="clear" w:color="auto" w:fill="auto"/>
            <w:tcMar>
              <w:top w:w="60" w:type="dxa"/>
              <w:left w:w="80" w:type="dxa"/>
              <w:bottom w:w="60" w:type="dxa"/>
              <w:right w:w="80" w:type="dxa"/>
            </w:tcMar>
            <w:vAlign w:val="center"/>
          </w:tcPr>
          <w:p w14:paraId="7E6A69EF">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Q3</w:t>
            </w:r>
          </w:p>
        </w:tc>
        <w:tc>
          <w:tcPr>
            <w:tcW w:w="911" w:type="dxa"/>
            <w:shd w:val="clear" w:color="auto" w:fill="auto"/>
            <w:tcMar>
              <w:top w:w="60" w:type="dxa"/>
              <w:left w:w="80" w:type="dxa"/>
              <w:bottom w:w="60" w:type="dxa"/>
              <w:right w:w="80" w:type="dxa"/>
            </w:tcMar>
            <w:vAlign w:val="center"/>
          </w:tcPr>
          <w:p w14:paraId="311CAE9E">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22.93</w:t>
            </w:r>
          </w:p>
        </w:tc>
        <w:tc>
          <w:tcPr>
            <w:tcW w:w="911" w:type="dxa"/>
            <w:shd w:val="clear" w:color="auto" w:fill="auto"/>
            <w:tcMar>
              <w:top w:w="60" w:type="dxa"/>
              <w:left w:w="80" w:type="dxa"/>
              <w:bottom w:w="60" w:type="dxa"/>
              <w:right w:w="80" w:type="dxa"/>
            </w:tcMar>
            <w:vAlign w:val="center"/>
          </w:tcPr>
          <w:p w14:paraId="62AB40A6">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21.25–24.82</w:t>
            </w:r>
          </w:p>
        </w:tc>
        <w:tc>
          <w:tcPr>
            <w:tcW w:w="766" w:type="dxa"/>
            <w:shd w:val="clear" w:color="auto" w:fill="auto"/>
            <w:tcMar>
              <w:top w:w="60" w:type="dxa"/>
              <w:left w:w="80" w:type="dxa"/>
              <w:bottom w:w="60" w:type="dxa"/>
              <w:right w:w="80" w:type="dxa"/>
            </w:tcMar>
            <w:vAlign w:val="center"/>
          </w:tcPr>
          <w:p w14:paraId="660439E1">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116,159</w:t>
            </w:r>
          </w:p>
        </w:tc>
        <w:tc>
          <w:tcPr>
            <w:tcW w:w="802" w:type="dxa"/>
            <w:shd w:val="clear" w:color="auto" w:fill="auto"/>
            <w:tcMar>
              <w:top w:w="60" w:type="dxa"/>
              <w:left w:w="80" w:type="dxa"/>
              <w:bottom w:w="60" w:type="dxa"/>
              <w:right w:w="80" w:type="dxa"/>
            </w:tcMar>
            <w:vAlign w:val="center"/>
          </w:tcPr>
          <w:p w14:paraId="2BAD912C">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989</w:t>
            </w:r>
          </w:p>
        </w:tc>
        <w:tc>
          <w:tcPr>
            <w:tcW w:w="1165" w:type="dxa"/>
            <w:shd w:val="clear" w:color="auto" w:fill="auto"/>
            <w:tcMar>
              <w:top w:w="60" w:type="dxa"/>
              <w:left w:w="80" w:type="dxa"/>
              <w:bottom w:w="60" w:type="dxa"/>
              <w:right w:w="80" w:type="dxa"/>
            </w:tcMar>
            <w:vAlign w:val="center"/>
          </w:tcPr>
          <w:p w14:paraId="71E49FB3">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1,591,431.0</w:t>
            </w:r>
          </w:p>
        </w:tc>
        <w:tc>
          <w:tcPr>
            <w:tcW w:w="911" w:type="dxa"/>
            <w:shd w:val="clear" w:color="auto" w:fill="auto"/>
            <w:tcMar>
              <w:top w:w="60" w:type="dxa"/>
              <w:left w:w="80" w:type="dxa"/>
              <w:bottom w:w="60" w:type="dxa"/>
              <w:right w:w="80" w:type="dxa"/>
            </w:tcMar>
            <w:vAlign w:val="center"/>
          </w:tcPr>
          <w:p w14:paraId="43741C17">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0.621</w:t>
            </w:r>
          </w:p>
        </w:tc>
        <w:tc>
          <w:tcPr>
            <w:tcW w:w="911" w:type="dxa"/>
            <w:shd w:val="clear" w:color="auto" w:fill="auto"/>
            <w:tcMar>
              <w:top w:w="60" w:type="dxa"/>
              <w:left w:w="80" w:type="dxa"/>
              <w:bottom w:w="60" w:type="dxa"/>
              <w:right w:w="80" w:type="dxa"/>
            </w:tcMar>
            <w:vAlign w:val="center"/>
          </w:tcPr>
          <w:p w14:paraId="38082A84">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0.904%</w:t>
            </w:r>
          </w:p>
        </w:tc>
        <w:tc>
          <w:tcPr>
            <w:tcW w:w="911" w:type="dxa"/>
            <w:shd w:val="clear" w:color="auto" w:fill="auto"/>
            <w:tcMar>
              <w:top w:w="60" w:type="dxa"/>
              <w:left w:w="80" w:type="dxa"/>
              <w:bottom w:w="60" w:type="dxa"/>
              <w:right w:w="80" w:type="dxa"/>
            </w:tcMar>
            <w:vAlign w:val="center"/>
          </w:tcPr>
          <w:p w14:paraId="1F7CD34F">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0.737 (0.677–0.802)</w:t>
            </w:r>
          </w:p>
        </w:tc>
        <w:tc>
          <w:tcPr>
            <w:tcW w:w="911" w:type="dxa"/>
            <w:shd w:val="clear" w:color="auto" w:fill="auto"/>
            <w:tcMar>
              <w:top w:w="60" w:type="dxa"/>
              <w:left w:w="80" w:type="dxa"/>
              <w:bottom w:w="60" w:type="dxa"/>
              <w:right w:w="80" w:type="dxa"/>
            </w:tcMar>
            <w:vAlign w:val="center"/>
          </w:tcPr>
          <w:p w14:paraId="2D74DCCF">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11" w:type="dxa"/>
            <w:shd w:val="clear" w:color="auto" w:fill="auto"/>
            <w:tcMar>
              <w:top w:w="60" w:type="dxa"/>
              <w:left w:w="80" w:type="dxa"/>
              <w:bottom w:w="60" w:type="dxa"/>
              <w:right w:w="80" w:type="dxa"/>
            </w:tcMar>
            <w:vAlign w:val="center"/>
          </w:tcPr>
          <w:p w14:paraId="2B316597">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0.744 (0.629–0.880)</w:t>
            </w:r>
          </w:p>
        </w:tc>
        <w:tc>
          <w:tcPr>
            <w:tcW w:w="919" w:type="dxa"/>
            <w:shd w:val="clear" w:color="auto" w:fill="auto"/>
            <w:tcMar>
              <w:top w:w="60" w:type="dxa"/>
              <w:left w:w="80" w:type="dxa"/>
              <w:bottom w:w="60" w:type="dxa"/>
              <w:right w:w="80" w:type="dxa"/>
            </w:tcMar>
            <w:vAlign w:val="center"/>
          </w:tcPr>
          <w:p w14:paraId="026A3445">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60EE9761">
        <w:trPr>
          <w:trHeight w:val="1191" w:hRule="atLeast"/>
        </w:trPr>
        <w:tc>
          <w:tcPr>
            <w:tcW w:w="911" w:type="dxa"/>
            <w:shd w:val="clear" w:color="auto" w:fill="auto"/>
            <w:tcMar>
              <w:top w:w="60" w:type="dxa"/>
              <w:left w:w="80" w:type="dxa"/>
              <w:bottom w:w="60" w:type="dxa"/>
              <w:right w:w="80" w:type="dxa"/>
            </w:tcMar>
            <w:vAlign w:val="center"/>
          </w:tcPr>
          <w:p w14:paraId="3C12D93F">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Q4</w:t>
            </w:r>
          </w:p>
        </w:tc>
        <w:tc>
          <w:tcPr>
            <w:tcW w:w="911" w:type="dxa"/>
            <w:shd w:val="clear" w:color="auto" w:fill="auto"/>
            <w:tcMar>
              <w:top w:w="60" w:type="dxa"/>
              <w:left w:w="80" w:type="dxa"/>
              <w:bottom w:w="60" w:type="dxa"/>
              <w:right w:w="80" w:type="dxa"/>
            </w:tcMar>
            <w:vAlign w:val="center"/>
          </w:tcPr>
          <w:p w14:paraId="603A6873">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27.59</w:t>
            </w:r>
          </w:p>
        </w:tc>
        <w:tc>
          <w:tcPr>
            <w:tcW w:w="911" w:type="dxa"/>
            <w:shd w:val="clear" w:color="auto" w:fill="auto"/>
            <w:tcMar>
              <w:top w:w="60" w:type="dxa"/>
              <w:left w:w="80" w:type="dxa"/>
              <w:bottom w:w="60" w:type="dxa"/>
              <w:right w:w="80" w:type="dxa"/>
            </w:tcMar>
            <w:vAlign w:val="center"/>
          </w:tcPr>
          <w:p w14:paraId="5D2AA2CC">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24.83–126.77</w:t>
            </w:r>
          </w:p>
        </w:tc>
        <w:tc>
          <w:tcPr>
            <w:tcW w:w="766" w:type="dxa"/>
            <w:shd w:val="clear" w:color="auto" w:fill="auto"/>
            <w:tcMar>
              <w:top w:w="60" w:type="dxa"/>
              <w:left w:w="80" w:type="dxa"/>
              <w:bottom w:w="60" w:type="dxa"/>
              <w:right w:w="80" w:type="dxa"/>
            </w:tcMar>
            <w:vAlign w:val="center"/>
          </w:tcPr>
          <w:p w14:paraId="4390417E">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116,157</w:t>
            </w:r>
          </w:p>
        </w:tc>
        <w:tc>
          <w:tcPr>
            <w:tcW w:w="802" w:type="dxa"/>
            <w:shd w:val="clear" w:color="auto" w:fill="auto"/>
            <w:tcMar>
              <w:top w:w="60" w:type="dxa"/>
              <w:left w:w="80" w:type="dxa"/>
              <w:bottom w:w="60" w:type="dxa"/>
              <w:right w:w="80" w:type="dxa"/>
            </w:tcMar>
            <w:vAlign w:val="center"/>
          </w:tcPr>
          <w:p w14:paraId="4CA40A56">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960</w:t>
            </w:r>
          </w:p>
        </w:tc>
        <w:tc>
          <w:tcPr>
            <w:tcW w:w="1165" w:type="dxa"/>
            <w:shd w:val="clear" w:color="auto" w:fill="auto"/>
            <w:tcMar>
              <w:top w:w="60" w:type="dxa"/>
              <w:left w:w="80" w:type="dxa"/>
              <w:bottom w:w="60" w:type="dxa"/>
              <w:right w:w="80" w:type="dxa"/>
            </w:tcMar>
            <w:vAlign w:val="center"/>
          </w:tcPr>
          <w:p w14:paraId="176895E7">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1,590,270.7</w:t>
            </w:r>
          </w:p>
        </w:tc>
        <w:tc>
          <w:tcPr>
            <w:tcW w:w="911" w:type="dxa"/>
            <w:shd w:val="clear" w:color="auto" w:fill="auto"/>
            <w:tcMar>
              <w:top w:w="60" w:type="dxa"/>
              <w:left w:w="80" w:type="dxa"/>
              <w:bottom w:w="60" w:type="dxa"/>
              <w:right w:w="80" w:type="dxa"/>
            </w:tcMar>
            <w:vAlign w:val="center"/>
          </w:tcPr>
          <w:p w14:paraId="73899FE3">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0.604</w:t>
            </w:r>
          </w:p>
        </w:tc>
        <w:tc>
          <w:tcPr>
            <w:tcW w:w="911" w:type="dxa"/>
            <w:shd w:val="clear" w:color="auto" w:fill="auto"/>
            <w:tcMar>
              <w:top w:w="60" w:type="dxa"/>
              <w:left w:w="80" w:type="dxa"/>
              <w:bottom w:w="60" w:type="dxa"/>
              <w:right w:w="80" w:type="dxa"/>
            </w:tcMar>
            <w:vAlign w:val="center"/>
          </w:tcPr>
          <w:p w14:paraId="09883C05">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0.896%</w:t>
            </w:r>
          </w:p>
        </w:tc>
        <w:tc>
          <w:tcPr>
            <w:tcW w:w="911" w:type="dxa"/>
            <w:shd w:val="clear" w:color="auto" w:fill="auto"/>
            <w:tcMar>
              <w:top w:w="60" w:type="dxa"/>
              <w:left w:w="80" w:type="dxa"/>
              <w:bottom w:w="60" w:type="dxa"/>
              <w:right w:w="80" w:type="dxa"/>
            </w:tcMar>
            <w:vAlign w:val="center"/>
          </w:tcPr>
          <w:p w14:paraId="09CA1BC0">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0.755 (0.692–0.823)</w:t>
            </w:r>
          </w:p>
        </w:tc>
        <w:tc>
          <w:tcPr>
            <w:tcW w:w="911" w:type="dxa"/>
            <w:shd w:val="clear" w:color="auto" w:fill="auto"/>
            <w:tcMar>
              <w:top w:w="60" w:type="dxa"/>
              <w:left w:w="80" w:type="dxa"/>
              <w:bottom w:w="60" w:type="dxa"/>
              <w:right w:w="80" w:type="dxa"/>
            </w:tcMar>
            <w:vAlign w:val="center"/>
          </w:tcPr>
          <w:p w14:paraId="53A6DD92">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11" w:type="dxa"/>
            <w:shd w:val="clear" w:color="auto" w:fill="auto"/>
            <w:tcMar>
              <w:top w:w="60" w:type="dxa"/>
              <w:left w:w="80" w:type="dxa"/>
              <w:bottom w:w="60" w:type="dxa"/>
              <w:right w:w="80" w:type="dxa"/>
            </w:tcMar>
            <w:vAlign w:val="center"/>
          </w:tcPr>
          <w:p w14:paraId="2413AAB7">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0.760 (0.642–0.901)</w:t>
            </w:r>
          </w:p>
        </w:tc>
        <w:tc>
          <w:tcPr>
            <w:tcW w:w="919" w:type="dxa"/>
            <w:shd w:val="clear" w:color="auto" w:fill="auto"/>
            <w:tcMar>
              <w:top w:w="60" w:type="dxa"/>
              <w:left w:w="80" w:type="dxa"/>
              <w:bottom w:w="60" w:type="dxa"/>
              <w:right w:w="80" w:type="dxa"/>
            </w:tcMar>
            <w:vAlign w:val="center"/>
          </w:tcPr>
          <w:p w14:paraId="7B014C1D">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0.002</w:t>
            </w:r>
          </w:p>
        </w:tc>
      </w:tr>
      <w:tr w14:paraId="5048CA8F">
        <w:trPr>
          <w:trHeight w:val="1191" w:hRule="atLeast"/>
        </w:trPr>
        <w:tc>
          <w:tcPr>
            <w:tcW w:w="911" w:type="dxa"/>
            <w:shd w:val="clear" w:color="auto" w:fill="auto"/>
            <w:tcMar>
              <w:top w:w="60" w:type="dxa"/>
              <w:left w:w="80" w:type="dxa"/>
              <w:bottom w:w="60" w:type="dxa"/>
              <w:right w:w="80" w:type="dxa"/>
            </w:tcMar>
            <w:vAlign w:val="center"/>
          </w:tcPr>
          <w:p w14:paraId="142F325C">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Per 1 SD increase</w:t>
            </w:r>
          </w:p>
        </w:tc>
        <w:tc>
          <w:tcPr>
            <w:tcW w:w="911" w:type="dxa"/>
            <w:shd w:val="clear" w:color="auto" w:fill="auto"/>
            <w:tcMar>
              <w:top w:w="60" w:type="dxa"/>
              <w:left w:w="80" w:type="dxa"/>
              <w:bottom w:w="60" w:type="dxa"/>
              <w:right w:w="80" w:type="dxa"/>
            </w:tcMar>
            <w:vAlign w:val="center"/>
          </w:tcPr>
          <w:p w14:paraId="5559F771">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5.69</w:t>
            </w:r>
          </w:p>
        </w:tc>
        <w:tc>
          <w:tcPr>
            <w:tcW w:w="911" w:type="dxa"/>
            <w:shd w:val="clear" w:color="auto" w:fill="auto"/>
            <w:tcMar>
              <w:top w:w="60" w:type="dxa"/>
              <w:left w:w="80" w:type="dxa"/>
              <w:bottom w:w="60" w:type="dxa"/>
              <w:right w:w="80" w:type="dxa"/>
            </w:tcMar>
            <w:vAlign w:val="center"/>
          </w:tcPr>
          <w:p w14:paraId="3601CE70">
            <w:pPr>
              <w:spacing w:before="0" w:after="0" w:line="240" w:lineRule="auto"/>
              <w:jc w:val="center"/>
              <w:rPr>
                <w:rFonts w:hint="default" w:ascii="Times New Roman" w:hAnsi="Times New Roman" w:eastAsia="宋体" w:cs="Times New Roman"/>
                <w:color w:val="auto"/>
                <w:sz w:val="18"/>
                <w:szCs w:val="18"/>
              </w:rPr>
            </w:pPr>
          </w:p>
        </w:tc>
        <w:tc>
          <w:tcPr>
            <w:tcW w:w="766" w:type="dxa"/>
            <w:shd w:val="clear" w:color="auto" w:fill="auto"/>
            <w:tcMar>
              <w:top w:w="60" w:type="dxa"/>
              <w:left w:w="80" w:type="dxa"/>
              <w:bottom w:w="60" w:type="dxa"/>
              <w:right w:w="80" w:type="dxa"/>
            </w:tcMar>
            <w:vAlign w:val="center"/>
          </w:tcPr>
          <w:p w14:paraId="2148A317">
            <w:pPr>
              <w:spacing w:before="0" w:after="0" w:line="240" w:lineRule="auto"/>
              <w:jc w:val="center"/>
              <w:rPr>
                <w:rFonts w:hint="default" w:ascii="Times New Roman" w:hAnsi="Times New Roman" w:eastAsia="宋体" w:cs="Times New Roman"/>
                <w:color w:val="auto"/>
                <w:sz w:val="18"/>
                <w:szCs w:val="18"/>
              </w:rPr>
            </w:pPr>
          </w:p>
        </w:tc>
        <w:tc>
          <w:tcPr>
            <w:tcW w:w="802" w:type="dxa"/>
            <w:shd w:val="clear" w:color="auto" w:fill="auto"/>
            <w:tcMar>
              <w:top w:w="60" w:type="dxa"/>
              <w:left w:w="80" w:type="dxa"/>
              <w:bottom w:w="60" w:type="dxa"/>
              <w:right w:w="80" w:type="dxa"/>
            </w:tcMar>
            <w:vAlign w:val="center"/>
          </w:tcPr>
          <w:p w14:paraId="07B98204">
            <w:pPr>
              <w:spacing w:before="0" w:after="0" w:line="240" w:lineRule="auto"/>
              <w:jc w:val="center"/>
              <w:rPr>
                <w:rFonts w:hint="default" w:ascii="Times New Roman" w:hAnsi="Times New Roman" w:eastAsia="宋体" w:cs="Times New Roman"/>
                <w:color w:val="auto"/>
                <w:sz w:val="18"/>
                <w:szCs w:val="18"/>
              </w:rPr>
            </w:pPr>
          </w:p>
        </w:tc>
        <w:tc>
          <w:tcPr>
            <w:tcW w:w="1165" w:type="dxa"/>
            <w:shd w:val="clear" w:color="auto" w:fill="auto"/>
            <w:tcMar>
              <w:top w:w="60" w:type="dxa"/>
              <w:left w:w="80" w:type="dxa"/>
              <w:bottom w:w="60" w:type="dxa"/>
              <w:right w:w="80" w:type="dxa"/>
            </w:tcMar>
            <w:vAlign w:val="center"/>
          </w:tcPr>
          <w:p w14:paraId="3CA5699D">
            <w:pPr>
              <w:spacing w:before="0" w:after="0" w:line="240" w:lineRule="auto"/>
              <w:jc w:val="center"/>
              <w:rPr>
                <w:rFonts w:hint="default" w:ascii="Times New Roman" w:hAnsi="Times New Roman" w:eastAsia="宋体" w:cs="Times New Roman"/>
                <w:color w:val="auto"/>
                <w:sz w:val="18"/>
                <w:szCs w:val="18"/>
              </w:rPr>
            </w:pPr>
          </w:p>
        </w:tc>
        <w:tc>
          <w:tcPr>
            <w:tcW w:w="911" w:type="dxa"/>
            <w:shd w:val="clear" w:color="auto" w:fill="auto"/>
            <w:tcMar>
              <w:top w:w="60" w:type="dxa"/>
              <w:left w:w="80" w:type="dxa"/>
              <w:bottom w:w="60" w:type="dxa"/>
              <w:right w:w="80" w:type="dxa"/>
            </w:tcMar>
            <w:vAlign w:val="center"/>
          </w:tcPr>
          <w:p w14:paraId="7A42E663">
            <w:pPr>
              <w:spacing w:before="0" w:after="0" w:line="240" w:lineRule="auto"/>
              <w:jc w:val="center"/>
              <w:rPr>
                <w:rFonts w:hint="default" w:ascii="Times New Roman" w:hAnsi="Times New Roman" w:eastAsia="宋体" w:cs="Times New Roman"/>
                <w:color w:val="auto"/>
                <w:sz w:val="18"/>
                <w:szCs w:val="18"/>
              </w:rPr>
            </w:pPr>
          </w:p>
        </w:tc>
        <w:tc>
          <w:tcPr>
            <w:tcW w:w="911" w:type="dxa"/>
            <w:shd w:val="clear" w:color="auto" w:fill="auto"/>
            <w:tcMar>
              <w:top w:w="60" w:type="dxa"/>
              <w:left w:w="80" w:type="dxa"/>
              <w:bottom w:w="60" w:type="dxa"/>
              <w:right w:w="80" w:type="dxa"/>
            </w:tcMar>
            <w:vAlign w:val="center"/>
          </w:tcPr>
          <w:p w14:paraId="481EC197">
            <w:pPr>
              <w:spacing w:before="0" w:after="0" w:line="240" w:lineRule="auto"/>
              <w:jc w:val="center"/>
              <w:rPr>
                <w:rFonts w:hint="default" w:ascii="Times New Roman" w:hAnsi="Times New Roman" w:eastAsia="宋体" w:cs="Times New Roman"/>
                <w:color w:val="auto"/>
                <w:sz w:val="18"/>
                <w:szCs w:val="18"/>
              </w:rPr>
            </w:pPr>
          </w:p>
        </w:tc>
        <w:tc>
          <w:tcPr>
            <w:tcW w:w="911" w:type="dxa"/>
            <w:shd w:val="clear" w:color="auto" w:fill="auto"/>
            <w:tcMar>
              <w:top w:w="60" w:type="dxa"/>
              <w:left w:w="80" w:type="dxa"/>
              <w:bottom w:w="60" w:type="dxa"/>
              <w:right w:w="80" w:type="dxa"/>
            </w:tcMar>
            <w:vAlign w:val="center"/>
          </w:tcPr>
          <w:p w14:paraId="0E4ADF1E">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0.882 (0.854–0.912)</w:t>
            </w:r>
          </w:p>
        </w:tc>
        <w:tc>
          <w:tcPr>
            <w:tcW w:w="911" w:type="dxa"/>
            <w:shd w:val="clear" w:color="auto" w:fill="auto"/>
            <w:tcMar>
              <w:top w:w="60" w:type="dxa"/>
              <w:left w:w="80" w:type="dxa"/>
              <w:bottom w:w="60" w:type="dxa"/>
              <w:right w:w="80" w:type="dxa"/>
            </w:tcMar>
            <w:vAlign w:val="center"/>
          </w:tcPr>
          <w:p w14:paraId="42949F7A">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11" w:type="dxa"/>
            <w:shd w:val="clear" w:color="auto" w:fill="auto"/>
            <w:tcMar>
              <w:top w:w="60" w:type="dxa"/>
              <w:left w:w="80" w:type="dxa"/>
              <w:bottom w:w="60" w:type="dxa"/>
              <w:right w:w="80" w:type="dxa"/>
            </w:tcMar>
            <w:vAlign w:val="center"/>
          </w:tcPr>
          <w:p w14:paraId="3523CD11">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0.887 (0.832–0.947)</w:t>
            </w:r>
          </w:p>
        </w:tc>
        <w:tc>
          <w:tcPr>
            <w:tcW w:w="919" w:type="dxa"/>
            <w:shd w:val="clear" w:color="auto" w:fill="auto"/>
            <w:tcMar>
              <w:top w:w="60" w:type="dxa"/>
              <w:left w:w="80" w:type="dxa"/>
              <w:bottom w:w="60" w:type="dxa"/>
              <w:right w:w="80" w:type="dxa"/>
            </w:tcMar>
            <w:vAlign w:val="center"/>
          </w:tcPr>
          <w:p w14:paraId="641B21E2">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0EB26EC0">
        <w:trPr>
          <w:trHeight w:val="1191" w:hRule="atLeast"/>
        </w:trPr>
        <w:tc>
          <w:tcPr>
            <w:tcW w:w="911" w:type="dxa"/>
            <w:shd w:val="clear" w:color="auto" w:fill="auto"/>
            <w:tcMar>
              <w:top w:w="60" w:type="dxa"/>
              <w:left w:w="80" w:type="dxa"/>
              <w:bottom w:w="60" w:type="dxa"/>
              <w:right w:w="80" w:type="dxa"/>
            </w:tcMar>
            <w:vAlign w:val="center"/>
          </w:tcPr>
          <w:p w14:paraId="095EFA67">
            <w:pPr>
              <w:spacing w:before="0" w:after="0" w:line="240" w:lineRule="auto"/>
              <w:jc w:val="center"/>
              <w:rPr>
                <w:rFonts w:hint="default" w:ascii="Times New Roman" w:hAnsi="Times New Roman" w:eastAsia="宋体" w:cs="Times New Roman"/>
                <w:color w:val="auto"/>
                <w:sz w:val="18"/>
                <w:szCs w:val="18"/>
              </w:rPr>
            </w:pPr>
            <w:r>
              <w:rPr>
                <w:rFonts w:hint="default" w:ascii="Times New Roman Italic" w:hAnsi="Times New Roman Italic" w:eastAsia="宋体" w:cs="Times New Roman Italic"/>
                <w:i/>
                <w:iCs/>
                <w:color w:val="auto"/>
                <w:sz w:val="18"/>
                <w:szCs w:val="18"/>
              </w:rPr>
              <w:t>P</w:t>
            </w:r>
            <w:r>
              <w:rPr>
                <w:rFonts w:hint="default" w:ascii="Times New Roman" w:hAnsi="Times New Roman" w:eastAsia="宋体" w:cs="Times New Roman"/>
                <w:color w:val="auto"/>
                <w:sz w:val="18"/>
                <w:szCs w:val="18"/>
              </w:rPr>
              <w:t xml:space="preserve"> for trend</w:t>
            </w:r>
          </w:p>
        </w:tc>
        <w:tc>
          <w:tcPr>
            <w:tcW w:w="911" w:type="dxa"/>
            <w:shd w:val="clear" w:color="auto" w:fill="auto"/>
            <w:tcMar>
              <w:top w:w="60" w:type="dxa"/>
              <w:left w:w="80" w:type="dxa"/>
              <w:bottom w:w="60" w:type="dxa"/>
              <w:right w:w="80" w:type="dxa"/>
            </w:tcMar>
            <w:vAlign w:val="center"/>
          </w:tcPr>
          <w:p w14:paraId="0DC03134">
            <w:pPr>
              <w:spacing w:before="0" w:after="0" w:line="240" w:lineRule="auto"/>
              <w:jc w:val="center"/>
              <w:rPr>
                <w:rFonts w:hint="default" w:ascii="Times New Roman" w:hAnsi="Times New Roman" w:eastAsia="宋体" w:cs="Times New Roman"/>
                <w:color w:val="auto"/>
                <w:sz w:val="18"/>
                <w:szCs w:val="18"/>
              </w:rPr>
            </w:pPr>
          </w:p>
        </w:tc>
        <w:tc>
          <w:tcPr>
            <w:tcW w:w="911" w:type="dxa"/>
            <w:shd w:val="clear" w:color="auto" w:fill="auto"/>
            <w:tcMar>
              <w:top w:w="60" w:type="dxa"/>
              <w:left w:w="80" w:type="dxa"/>
              <w:bottom w:w="60" w:type="dxa"/>
              <w:right w:w="80" w:type="dxa"/>
            </w:tcMar>
            <w:vAlign w:val="center"/>
          </w:tcPr>
          <w:p w14:paraId="23AB2CC9">
            <w:pPr>
              <w:spacing w:before="0" w:after="0" w:line="240" w:lineRule="auto"/>
              <w:jc w:val="center"/>
              <w:rPr>
                <w:rFonts w:hint="default" w:ascii="Times New Roman" w:hAnsi="Times New Roman" w:eastAsia="宋体" w:cs="Times New Roman"/>
                <w:color w:val="auto"/>
                <w:sz w:val="18"/>
                <w:szCs w:val="18"/>
              </w:rPr>
            </w:pPr>
          </w:p>
        </w:tc>
        <w:tc>
          <w:tcPr>
            <w:tcW w:w="766" w:type="dxa"/>
            <w:shd w:val="clear" w:color="auto" w:fill="auto"/>
            <w:tcMar>
              <w:top w:w="60" w:type="dxa"/>
              <w:left w:w="80" w:type="dxa"/>
              <w:bottom w:w="60" w:type="dxa"/>
              <w:right w:w="80" w:type="dxa"/>
            </w:tcMar>
            <w:vAlign w:val="center"/>
          </w:tcPr>
          <w:p w14:paraId="37ADBFA6">
            <w:pPr>
              <w:spacing w:before="0" w:after="0" w:line="240" w:lineRule="auto"/>
              <w:jc w:val="center"/>
              <w:rPr>
                <w:rFonts w:hint="default" w:ascii="Times New Roman" w:hAnsi="Times New Roman" w:eastAsia="宋体" w:cs="Times New Roman"/>
                <w:color w:val="auto"/>
                <w:sz w:val="18"/>
                <w:szCs w:val="18"/>
              </w:rPr>
            </w:pPr>
          </w:p>
        </w:tc>
        <w:tc>
          <w:tcPr>
            <w:tcW w:w="802" w:type="dxa"/>
            <w:shd w:val="clear" w:color="auto" w:fill="auto"/>
            <w:tcMar>
              <w:top w:w="60" w:type="dxa"/>
              <w:left w:w="80" w:type="dxa"/>
              <w:bottom w:w="60" w:type="dxa"/>
              <w:right w:w="80" w:type="dxa"/>
            </w:tcMar>
            <w:vAlign w:val="center"/>
          </w:tcPr>
          <w:p w14:paraId="25A93BC9">
            <w:pPr>
              <w:spacing w:before="0" w:after="0" w:line="240" w:lineRule="auto"/>
              <w:jc w:val="center"/>
              <w:rPr>
                <w:rFonts w:hint="default" w:ascii="Times New Roman" w:hAnsi="Times New Roman" w:eastAsia="宋体" w:cs="Times New Roman"/>
                <w:color w:val="auto"/>
                <w:sz w:val="18"/>
                <w:szCs w:val="18"/>
              </w:rPr>
            </w:pPr>
          </w:p>
        </w:tc>
        <w:tc>
          <w:tcPr>
            <w:tcW w:w="1165" w:type="dxa"/>
            <w:shd w:val="clear" w:color="auto" w:fill="auto"/>
            <w:tcMar>
              <w:top w:w="60" w:type="dxa"/>
              <w:left w:w="80" w:type="dxa"/>
              <w:bottom w:w="60" w:type="dxa"/>
              <w:right w:w="80" w:type="dxa"/>
            </w:tcMar>
            <w:vAlign w:val="center"/>
          </w:tcPr>
          <w:p w14:paraId="70198D64">
            <w:pPr>
              <w:spacing w:before="0" w:after="0" w:line="240" w:lineRule="auto"/>
              <w:jc w:val="center"/>
              <w:rPr>
                <w:rFonts w:hint="default" w:ascii="Times New Roman" w:hAnsi="Times New Roman" w:eastAsia="宋体" w:cs="Times New Roman"/>
                <w:color w:val="auto"/>
                <w:sz w:val="18"/>
                <w:szCs w:val="18"/>
              </w:rPr>
            </w:pPr>
          </w:p>
        </w:tc>
        <w:tc>
          <w:tcPr>
            <w:tcW w:w="911" w:type="dxa"/>
            <w:shd w:val="clear" w:color="auto" w:fill="auto"/>
            <w:tcMar>
              <w:top w:w="60" w:type="dxa"/>
              <w:left w:w="80" w:type="dxa"/>
              <w:bottom w:w="60" w:type="dxa"/>
              <w:right w:w="80" w:type="dxa"/>
            </w:tcMar>
            <w:vAlign w:val="center"/>
          </w:tcPr>
          <w:p w14:paraId="33F5C23B">
            <w:pPr>
              <w:spacing w:before="0" w:after="0" w:line="240" w:lineRule="auto"/>
              <w:jc w:val="center"/>
              <w:rPr>
                <w:rFonts w:hint="default" w:ascii="Times New Roman" w:hAnsi="Times New Roman" w:eastAsia="宋体" w:cs="Times New Roman"/>
                <w:color w:val="auto"/>
                <w:sz w:val="18"/>
                <w:szCs w:val="18"/>
              </w:rPr>
            </w:pPr>
          </w:p>
        </w:tc>
        <w:tc>
          <w:tcPr>
            <w:tcW w:w="911" w:type="dxa"/>
            <w:shd w:val="clear" w:color="auto" w:fill="auto"/>
            <w:tcMar>
              <w:top w:w="60" w:type="dxa"/>
              <w:left w:w="80" w:type="dxa"/>
              <w:bottom w:w="60" w:type="dxa"/>
              <w:right w:w="80" w:type="dxa"/>
            </w:tcMar>
            <w:vAlign w:val="center"/>
          </w:tcPr>
          <w:p w14:paraId="79F87D12">
            <w:pPr>
              <w:spacing w:before="0" w:after="0" w:line="240" w:lineRule="auto"/>
              <w:jc w:val="center"/>
              <w:rPr>
                <w:rFonts w:hint="default" w:ascii="Times New Roman" w:hAnsi="Times New Roman" w:eastAsia="宋体" w:cs="Times New Roman"/>
                <w:color w:val="auto"/>
                <w:sz w:val="18"/>
                <w:szCs w:val="18"/>
              </w:rPr>
            </w:pPr>
          </w:p>
        </w:tc>
        <w:tc>
          <w:tcPr>
            <w:tcW w:w="911" w:type="dxa"/>
            <w:shd w:val="clear" w:color="auto" w:fill="auto"/>
            <w:tcMar>
              <w:top w:w="60" w:type="dxa"/>
              <w:left w:w="80" w:type="dxa"/>
              <w:bottom w:w="60" w:type="dxa"/>
              <w:right w:w="80" w:type="dxa"/>
            </w:tcMar>
            <w:vAlign w:val="center"/>
          </w:tcPr>
          <w:p w14:paraId="62E26A8B">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0.976 (0.970–0.983)</w:t>
            </w:r>
          </w:p>
        </w:tc>
        <w:tc>
          <w:tcPr>
            <w:tcW w:w="911" w:type="dxa"/>
            <w:shd w:val="clear" w:color="auto" w:fill="auto"/>
            <w:tcMar>
              <w:top w:w="60" w:type="dxa"/>
              <w:left w:w="80" w:type="dxa"/>
              <w:bottom w:w="60" w:type="dxa"/>
              <w:right w:w="80" w:type="dxa"/>
            </w:tcMar>
            <w:vAlign w:val="center"/>
          </w:tcPr>
          <w:p w14:paraId="0926EC76">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11" w:type="dxa"/>
            <w:shd w:val="clear" w:color="auto" w:fill="auto"/>
            <w:tcMar>
              <w:top w:w="60" w:type="dxa"/>
              <w:left w:w="80" w:type="dxa"/>
              <w:bottom w:w="60" w:type="dxa"/>
              <w:right w:w="80" w:type="dxa"/>
            </w:tcMar>
            <w:vAlign w:val="center"/>
          </w:tcPr>
          <w:p w14:paraId="3F0DB7DF">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0.980 (0.967–0.994)</w:t>
            </w:r>
          </w:p>
        </w:tc>
        <w:tc>
          <w:tcPr>
            <w:tcW w:w="919" w:type="dxa"/>
            <w:shd w:val="clear" w:color="auto" w:fill="auto"/>
            <w:tcMar>
              <w:top w:w="60" w:type="dxa"/>
              <w:left w:w="80" w:type="dxa"/>
              <w:bottom w:w="60" w:type="dxa"/>
              <w:right w:w="80" w:type="dxa"/>
            </w:tcMar>
            <w:vAlign w:val="center"/>
          </w:tcPr>
          <w:p w14:paraId="49030156">
            <w:pPr>
              <w:spacing w:before="0" w:after="0" w:line="240" w:lineRule="auto"/>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0.004</w:t>
            </w:r>
          </w:p>
        </w:tc>
      </w:tr>
    </w:tbl>
    <w:p w14:paraId="4D71BE71">
      <w:pPr>
        <w:spacing w:before="12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Primary model was adjusted for age, </w:t>
      </w:r>
      <w:r>
        <w:rPr>
          <w:rFonts w:hint="default" w:ascii="Times New Roman" w:hAnsi="Times New Roman" w:eastAsia="宋体" w:cs="Times New Roman"/>
          <w:color w:val="auto"/>
          <w:sz w:val="21"/>
          <w:szCs w:val="21"/>
          <w:lang w:val="en-US"/>
        </w:rPr>
        <w:t>sex</w:t>
      </w:r>
      <w:r>
        <w:rPr>
          <w:rFonts w:hint="default" w:ascii="Times New Roman" w:hAnsi="Times New Roman" w:eastAsia="宋体" w:cs="Times New Roman"/>
          <w:color w:val="auto"/>
          <w:sz w:val="21"/>
          <w:szCs w:val="21"/>
        </w:rPr>
        <w:t xml:space="preserve">, BMI, smoking, alcohol use, sleep hours/day, and loneliness. Sensitivity model was additionally adjusted for </w:t>
      </w:r>
      <w:r>
        <w:rPr>
          <w:rFonts w:hint="default" w:ascii="Times New Roman" w:hAnsi="Times New Roman" w:eastAsia="宋体" w:cs="Times New Roman"/>
          <w:color w:val="auto"/>
          <w:sz w:val="21"/>
          <w:szCs w:val="21"/>
          <w:lang w:eastAsia="zh-CN"/>
        </w:rPr>
        <w:t>ethnicity</w:t>
      </w:r>
      <w:r>
        <w:rPr>
          <w:rFonts w:hint="default" w:ascii="Times New Roman" w:hAnsi="Times New Roman" w:eastAsia="宋体" w:cs="Times New Roman"/>
          <w:color w:val="auto"/>
          <w:sz w:val="21"/>
          <w:szCs w:val="21"/>
        </w:rPr>
        <w:t>, education, deprivation, physical activity, and working hours. Incidence rate is expressed per 1,000 person-years. The 15-year cumulative incidence was estimated using Kaplan–Meier methods. IGF-1 SD in the full cohort was 5.695 nmol/L.</w:t>
      </w:r>
    </w:p>
    <w:p w14:paraId="6C75FB91">
      <w:pP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br w:type="page"/>
      </w:r>
    </w:p>
    <w:p w14:paraId="0EBD9205">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Times New Roman" w:cs="Times New Roman"/>
          <w:b/>
          <w:bCs/>
          <w:i w:val="0"/>
          <w:color w:val="000000"/>
          <w:sz w:val="21"/>
          <w:szCs w:val="21"/>
          <w:u w:val="none"/>
          <w:lang w:val="en-US" w:eastAsia="zh-CN"/>
        </w:rPr>
      </w:pPr>
      <w:r>
        <w:rPr>
          <w:rFonts w:hint="default" w:ascii="Times New Roman" w:hAnsi="Times New Roman" w:eastAsia="Times New Roman" w:cs="Times New Roman"/>
          <w:b/>
          <w:bCs/>
          <w:i w:val="0"/>
          <w:color w:val="000000"/>
          <w:sz w:val="21"/>
          <w:szCs w:val="21"/>
          <w:u w:val="none"/>
          <w:lang w:val="en-US" w:eastAsia="zh-CN"/>
        </w:rPr>
        <w:t>STable 6. Alternative alcohol coding sensitivity analysis for the association between serum IGF-1 and incident epilepsy.</w:t>
      </w:r>
    </w:p>
    <w:p w14:paraId="77B16C98">
      <w:pPr>
        <w:jc w:val="center"/>
        <w:rPr>
          <w:rFonts w:hint="default" w:ascii="Times New Roman" w:hAnsi="Times New Roman" w:cs="Times New Roman"/>
          <w:sz w:val="21"/>
          <w:szCs w:val="21"/>
        </w:rPr>
      </w:pPr>
      <w:r>
        <w:rPr>
          <w:rFonts w:hint="default" w:ascii="Times New Roman" w:hAnsi="Times New Roman" w:cs="Times New Roman"/>
          <w:b/>
          <w:sz w:val="21"/>
          <w:szCs w:val="21"/>
        </w:rPr>
        <w:t xml:space="preserve">Panel </w:t>
      </w:r>
      <w:r>
        <w:rPr>
          <w:rFonts w:hint="default" w:ascii="Times New Roman" w:hAnsi="Times New Roman" w:cs="Times New Roman"/>
          <w:b/>
          <w:sz w:val="21"/>
          <w:szCs w:val="21"/>
          <w:lang w:val="en-US"/>
        </w:rPr>
        <w:t>a</w:t>
      </w:r>
      <w:r>
        <w:rPr>
          <w:rFonts w:hint="default" w:ascii="Times New Roman" w:hAnsi="Times New Roman" w:cs="Times New Roman"/>
          <w:b/>
          <w:sz w:val="21"/>
          <w:szCs w:val="21"/>
        </w:rPr>
        <w:t>. Refined alcohol-frequency coding in the Cox models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715"/>
        <w:gridCol w:w="1691"/>
        <w:gridCol w:w="1715"/>
        <w:gridCol w:w="1691"/>
      </w:tblGrid>
      <w:tr w14:paraId="372FEAD6">
        <w:tc>
          <w:tcPr>
            <w:tcW w:w="1728" w:type="dxa"/>
            <w:tcBorders>
              <w:top w:val="single" w:color="000000" w:sz="12" w:space="0"/>
              <w:left w:val="nil"/>
              <w:bottom w:val="single" w:color="000000" w:sz="4" w:space="0"/>
              <w:right w:val="nil"/>
              <w:tl2br w:val="nil"/>
            </w:tcBorders>
            <w:shd w:val="clear" w:color="auto" w:fill="FFFFFF"/>
            <w:vAlign w:val="center"/>
          </w:tcPr>
          <w:p w14:paraId="7DBD4C58">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Variable comparison</w:t>
            </w:r>
          </w:p>
        </w:tc>
        <w:tc>
          <w:tcPr>
            <w:tcW w:w="1728" w:type="dxa"/>
            <w:tcBorders>
              <w:top w:val="single" w:color="000000" w:sz="12" w:space="0"/>
              <w:left w:val="nil"/>
              <w:bottom w:val="single" w:color="000000" w:sz="4" w:space="0"/>
              <w:right w:val="nil"/>
            </w:tcBorders>
            <w:shd w:val="clear" w:color="auto" w:fill="FFFFFF"/>
            <w:vAlign w:val="center"/>
          </w:tcPr>
          <w:p w14:paraId="4A81FC1A">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Primary model HR (95% CI)</w:t>
            </w:r>
          </w:p>
        </w:tc>
        <w:tc>
          <w:tcPr>
            <w:tcW w:w="1728" w:type="dxa"/>
            <w:tcBorders>
              <w:top w:val="single" w:color="000000" w:sz="12" w:space="0"/>
              <w:left w:val="nil"/>
              <w:bottom w:val="single" w:color="000000" w:sz="4" w:space="0"/>
              <w:right w:val="nil"/>
            </w:tcBorders>
            <w:shd w:val="clear" w:color="auto" w:fill="FFFFFF"/>
            <w:vAlign w:val="center"/>
          </w:tcPr>
          <w:p w14:paraId="0F0CDE6B">
            <w:pPr>
              <w:spacing w:after="0" w:line="240" w:lineRule="auto"/>
              <w:jc w:val="center"/>
              <w:rPr>
                <w:rFonts w:hint="default" w:ascii="Times New Roman" w:hAnsi="Times New Roman" w:cs="Times New Roman"/>
                <w:b w:val="0"/>
                <w:color w:val="000000"/>
                <w:sz w:val="21"/>
                <w:szCs w:val="21"/>
              </w:rPr>
            </w:pPr>
            <w:r>
              <w:rPr>
                <w:rFonts w:hint="default" w:ascii="Times New Roman Italic" w:hAnsi="Times New Roman Italic" w:cs="Times New Roman Italic"/>
                <w:b w:val="0"/>
                <w:i/>
                <w:iCs/>
                <w:color w:val="000000"/>
                <w:sz w:val="21"/>
                <w:szCs w:val="21"/>
              </w:rPr>
              <w:t>P</w:t>
            </w:r>
            <w:r>
              <w:rPr>
                <w:rFonts w:hint="default" w:ascii="Times New Roman" w:hAnsi="Times New Roman" w:cs="Times New Roman"/>
                <w:b w:val="0"/>
                <w:color w:val="000000"/>
                <w:sz w:val="21"/>
                <w:szCs w:val="21"/>
              </w:rPr>
              <w:t xml:space="preserve"> value</w:t>
            </w:r>
          </w:p>
        </w:tc>
        <w:tc>
          <w:tcPr>
            <w:tcW w:w="1728" w:type="dxa"/>
            <w:tcBorders>
              <w:top w:val="single" w:color="000000" w:sz="12" w:space="0"/>
              <w:left w:val="nil"/>
              <w:bottom w:val="single" w:color="000000" w:sz="4" w:space="0"/>
              <w:right w:val="nil"/>
            </w:tcBorders>
            <w:shd w:val="clear" w:color="auto" w:fill="FFFFFF"/>
            <w:vAlign w:val="center"/>
          </w:tcPr>
          <w:p w14:paraId="070E6C25">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Sensitivity model HR (95% CI)</w:t>
            </w:r>
          </w:p>
        </w:tc>
        <w:tc>
          <w:tcPr>
            <w:tcW w:w="1728" w:type="dxa"/>
            <w:tcBorders>
              <w:top w:val="single" w:color="000000" w:sz="12" w:space="0"/>
              <w:left w:val="nil"/>
              <w:bottom w:val="single" w:color="000000" w:sz="4" w:space="0"/>
              <w:right w:val="nil"/>
            </w:tcBorders>
            <w:shd w:val="clear" w:color="auto" w:fill="FFFFFF"/>
            <w:vAlign w:val="center"/>
          </w:tcPr>
          <w:p w14:paraId="150CD1FD">
            <w:pPr>
              <w:spacing w:after="0" w:line="240" w:lineRule="auto"/>
              <w:jc w:val="center"/>
              <w:rPr>
                <w:rFonts w:hint="default" w:ascii="Times New Roman" w:hAnsi="Times New Roman" w:cs="Times New Roman"/>
                <w:b w:val="0"/>
                <w:color w:val="000000"/>
                <w:sz w:val="21"/>
                <w:szCs w:val="21"/>
              </w:rPr>
            </w:pPr>
            <w:r>
              <w:rPr>
                <w:rFonts w:hint="default" w:ascii="Times New Roman Italic" w:hAnsi="Times New Roman Italic" w:cs="Times New Roman Italic"/>
                <w:b w:val="0"/>
                <w:i/>
                <w:iCs/>
                <w:color w:val="000000"/>
                <w:sz w:val="21"/>
                <w:szCs w:val="21"/>
              </w:rPr>
              <w:t>P</w:t>
            </w:r>
            <w:r>
              <w:rPr>
                <w:rFonts w:hint="default" w:ascii="Times New Roman" w:hAnsi="Times New Roman" w:cs="Times New Roman"/>
                <w:b w:val="0"/>
                <w:color w:val="000000"/>
                <w:sz w:val="21"/>
                <w:szCs w:val="21"/>
              </w:rPr>
              <w:t xml:space="preserve"> value</w:t>
            </w:r>
          </w:p>
        </w:tc>
      </w:tr>
      <w:tr w14:paraId="603CAAC0">
        <w:tc>
          <w:tcPr>
            <w:tcW w:w="1728" w:type="dxa"/>
            <w:tcBorders>
              <w:top w:val="single" w:color="000000" w:sz="4" w:space="0"/>
              <w:left w:val="nil"/>
              <w:bottom w:val="nil"/>
              <w:right w:val="nil"/>
            </w:tcBorders>
            <w:shd w:val="clear" w:color="auto" w:fill="FFFFFF"/>
            <w:vAlign w:val="center"/>
          </w:tcPr>
          <w:p w14:paraId="7CFC6478">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Serum IGF-1 (per 1 nmol/L increase)</w:t>
            </w:r>
          </w:p>
        </w:tc>
        <w:tc>
          <w:tcPr>
            <w:tcW w:w="1728" w:type="dxa"/>
            <w:tcBorders>
              <w:top w:val="single" w:color="000000" w:sz="4" w:space="0"/>
              <w:left w:val="nil"/>
              <w:bottom w:val="nil"/>
              <w:right w:val="nil"/>
            </w:tcBorders>
            <w:shd w:val="clear" w:color="auto" w:fill="FFFFFF"/>
            <w:vAlign w:val="center"/>
          </w:tcPr>
          <w:p w14:paraId="19F2FB2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0.978 (0.973–0.984)</w:t>
            </w:r>
          </w:p>
        </w:tc>
        <w:tc>
          <w:tcPr>
            <w:tcW w:w="1728" w:type="dxa"/>
            <w:tcBorders>
              <w:top w:val="single" w:color="000000" w:sz="4" w:space="0"/>
              <w:left w:val="nil"/>
              <w:bottom w:val="nil"/>
              <w:right w:val="nil"/>
            </w:tcBorders>
            <w:shd w:val="clear" w:color="auto" w:fill="FFFFFF"/>
            <w:vAlign w:val="center"/>
          </w:tcPr>
          <w:p w14:paraId="3772D5F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c>
          <w:tcPr>
            <w:tcW w:w="1728" w:type="dxa"/>
            <w:tcBorders>
              <w:top w:val="single" w:color="000000" w:sz="4" w:space="0"/>
              <w:left w:val="nil"/>
              <w:bottom w:val="nil"/>
              <w:right w:val="nil"/>
            </w:tcBorders>
            <w:shd w:val="clear" w:color="auto" w:fill="FFFFFF"/>
            <w:vAlign w:val="center"/>
          </w:tcPr>
          <w:p w14:paraId="55A2DC4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0.979 (0.968–0.990)</w:t>
            </w:r>
          </w:p>
        </w:tc>
        <w:tc>
          <w:tcPr>
            <w:tcW w:w="1728" w:type="dxa"/>
            <w:tcBorders>
              <w:top w:val="single" w:color="000000" w:sz="4" w:space="0"/>
              <w:left w:val="nil"/>
              <w:bottom w:val="nil"/>
              <w:right w:val="nil"/>
            </w:tcBorders>
            <w:shd w:val="clear" w:color="auto" w:fill="FFFFFF"/>
            <w:vAlign w:val="center"/>
          </w:tcPr>
          <w:p w14:paraId="34D878E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r>
      <w:tr w14:paraId="6A9F5F20">
        <w:tc>
          <w:tcPr>
            <w:tcW w:w="1728" w:type="dxa"/>
            <w:tcBorders>
              <w:top w:val="nil"/>
              <w:left w:val="nil"/>
              <w:bottom w:val="nil"/>
              <w:right w:val="nil"/>
            </w:tcBorders>
            <w:shd w:val="clear" w:color="auto" w:fill="FFFFFF"/>
            <w:vAlign w:val="center"/>
          </w:tcPr>
          <w:p w14:paraId="2B5B734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Occasional vs never</w:t>
            </w:r>
          </w:p>
        </w:tc>
        <w:tc>
          <w:tcPr>
            <w:tcW w:w="1728" w:type="dxa"/>
            <w:tcBorders>
              <w:top w:val="nil"/>
              <w:left w:val="nil"/>
              <w:bottom w:val="nil"/>
              <w:right w:val="nil"/>
            </w:tcBorders>
            <w:shd w:val="clear" w:color="auto" w:fill="FFFFFF"/>
            <w:vAlign w:val="center"/>
          </w:tcPr>
          <w:p w14:paraId="3E85FE89">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0.660 (0.596–0.731)</w:t>
            </w:r>
          </w:p>
        </w:tc>
        <w:tc>
          <w:tcPr>
            <w:tcW w:w="1728" w:type="dxa"/>
            <w:tcBorders>
              <w:top w:val="nil"/>
              <w:left w:val="nil"/>
              <w:bottom w:val="nil"/>
              <w:right w:val="nil"/>
            </w:tcBorders>
            <w:shd w:val="clear" w:color="auto" w:fill="FFFFFF"/>
            <w:vAlign w:val="center"/>
          </w:tcPr>
          <w:p w14:paraId="0A2A01A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c>
          <w:tcPr>
            <w:tcW w:w="1728" w:type="dxa"/>
            <w:tcBorders>
              <w:top w:val="nil"/>
              <w:left w:val="nil"/>
              <w:bottom w:val="nil"/>
              <w:right w:val="nil"/>
            </w:tcBorders>
            <w:shd w:val="clear" w:color="auto" w:fill="FFFFFF"/>
            <w:vAlign w:val="center"/>
          </w:tcPr>
          <w:p w14:paraId="67A2797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0.728 (0.576–0.921)</w:t>
            </w:r>
          </w:p>
        </w:tc>
        <w:tc>
          <w:tcPr>
            <w:tcW w:w="1728" w:type="dxa"/>
            <w:tcBorders>
              <w:top w:val="nil"/>
              <w:left w:val="nil"/>
              <w:bottom w:val="nil"/>
              <w:right w:val="nil"/>
            </w:tcBorders>
            <w:shd w:val="clear" w:color="auto" w:fill="FFFFFF"/>
            <w:vAlign w:val="center"/>
          </w:tcPr>
          <w:p w14:paraId="306FF783">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0.008</w:t>
            </w:r>
          </w:p>
        </w:tc>
      </w:tr>
      <w:tr w14:paraId="63D45558">
        <w:tc>
          <w:tcPr>
            <w:tcW w:w="1728" w:type="dxa"/>
            <w:tcBorders>
              <w:top w:val="nil"/>
              <w:left w:val="nil"/>
              <w:bottom w:val="nil"/>
              <w:right w:val="nil"/>
            </w:tcBorders>
            <w:shd w:val="clear" w:color="auto" w:fill="FFFFFF"/>
            <w:vAlign w:val="center"/>
          </w:tcPr>
          <w:p w14:paraId="1DE83754">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Regular weekly vs never</w:t>
            </w:r>
          </w:p>
        </w:tc>
        <w:tc>
          <w:tcPr>
            <w:tcW w:w="1728" w:type="dxa"/>
            <w:tcBorders>
              <w:top w:val="nil"/>
              <w:left w:val="nil"/>
              <w:bottom w:val="nil"/>
              <w:right w:val="nil"/>
            </w:tcBorders>
            <w:shd w:val="clear" w:color="auto" w:fill="FFFFFF"/>
            <w:vAlign w:val="center"/>
          </w:tcPr>
          <w:p w14:paraId="144C56D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0.540 (0.491–0.594)</w:t>
            </w:r>
          </w:p>
        </w:tc>
        <w:tc>
          <w:tcPr>
            <w:tcW w:w="1728" w:type="dxa"/>
            <w:tcBorders>
              <w:top w:val="nil"/>
              <w:left w:val="nil"/>
              <w:bottom w:val="nil"/>
              <w:right w:val="nil"/>
            </w:tcBorders>
            <w:shd w:val="clear" w:color="auto" w:fill="FFFFFF"/>
            <w:vAlign w:val="center"/>
          </w:tcPr>
          <w:p w14:paraId="0EC96D5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c>
          <w:tcPr>
            <w:tcW w:w="1728" w:type="dxa"/>
            <w:tcBorders>
              <w:top w:val="nil"/>
              <w:left w:val="nil"/>
              <w:bottom w:val="nil"/>
              <w:right w:val="nil"/>
            </w:tcBorders>
            <w:shd w:val="clear" w:color="auto" w:fill="FFFFFF"/>
            <w:vAlign w:val="center"/>
          </w:tcPr>
          <w:p w14:paraId="0FA35CC9">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0.591 (0.475–0.736)</w:t>
            </w:r>
          </w:p>
        </w:tc>
        <w:tc>
          <w:tcPr>
            <w:tcW w:w="1728" w:type="dxa"/>
            <w:tcBorders>
              <w:top w:val="nil"/>
              <w:left w:val="nil"/>
              <w:bottom w:val="nil"/>
              <w:right w:val="nil"/>
            </w:tcBorders>
            <w:shd w:val="clear" w:color="auto" w:fill="FFFFFF"/>
            <w:vAlign w:val="center"/>
          </w:tcPr>
          <w:p w14:paraId="0A11071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r>
      <w:tr w14:paraId="2CC9ED37">
        <w:tc>
          <w:tcPr>
            <w:tcW w:w="1728" w:type="dxa"/>
            <w:tcBorders>
              <w:top w:val="nil"/>
              <w:left w:val="nil"/>
              <w:bottom w:val="single" w:color="000000" w:sz="12" w:space="0"/>
              <w:right w:val="nil"/>
            </w:tcBorders>
            <w:shd w:val="clear" w:color="auto" w:fill="FFFFFF"/>
            <w:vAlign w:val="center"/>
          </w:tcPr>
          <w:p w14:paraId="44E9BFA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Daily/almost daily vs never</w:t>
            </w:r>
          </w:p>
        </w:tc>
        <w:tc>
          <w:tcPr>
            <w:tcW w:w="1728" w:type="dxa"/>
            <w:tcBorders>
              <w:top w:val="nil"/>
              <w:left w:val="nil"/>
              <w:bottom w:val="single" w:color="000000" w:sz="12" w:space="0"/>
              <w:right w:val="nil"/>
            </w:tcBorders>
            <w:shd w:val="clear" w:color="auto" w:fill="FFFFFF"/>
            <w:vAlign w:val="center"/>
          </w:tcPr>
          <w:p w14:paraId="778D90F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0.545 (0.489–0.607)</w:t>
            </w:r>
          </w:p>
        </w:tc>
        <w:tc>
          <w:tcPr>
            <w:tcW w:w="1728" w:type="dxa"/>
            <w:tcBorders>
              <w:top w:val="nil"/>
              <w:left w:val="nil"/>
              <w:bottom w:val="single" w:color="000000" w:sz="12" w:space="0"/>
              <w:right w:val="nil"/>
            </w:tcBorders>
            <w:shd w:val="clear" w:color="auto" w:fill="FFFFFF"/>
            <w:vAlign w:val="center"/>
          </w:tcPr>
          <w:p w14:paraId="21D05301">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c>
          <w:tcPr>
            <w:tcW w:w="1728" w:type="dxa"/>
            <w:tcBorders>
              <w:top w:val="nil"/>
              <w:left w:val="nil"/>
              <w:bottom w:val="single" w:color="000000" w:sz="12" w:space="0"/>
              <w:right w:val="nil"/>
            </w:tcBorders>
            <w:shd w:val="clear" w:color="auto" w:fill="FFFFFF"/>
            <w:vAlign w:val="center"/>
          </w:tcPr>
          <w:p w14:paraId="58EFCDB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0.606 (0.476–0.771)</w:t>
            </w:r>
          </w:p>
        </w:tc>
        <w:tc>
          <w:tcPr>
            <w:tcW w:w="1728" w:type="dxa"/>
            <w:tcBorders>
              <w:top w:val="nil"/>
              <w:left w:val="nil"/>
              <w:bottom w:val="single" w:color="000000" w:sz="12" w:space="0"/>
              <w:right w:val="nil"/>
            </w:tcBorders>
            <w:shd w:val="clear" w:color="auto" w:fill="FFFFFF"/>
            <w:vAlign w:val="center"/>
          </w:tcPr>
          <w:p w14:paraId="6B0D55F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r>
    </w:tbl>
    <w:p w14:paraId="41319114">
      <w:pPr>
        <w:rPr>
          <w:rFonts w:hint="default" w:ascii="Times New Roman" w:hAnsi="Times New Roman" w:cs="Times New Roman"/>
          <w:sz w:val="21"/>
          <w:szCs w:val="21"/>
        </w:rPr>
      </w:pPr>
    </w:p>
    <w:p w14:paraId="4C5AC14C">
      <w:pPr>
        <w:jc w:val="center"/>
        <w:rPr>
          <w:rFonts w:hint="default" w:ascii="Times New Roman" w:hAnsi="Times New Roman" w:cs="Times New Roman"/>
          <w:sz w:val="21"/>
          <w:szCs w:val="21"/>
        </w:rPr>
      </w:pPr>
      <w:r>
        <w:rPr>
          <w:rFonts w:hint="default" w:ascii="Times New Roman" w:hAnsi="Times New Roman" w:cs="Times New Roman"/>
          <w:b/>
          <w:sz w:val="21"/>
          <w:szCs w:val="21"/>
        </w:rPr>
        <w:t xml:space="preserve">Panel </w:t>
      </w:r>
      <w:r>
        <w:rPr>
          <w:rFonts w:hint="default" w:ascii="Times New Roman" w:hAnsi="Times New Roman" w:cs="Times New Roman"/>
          <w:b/>
          <w:sz w:val="21"/>
          <w:szCs w:val="21"/>
          <w:lang w:val="en-US"/>
        </w:rPr>
        <w:t>b</w:t>
      </w:r>
      <w:r>
        <w:rPr>
          <w:rFonts w:hint="default" w:ascii="Times New Roman" w:hAnsi="Times New Roman" w:cs="Times New Roman"/>
          <w:b/>
          <w:sz w:val="21"/>
          <w:szCs w:val="21"/>
        </w:rPr>
        <w:t>. Sensitivity analysis after excluding participants reporting daily or almost daily drinking</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1715"/>
        <w:gridCol w:w="1692"/>
        <w:gridCol w:w="1715"/>
        <w:gridCol w:w="1693"/>
      </w:tblGrid>
      <w:tr w14:paraId="7A16D5E9">
        <w:tc>
          <w:tcPr>
            <w:tcW w:w="1728" w:type="dxa"/>
            <w:tcBorders>
              <w:top w:val="single" w:color="000000" w:sz="12" w:space="0"/>
              <w:left w:val="nil"/>
              <w:bottom w:val="single" w:color="000000" w:sz="4" w:space="0"/>
              <w:right w:val="nil"/>
              <w:tl2br w:val="nil"/>
            </w:tcBorders>
            <w:shd w:val="clear" w:color="auto" w:fill="FFFFFF"/>
            <w:vAlign w:val="center"/>
          </w:tcPr>
          <w:p w14:paraId="591264C8">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Variable / comparison</w:t>
            </w:r>
          </w:p>
        </w:tc>
        <w:tc>
          <w:tcPr>
            <w:tcW w:w="1728" w:type="dxa"/>
            <w:tcBorders>
              <w:top w:val="single" w:color="000000" w:sz="12" w:space="0"/>
              <w:left w:val="nil"/>
              <w:bottom w:val="single" w:color="000000" w:sz="4" w:space="0"/>
              <w:right w:val="nil"/>
            </w:tcBorders>
            <w:shd w:val="clear" w:color="auto" w:fill="FFFFFF"/>
            <w:vAlign w:val="center"/>
          </w:tcPr>
          <w:p w14:paraId="03B8104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Primary model HR (95% CI)</w:t>
            </w:r>
          </w:p>
        </w:tc>
        <w:tc>
          <w:tcPr>
            <w:tcW w:w="1728" w:type="dxa"/>
            <w:tcBorders>
              <w:top w:val="single" w:color="000000" w:sz="12" w:space="0"/>
              <w:left w:val="nil"/>
              <w:bottom w:val="single" w:color="000000" w:sz="4" w:space="0"/>
              <w:right w:val="nil"/>
            </w:tcBorders>
            <w:shd w:val="clear" w:color="auto" w:fill="FFFFFF"/>
            <w:vAlign w:val="center"/>
          </w:tcPr>
          <w:p w14:paraId="385222FC">
            <w:pPr>
              <w:spacing w:after="0" w:line="240" w:lineRule="auto"/>
              <w:jc w:val="center"/>
              <w:rPr>
                <w:rFonts w:hint="default" w:ascii="Times New Roman" w:hAnsi="Times New Roman" w:cs="Times New Roman"/>
                <w:b w:val="0"/>
                <w:color w:val="000000"/>
                <w:sz w:val="21"/>
                <w:szCs w:val="21"/>
              </w:rPr>
            </w:pPr>
            <w:r>
              <w:rPr>
                <w:rFonts w:hint="default" w:ascii="Times New Roman Italic" w:hAnsi="Times New Roman Italic" w:cs="Times New Roman Italic"/>
                <w:b w:val="0"/>
                <w:i/>
                <w:iCs/>
                <w:color w:val="000000"/>
                <w:sz w:val="21"/>
                <w:szCs w:val="21"/>
              </w:rPr>
              <w:t>P</w:t>
            </w:r>
            <w:r>
              <w:rPr>
                <w:rFonts w:hint="default" w:ascii="Times New Roman" w:hAnsi="Times New Roman" w:cs="Times New Roman"/>
                <w:b w:val="0"/>
                <w:color w:val="000000"/>
                <w:sz w:val="21"/>
                <w:szCs w:val="21"/>
              </w:rPr>
              <w:t xml:space="preserve"> value</w:t>
            </w:r>
          </w:p>
        </w:tc>
        <w:tc>
          <w:tcPr>
            <w:tcW w:w="1728" w:type="dxa"/>
            <w:tcBorders>
              <w:top w:val="single" w:color="000000" w:sz="12" w:space="0"/>
              <w:left w:val="nil"/>
              <w:bottom w:val="single" w:color="000000" w:sz="4" w:space="0"/>
              <w:right w:val="nil"/>
            </w:tcBorders>
            <w:shd w:val="clear" w:color="auto" w:fill="FFFFFF"/>
            <w:vAlign w:val="center"/>
          </w:tcPr>
          <w:p w14:paraId="016FC36F">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Sensitivity model HR (95% CI)</w:t>
            </w:r>
          </w:p>
        </w:tc>
        <w:tc>
          <w:tcPr>
            <w:tcW w:w="1728" w:type="dxa"/>
            <w:tcBorders>
              <w:top w:val="single" w:color="000000" w:sz="12" w:space="0"/>
              <w:left w:val="nil"/>
              <w:bottom w:val="single" w:color="000000" w:sz="4" w:space="0"/>
              <w:right w:val="nil"/>
            </w:tcBorders>
            <w:shd w:val="clear" w:color="auto" w:fill="FFFFFF"/>
            <w:vAlign w:val="center"/>
          </w:tcPr>
          <w:p w14:paraId="2A5B09DF">
            <w:pPr>
              <w:spacing w:after="0" w:line="240" w:lineRule="auto"/>
              <w:jc w:val="center"/>
              <w:rPr>
                <w:rFonts w:hint="default" w:ascii="Times New Roman" w:hAnsi="Times New Roman" w:cs="Times New Roman"/>
                <w:b w:val="0"/>
                <w:color w:val="000000"/>
                <w:sz w:val="21"/>
                <w:szCs w:val="21"/>
              </w:rPr>
            </w:pPr>
            <w:r>
              <w:rPr>
                <w:rFonts w:hint="default" w:ascii="Times New Roman Italic" w:hAnsi="Times New Roman Italic" w:cs="Times New Roman Italic"/>
                <w:b w:val="0"/>
                <w:i/>
                <w:iCs/>
                <w:color w:val="000000"/>
                <w:sz w:val="21"/>
                <w:szCs w:val="21"/>
              </w:rPr>
              <w:t>P</w:t>
            </w:r>
            <w:r>
              <w:rPr>
                <w:rFonts w:hint="default" w:ascii="Times New Roman" w:hAnsi="Times New Roman" w:cs="Times New Roman"/>
                <w:b w:val="0"/>
                <w:color w:val="000000"/>
                <w:sz w:val="21"/>
                <w:szCs w:val="21"/>
              </w:rPr>
              <w:t xml:space="preserve"> value</w:t>
            </w:r>
          </w:p>
        </w:tc>
      </w:tr>
      <w:tr w14:paraId="214246EC">
        <w:tc>
          <w:tcPr>
            <w:tcW w:w="1728" w:type="dxa"/>
            <w:tcBorders>
              <w:top w:val="single" w:color="000000" w:sz="4" w:space="0"/>
              <w:left w:val="nil"/>
              <w:bottom w:val="nil"/>
              <w:right w:val="nil"/>
            </w:tcBorders>
            <w:shd w:val="clear" w:color="auto" w:fill="FFFFFF"/>
            <w:vAlign w:val="center"/>
          </w:tcPr>
          <w:p w14:paraId="53F285A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Serum IGF-1 (per 1 nmol/L increase)</w:t>
            </w:r>
          </w:p>
        </w:tc>
        <w:tc>
          <w:tcPr>
            <w:tcW w:w="1728" w:type="dxa"/>
            <w:tcBorders>
              <w:top w:val="single" w:color="000000" w:sz="4" w:space="0"/>
              <w:left w:val="nil"/>
              <w:bottom w:val="nil"/>
              <w:right w:val="nil"/>
            </w:tcBorders>
            <w:shd w:val="clear" w:color="auto" w:fill="FFFFFF"/>
            <w:vAlign w:val="center"/>
          </w:tcPr>
          <w:p w14:paraId="3CCF463A">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0.980 (0.974–0.987)</w:t>
            </w:r>
          </w:p>
        </w:tc>
        <w:tc>
          <w:tcPr>
            <w:tcW w:w="1728" w:type="dxa"/>
            <w:tcBorders>
              <w:top w:val="single" w:color="000000" w:sz="4" w:space="0"/>
              <w:left w:val="nil"/>
              <w:bottom w:val="nil"/>
              <w:right w:val="nil"/>
            </w:tcBorders>
            <w:shd w:val="clear" w:color="auto" w:fill="FFFFFF"/>
            <w:vAlign w:val="center"/>
          </w:tcPr>
          <w:p w14:paraId="3D1FC9A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c>
          <w:tcPr>
            <w:tcW w:w="1728" w:type="dxa"/>
            <w:tcBorders>
              <w:top w:val="single" w:color="000000" w:sz="4" w:space="0"/>
              <w:left w:val="nil"/>
              <w:bottom w:val="nil"/>
              <w:right w:val="nil"/>
            </w:tcBorders>
            <w:shd w:val="clear" w:color="auto" w:fill="FFFFFF"/>
            <w:vAlign w:val="center"/>
          </w:tcPr>
          <w:p w14:paraId="185E5034">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0.979 (0.967–0.992)</w:t>
            </w:r>
          </w:p>
        </w:tc>
        <w:tc>
          <w:tcPr>
            <w:tcW w:w="1728" w:type="dxa"/>
            <w:tcBorders>
              <w:top w:val="single" w:color="000000" w:sz="4" w:space="0"/>
              <w:left w:val="nil"/>
              <w:bottom w:val="nil"/>
              <w:right w:val="nil"/>
            </w:tcBorders>
            <w:shd w:val="clear" w:color="auto" w:fill="FFFFFF"/>
            <w:vAlign w:val="center"/>
          </w:tcPr>
          <w:p w14:paraId="62FF662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0.001</w:t>
            </w:r>
          </w:p>
        </w:tc>
      </w:tr>
      <w:tr w14:paraId="7F201C05">
        <w:tc>
          <w:tcPr>
            <w:tcW w:w="1728" w:type="dxa"/>
            <w:tcBorders>
              <w:top w:val="nil"/>
              <w:left w:val="nil"/>
              <w:bottom w:val="nil"/>
              <w:right w:val="nil"/>
            </w:tcBorders>
            <w:shd w:val="clear" w:color="auto" w:fill="FFFFFF"/>
            <w:vAlign w:val="center"/>
          </w:tcPr>
          <w:p w14:paraId="079D5FA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Occasional vs never</w:t>
            </w:r>
          </w:p>
        </w:tc>
        <w:tc>
          <w:tcPr>
            <w:tcW w:w="1728" w:type="dxa"/>
            <w:tcBorders>
              <w:top w:val="nil"/>
              <w:left w:val="nil"/>
              <w:bottom w:val="nil"/>
              <w:right w:val="nil"/>
            </w:tcBorders>
            <w:shd w:val="clear" w:color="auto" w:fill="FFFFFF"/>
            <w:vAlign w:val="center"/>
          </w:tcPr>
          <w:p w14:paraId="24F1DEB9">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0.660 (0.595–0.731)</w:t>
            </w:r>
          </w:p>
        </w:tc>
        <w:tc>
          <w:tcPr>
            <w:tcW w:w="1728" w:type="dxa"/>
            <w:tcBorders>
              <w:top w:val="nil"/>
              <w:left w:val="nil"/>
              <w:bottom w:val="nil"/>
              <w:right w:val="nil"/>
            </w:tcBorders>
            <w:shd w:val="clear" w:color="auto" w:fill="FFFFFF"/>
            <w:vAlign w:val="center"/>
          </w:tcPr>
          <w:p w14:paraId="2BB07C0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c>
          <w:tcPr>
            <w:tcW w:w="1728" w:type="dxa"/>
            <w:tcBorders>
              <w:top w:val="nil"/>
              <w:left w:val="nil"/>
              <w:bottom w:val="nil"/>
              <w:right w:val="nil"/>
            </w:tcBorders>
            <w:shd w:val="clear" w:color="auto" w:fill="FFFFFF"/>
            <w:vAlign w:val="center"/>
          </w:tcPr>
          <w:p w14:paraId="4E9A406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0.727 (0.575–0.920)</w:t>
            </w:r>
          </w:p>
        </w:tc>
        <w:tc>
          <w:tcPr>
            <w:tcW w:w="1728" w:type="dxa"/>
            <w:tcBorders>
              <w:top w:val="nil"/>
              <w:left w:val="nil"/>
              <w:bottom w:val="nil"/>
              <w:right w:val="nil"/>
            </w:tcBorders>
            <w:shd w:val="clear" w:color="auto" w:fill="FFFFFF"/>
            <w:vAlign w:val="center"/>
          </w:tcPr>
          <w:p w14:paraId="029E1BD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0.008</w:t>
            </w:r>
          </w:p>
        </w:tc>
      </w:tr>
      <w:tr w14:paraId="15EF1B62">
        <w:tc>
          <w:tcPr>
            <w:tcW w:w="1728" w:type="dxa"/>
            <w:tcBorders>
              <w:top w:val="nil"/>
              <w:left w:val="nil"/>
              <w:bottom w:val="single" w:color="000000" w:sz="12" w:space="0"/>
              <w:right w:val="nil"/>
            </w:tcBorders>
            <w:shd w:val="clear" w:color="auto" w:fill="FFFFFF"/>
            <w:vAlign w:val="center"/>
          </w:tcPr>
          <w:p w14:paraId="4DADD615">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Regular weekly vs never</w:t>
            </w:r>
          </w:p>
        </w:tc>
        <w:tc>
          <w:tcPr>
            <w:tcW w:w="1728" w:type="dxa"/>
            <w:tcBorders>
              <w:top w:val="nil"/>
              <w:left w:val="nil"/>
              <w:bottom w:val="single" w:color="000000" w:sz="12" w:space="0"/>
              <w:right w:val="nil"/>
            </w:tcBorders>
            <w:shd w:val="clear" w:color="auto" w:fill="FFFFFF"/>
            <w:vAlign w:val="center"/>
          </w:tcPr>
          <w:p w14:paraId="7299DDA1">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0.539 (0.490–0.593)</w:t>
            </w:r>
          </w:p>
        </w:tc>
        <w:tc>
          <w:tcPr>
            <w:tcW w:w="1728" w:type="dxa"/>
            <w:tcBorders>
              <w:top w:val="nil"/>
              <w:left w:val="nil"/>
              <w:bottom w:val="single" w:color="000000" w:sz="12" w:space="0"/>
              <w:right w:val="nil"/>
            </w:tcBorders>
            <w:shd w:val="clear" w:color="auto" w:fill="FFFFFF"/>
            <w:vAlign w:val="center"/>
          </w:tcPr>
          <w:p w14:paraId="4B082EF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c>
          <w:tcPr>
            <w:tcW w:w="1728" w:type="dxa"/>
            <w:tcBorders>
              <w:top w:val="nil"/>
              <w:left w:val="nil"/>
              <w:bottom w:val="single" w:color="000000" w:sz="12" w:space="0"/>
              <w:right w:val="nil"/>
            </w:tcBorders>
            <w:shd w:val="clear" w:color="auto" w:fill="FFFFFF"/>
            <w:vAlign w:val="center"/>
          </w:tcPr>
          <w:p w14:paraId="4AD42DC1">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0.589 (0.473–0.733)</w:t>
            </w:r>
          </w:p>
        </w:tc>
        <w:tc>
          <w:tcPr>
            <w:tcW w:w="1728" w:type="dxa"/>
            <w:tcBorders>
              <w:top w:val="nil"/>
              <w:left w:val="nil"/>
              <w:bottom w:val="single" w:color="000000" w:sz="12" w:space="0"/>
              <w:right w:val="nil"/>
            </w:tcBorders>
            <w:shd w:val="clear" w:color="auto" w:fill="FFFFFF"/>
            <w:vAlign w:val="center"/>
          </w:tcPr>
          <w:p w14:paraId="181494A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&lt;0.001</w:t>
            </w:r>
          </w:p>
        </w:tc>
      </w:tr>
    </w:tbl>
    <w:p w14:paraId="6D9C01ED">
      <w:pPr>
        <w:rPr>
          <w:rFonts w:hint="default" w:ascii="Times New Roman" w:hAnsi="Times New Roman" w:cs="Times New Roman"/>
          <w:sz w:val="21"/>
          <w:szCs w:val="21"/>
        </w:rPr>
      </w:pPr>
    </w:p>
    <w:p w14:paraId="4AE200FC">
      <w:pPr>
        <w:jc w:val="center"/>
        <w:rPr>
          <w:rFonts w:hint="default" w:ascii="Times New Roman" w:hAnsi="Times New Roman" w:cs="Times New Roman"/>
          <w:sz w:val="21"/>
          <w:szCs w:val="21"/>
        </w:rPr>
      </w:pPr>
      <w:r>
        <w:rPr>
          <w:rFonts w:hint="default" w:ascii="Times New Roman" w:hAnsi="Times New Roman" w:cs="Times New Roman"/>
          <w:b/>
          <w:sz w:val="21"/>
          <w:szCs w:val="21"/>
        </w:rPr>
        <w:t xml:space="preserve">Panel </w:t>
      </w:r>
      <w:r>
        <w:rPr>
          <w:rFonts w:hint="default" w:ascii="Times New Roman" w:hAnsi="Times New Roman" w:cs="Times New Roman"/>
          <w:b/>
          <w:sz w:val="21"/>
          <w:szCs w:val="21"/>
          <w:lang w:val="en-US"/>
        </w:rPr>
        <w:t>c</w:t>
      </w:r>
      <w:r>
        <w:rPr>
          <w:rFonts w:hint="default" w:ascii="Times New Roman" w:hAnsi="Times New Roman" w:cs="Times New Roman"/>
          <w:b/>
          <w:sz w:val="21"/>
          <w:szCs w:val="21"/>
        </w:rPr>
        <w:t>. Descriptive distribution of baseline alcohol-frequency categories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6"/>
        <w:gridCol w:w="1699"/>
        <w:gridCol w:w="1697"/>
        <w:gridCol w:w="1715"/>
        <w:gridCol w:w="1705"/>
      </w:tblGrid>
      <w:tr w14:paraId="6F029647">
        <w:tc>
          <w:tcPr>
            <w:tcW w:w="1728" w:type="dxa"/>
            <w:tcBorders>
              <w:top w:val="single" w:color="000000" w:sz="12" w:space="0"/>
              <w:left w:val="nil"/>
              <w:bottom w:val="single" w:color="000000" w:sz="4" w:space="0"/>
              <w:right w:val="nil"/>
              <w:tl2br w:val="nil"/>
            </w:tcBorders>
            <w:shd w:val="clear" w:color="auto" w:fill="FFFFFF"/>
            <w:vAlign w:val="center"/>
          </w:tcPr>
          <w:p w14:paraId="6F50D749">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Baseline alcohol frequency</w:t>
            </w:r>
          </w:p>
        </w:tc>
        <w:tc>
          <w:tcPr>
            <w:tcW w:w="1728" w:type="dxa"/>
            <w:tcBorders>
              <w:top w:val="single" w:color="000000" w:sz="12" w:space="0"/>
              <w:left w:val="nil"/>
              <w:bottom w:val="single" w:color="000000" w:sz="4" w:space="0"/>
              <w:right w:val="nil"/>
            </w:tcBorders>
            <w:shd w:val="clear" w:color="auto" w:fill="FFFFFF"/>
            <w:vAlign w:val="center"/>
          </w:tcPr>
          <w:p w14:paraId="4A8B5B2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w:t>
            </w:r>
          </w:p>
        </w:tc>
        <w:tc>
          <w:tcPr>
            <w:tcW w:w="1728" w:type="dxa"/>
            <w:tcBorders>
              <w:top w:val="single" w:color="000000" w:sz="12" w:space="0"/>
              <w:left w:val="nil"/>
              <w:bottom w:val="single" w:color="000000" w:sz="4" w:space="0"/>
              <w:right w:val="nil"/>
            </w:tcBorders>
            <w:shd w:val="clear" w:color="auto" w:fill="FFFFFF"/>
            <w:vAlign w:val="center"/>
          </w:tcPr>
          <w:p w14:paraId="61E041C0">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Events</w:t>
            </w:r>
          </w:p>
        </w:tc>
        <w:tc>
          <w:tcPr>
            <w:tcW w:w="1728" w:type="dxa"/>
            <w:tcBorders>
              <w:top w:val="single" w:color="000000" w:sz="12" w:space="0"/>
              <w:left w:val="nil"/>
              <w:bottom w:val="single" w:color="000000" w:sz="4" w:space="0"/>
              <w:right w:val="nil"/>
            </w:tcBorders>
            <w:shd w:val="clear" w:color="auto" w:fill="FFFFFF"/>
            <w:vAlign w:val="center"/>
          </w:tcPr>
          <w:p w14:paraId="6EBEA21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Person_years</w:t>
            </w:r>
          </w:p>
        </w:tc>
        <w:tc>
          <w:tcPr>
            <w:tcW w:w="1728" w:type="dxa"/>
            <w:tcBorders>
              <w:top w:val="single" w:color="000000" w:sz="12" w:space="0"/>
              <w:left w:val="nil"/>
              <w:bottom w:val="single" w:color="000000" w:sz="4" w:space="0"/>
              <w:right w:val="nil"/>
            </w:tcBorders>
            <w:shd w:val="clear" w:color="auto" w:fill="FFFFFF"/>
            <w:vAlign w:val="center"/>
          </w:tcPr>
          <w:p w14:paraId="61C40A44">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Incidence rate per 1,000 PY</w:t>
            </w:r>
          </w:p>
        </w:tc>
      </w:tr>
      <w:tr w14:paraId="3302C9FE">
        <w:tc>
          <w:tcPr>
            <w:tcW w:w="1728" w:type="dxa"/>
            <w:tcBorders>
              <w:top w:val="single" w:color="000000" w:sz="4" w:space="0"/>
              <w:left w:val="nil"/>
              <w:bottom w:val="nil"/>
              <w:right w:val="nil"/>
            </w:tcBorders>
            <w:shd w:val="clear" w:color="auto" w:fill="FFFFFF"/>
            <w:vAlign w:val="center"/>
          </w:tcPr>
          <w:p w14:paraId="7D1CA7F0">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Never</w:t>
            </w:r>
          </w:p>
        </w:tc>
        <w:tc>
          <w:tcPr>
            <w:tcW w:w="1728" w:type="dxa"/>
            <w:tcBorders>
              <w:top w:val="single" w:color="000000" w:sz="4" w:space="0"/>
              <w:left w:val="nil"/>
              <w:bottom w:val="nil"/>
              <w:right w:val="nil"/>
            </w:tcBorders>
            <w:shd w:val="clear" w:color="auto" w:fill="FFFFFF"/>
            <w:vAlign w:val="center"/>
          </w:tcPr>
          <w:p w14:paraId="539BF57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36973</w:t>
            </w:r>
          </w:p>
        </w:tc>
        <w:tc>
          <w:tcPr>
            <w:tcW w:w="1728" w:type="dxa"/>
            <w:tcBorders>
              <w:top w:val="single" w:color="000000" w:sz="4" w:space="0"/>
              <w:left w:val="nil"/>
              <w:bottom w:val="nil"/>
              <w:right w:val="nil"/>
            </w:tcBorders>
            <w:shd w:val="clear" w:color="auto" w:fill="FFFFFF"/>
            <w:vAlign w:val="center"/>
          </w:tcPr>
          <w:p w14:paraId="4B4AC01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610</w:t>
            </w:r>
          </w:p>
        </w:tc>
        <w:tc>
          <w:tcPr>
            <w:tcW w:w="1728" w:type="dxa"/>
            <w:tcBorders>
              <w:top w:val="single" w:color="000000" w:sz="4" w:space="0"/>
              <w:left w:val="nil"/>
              <w:bottom w:val="nil"/>
              <w:right w:val="nil"/>
            </w:tcBorders>
            <w:shd w:val="clear" w:color="auto" w:fill="FFFFFF"/>
            <w:vAlign w:val="center"/>
          </w:tcPr>
          <w:p w14:paraId="4C785F35">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502994.1</w:t>
            </w:r>
          </w:p>
        </w:tc>
        <w:tc>
          <w:tcPr>
            <w:tcW w:w="1728" w:type="dxa"/>
            <w:tcBorders>
              <w:top w:val="single" w:color="000000" w:sz="4" w:space="0"/>
              <w:left w:val="nil"/>
              <w:bottom w:val="nil"/>
              <w:right w:val="nil"/>
            </w:tcBorders>
            <w:shd w:val="clear" w:color="auto" w:fill="FFFFFF"/>
            <w:vAlign w:val="center"/>
          </w:tcPr>
          <w:p w14:paraId="2EF660A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1.213</w:t>
            </w:r>
          </w:p>
        </w:tc>
      </w:tr>
      <w:tr w14:paraId="6842BC85">
        <w:tc>
          <w:tcPr>
            <w:tcW w:w="1728" w:type="dxa"/>
            <w:tcBorders>
              <w:top w:val="nil"/>
              <w:left w:val="nil"/>
              <w:bottom w:val="nil"/>
              <w:right w:val="nil"/>
            </w:tcBorders>
            <w:shd w:val="clear" w:color="auto" w:fill="FFFFFF"/>
            <w:vAlign w:val="center"/>
          </w:tcPr>
          <w:p w14:paraId="31C1DB3F">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Special occasions only</w:t>
            </w:r>
          </w:p>
        </w:tc>
        <w:tc>
          <w:tcPr>
            <w:tcW w:w="1728" w:type="dxa"/>
            <w:tcBorders>
              <w:top w:val="nil"/>
              <w:left w:val="nil"/>
              <w:bottom w:val="nil"/>
              <w:right w:val="nil"/>
            </w:tcBorders>
            <w:shd w:val="clear" w:color="auto" w:fill="FFFFFF"/>
            <w:vAlign w:val="center"/>
          </w:tcPr>
          <w:p w14:paraId="1F1B1E9F">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53264</w:t>
            </w:r>
          </w:p>
        </w:tc>
        <w:tc>
          <w:tcPr>
            <w:tcW w:w="1728" w:type="dxa"/>
            <w:tcBorders>
              <w:top w:val="nil"/>
              <w:left w:val="nil"/>
              <w:bottom w:val="nil"/>
              <w:right w:val="nil"/>
            </w:tcBorders>
            <w:shd w:val="clear" w:color="auto" w:fill="FFFFFF"/>
            <w:vAlign w:val="center"/>
          </w:tcPr>
          <w:p w14:paraId="27AFF8B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628</w:t>
            </w:r>
          </w:p>
        </w:tc>
        <w:tc>
          <w:tcPr>
            <w:tcW w:w="1728" w:type="dxa"/>
            <w:tcBorders>
              <w:top w:val="nil"/>
              <w:left w:val="nil"/>
              <w:bottom w:val="nil"/>
              <w:right w:val="nil"/>
            </w:tcBorders>
            <w:shd w:val="clear" w:color="auto" w:fill="FFFFFF"/>
            <w:vAlign w:val="center"/>
          </w:tcPr>
          <w:p w14:paraId="4819C73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726731.0</w:t>
            </w:r>
          </w:p>
        </w:tc>
        <w:tc>
          <w:tcPr>
            <w:tcW w:w="1728" w:type="dxa"/>
            <w:tcBorders>
              <w:top w:val="nil"/>
              <w:left w:val="nil"/>
              <w:bottom w:val="nil"/>
              <w:right w:val="nil"/>
            </w:tcBorders>
            <w:shd w:val="clear" w:color="auto" w:fill="FFFFFF"/>
            <w:vAlign w:val="center"/>
          </w:tcPr>
          <w:p w14:paraId="062F9A38">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0.864</w:t>
            </w:r>
          </w:p>
        </w:tc>
      </w:tr>
      <w:tr w14:paraId="741F611E">
        <w:tc>
          <w:tcPr>
            <w:tcW w:w="1728" w:type="dxa"/>
            <w:tcBorders>
              <w:top w:val="nil"/>
              <w:left w:val="nil"/>
              <w:bottom w:val="nil"/>
              <w:right w:val="nil"/>
            </w:tcBorders>
            <w:shd w:val="clear" w:color="auto" w:fill="FFFFFF"/>
            <w:vAlign w:val="center"/>
          </w:tcPr>
          <w:p w14:paraId="19C6204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One to three times a month</w:t>
            </w:r>
          </w:p>
        </w:tc>
        <w:tc>
          <w:tcPr>
            <w:tcW w:w="1728" w:type="dxa"/>
            <w:tcBorders>
              <w:top w:val="nil"/>
              <w:left w:val="nil"/>
              <w:bottom w:val="nil"/>
              <w:right w:val="nil"/>
            </w:tcBorders>
            <w:shd w:val="clear" w:color="auto" w:fill="FFFFFF"/>
            <w:vAlign w:val="center"/>
          </w:tcPr>
          <w:p w14:paraId="73BCB92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51640</w:t>
            </w:r>
          </w:p>
        </w:tc>
        <w:tc>
          <w:tcPr>
            <w:tcW w:w="1728" w:type="dxa"/>
            <w:tcBorders>
              <w:top w:val="nil"/>
              <w:left w:val="nil"/>
              <w:bottom w:val="nil"/>
              <w:right w:val="nil"/>
            </w:tcBorders>
            <w:shd w:val="clear" w:color="auto" w:fill="FFFFFF"/>
            <w:vAlign w:val="center"/>
          </w:tcPr>
          <w:p w14:paraId="04FC483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482</w:t>
            </w:r>
          </w:p>
        </w:tc>
        <w:tc>
          <w:tcPr>
            <w:tcW w:w="1728" w:type="dxa"/>
            <w:tcBorders>
              <w:top w:val="nil"/>
              <w:left w:val="nil"/>
              <w:bottom w:val="nil"/>
              <w:right w:val="nil"/>
            </w:tcBorders>
            <w:shd w:val="clear" w:color="auto" w:fill="FFFFFF"/>
            <w:vAlign w:val="center"/>
          </w:tcPr>
          <w:p w14:paraId="5648933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706815.6</w:t>
            </w:r>
          </w:p>
        </w:tc>
        <w:tc>
          <w:tcPr>
            <w:tcW w:w="1728" w:type="dxa"/>
            <w:tcBorders>
              <w:top w:val="nil"/>
              <w:left w:val="nil"/>
              <w:bottom w:val="nil"/>
              <w:right w:val="nil"/>
            </w:tcBorders>
            <w:shd w:val="clear" w:color="auto" w:fill="FFFFFF"/>
            <w:vAlign w:val="center"/>
          </w:tcPr>
          <w:p w14:paraId="1943D244">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0.682</w:t>
            </w:r>
          </w:p>
        </w:tc>
      </w:tr>
      <w:tr w14:paraId="31DAFC61">
        <w:tc>
          <w:tcPr>
            <w:tcW w:w="1728" w:type="dxa"/>
            <w:tcBorders>
              <w:top w:val="nil"/>
              <w:left w:val="nil"/>
              <w:bottom w:val="nil"/>
              <w:right w:val="nil"/>
            </w:tcBorders>
            <w:shd w:val="clear" w:color="auto" w:fill="FFFFFF"/>
            <w:vAlign w:val="center"/>
          </w:tcPr>
          <w:p w14:paraId="5D25B3A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Once or twice a week</w:t>
            </w:r>
          </w:p>
        </w:tc>
        <w:tc>
          <w:tcPr>
            <w:tcW w:w="1728" w:type="dxa"/>
            <w:tcBorders>
              <w:top w:val="nil"/>
              <w:left w:val="nil"/>
              <w:bottom w:val="nil"/>
              <w:right w:val="nil"/>
            </w:tcBorders>
            <w:shd w:val="clear" w:color="auto" w:fill="FFFFFF"/>
            <w:vAlign w:val="center"/>
          </w:tcPr>
          <w:p w14:paraId="1788DEA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119771</w:t>
            </w:r>
          </w:p>
        </w:tc>
        <w:tc>
          <w:tcPr>
            <w:tcW w:w="1728" w:type="dxa"/>
            <w:tcBorders>
              <w:top w:val="nil"/>
              <w:left w:val="nil"/>
              <w:bottom w:val="nil"/>
              <w:right w:val="nil"/>
            </w:tcBorders>
            <w:shd w:val="clear" w:color="auto" w:fill="FFFFFF"/>
            <w:vAlign w:val="center"/>
          </w:tcPr>
          <w:p w14:paraId="19EDB810">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1056</w:t>
            </w:r>
          </w:p>
        </w:tc>
        <w:tc>
          <w:tcPr>
            <w:tcW w:w="1728" w:type="dxa"/>
            <w:tcBorders>
              <w:top w:val="nil"/>
              <w:left w:val="nil"/>
              <w:bottom w:val="nil"/>
              <w:right w:val="nil"/>
            </w:tcBorders>
            <w:shd w:val="clear" w:color="auto" w:fill="FFFFFF"/>
            <w:vAlign w:val="center"/>
          </w:tcPr>
          <w:p w14:paraId="7C57948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1642742.6</w:t>
            </w:r>
          </w:p>
        </w:tc>
        <w:tc>
          <w:tcPr>
            <w:tcW w:w="1728" w:type="dxa"/>
            <w:tcBorders>
              <w:top w:val="nil"/>
              <w:left w:val="nil"/>
              <w:bottom w:val="nil"/>
              <w:right w:val="nil"/>
            </w:tcBorders>
            <w:shd w:val="clear" w:color="auto" w:fill="FFFFFF"/>
            <w:vAlign w:val="center"/>
          </w:tcPr>
          <w:p w14:paraId="4CF5597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0.643</w:t>
            </w:r>
          </w:p>
        </w:tc>
      </w:tr>
      <w:tr w14:paraId="34AF5838">
        <w:tc>
          <w:tcPr>
            <w:tcW w:w="1728" w:type="dxa"/>
            <w:tcBorders>
              <w:top w:val="nil"/>
              <w:left w:val="nil"/>
              <w:bottom w:val="nil"/>
              <w:right w:val="nil"/>
            </w:tcBorders>
            <w:shd w:val="clear" w:color="auto" w:fill="FFFFFF"/>
            <w:vAlign w:val="center"/>
          </w:tcPr>
          <w:p w14:paraId="5A3B3A2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Three or four times a week</w:t>
            </w:r>
          </w:p>
        </w:tc>
        <w:tc>
          <w:tcPr>
            <w:tcW w:w="1728" w:type="dxa"/>
            <w:tcBorders>
              <w:top w:val="nil"/>
              <w:left w:val="nil"/>
              <w:bottom w:val="nil"/>
              <w:right w:val="nil"/>
            </w:tcBorders>
            <w:shd w:val="clear" w:color="auto" w:fill="FFFFFF"/>
            <w:vAlign w:val="center"/>
          </w:tcPr>
          <w:p w14:paraId="41E0B4D9">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107319</w:t>
            </w:r>
          </w:p>
        </w:tc>
        <w:tc>
          <w:tcPr>
            <w:tcW w:w="1728" w:type="dxa"/>
            <w:tcBorders>
              <w:top w:val="nil"/>
              <w:left w:val="nil"/>
              <w:bottom w:val="nil"/>
              <w:right w:val="nil"/>
            </w:tcBorders>
            <w:shd w:val="clear" w:color="auto" w:fill="FFFFFF"/>
            <w:vAlign w:val="center"/>
          </w:tcPr>
          <w:p w14:paraId="6A9A820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839</w:t>
            </w:r>
          </w:p>
        </w:tc>
        <w:tc>
          <w:tcPr>
            <w:tcW w:w="1728" w:type="dxa"/>
            <w:tcBorders>
              <w:top w:val="nil"/>
              <w:left w:val="nil"/>
              <w:bottom w:val="nil"/>
              <w:right w:val="nil"/>
            </w:tcBorders>
            <w:shd w:val="clear" w:color="auto" w:fill="FFFFFF"/>
            <w:vAlign w:val="center"/>
          </w:tcPr>
          <w:p w14:paraId="32D5483A">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1473056.7</w:t>
            </w:r>
          </w:p>
        </w:tc>
        <w:tc>
          <w:tcPr>
            <w:tcW w:w="1728" w:type="dxa"/>
            <w:tcBorders>
              <w:top w:val="nil"/>
              <w:left w:val="nil"/>
              <w:bottom w:val="nil"/>
              <w:right w:val="nil"/>
            </w:tcBorders>
            <w:shd w:val="clear" w:color="auto" w:fill="FFFFFF"/>
            <w:vAlign w:val="center"/>
          </w:tcPr>
          <w:p w14:paraId="6BE47248">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0.570</w:t>
            </w:r>
          </w:p>
        </w:tc>
      </w:tr>
      <w:tr w14:paraId="0464E494">
        <w:tc>
          <w:tcPr>
            <w:tcW w:w="1728" w:type="dxa"/>
            <w:tcBorders>
              <w:top w:val="nil"/>
              <w:left w:val="nil"/>
              <w:bottom w:val="single" w:color="000000" w:sz="12" w:space="0"/>
              <w:right w:val="nil"/>
            </w:tcBorders>
            <w:shd w:val="clear" w:color="auto" w:fill="FFFFFF"/>
            <w:vAlign w:val="center"/>
          </w:tcPr>
          <w:p w14:paraId="12684EA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Daily or almost daily</w:t>
            </w:r>
          </w:p>
        </w:tc>
        <w:tc>
          <w:tcPr>
            <w:tcW w:w="1728" w:type="dxa"/>
            <w:tcBorders>
              <w:top w:val="nil"/>
              <w:left w:val="nil"/>
              <w:bottom w:val="single" w:color="000000" w:sz="12" w:space="0"/>
              <w:right w:val="nil"/>
            </w:tcBorders>
            <w:shd w:val="clear" w:color="auto" w:fill="FFFFFF"/>
            <w:vAlign w:val="center"/>
          </w:tcPr>
          <w:p w14:paraId="2F5C37F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94653</w:t>
            </w:r>
          </w:p>
        </w:tc>
        <w:tc>
          <w:tcPr>
            <w:tcW w:w="1728" w:type="dxa"/>
            <w:tcBorders>
              <w:top w:val="nil"/>
              <w:left w:val="nil"/>
              <w:bottom w:val="single" w:color="000000" w:sz="12" w:space="0"/>
              <w:right w:val="nil"/>
            </w:tcBorders>
            <w:shd w:val="clear" w:color="auto" w:fill="FFFFFF"/>
            <w:vAlign w:val="center"/>
          </w:tcPr>
          <w:p w14:paraId="3A3BED3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889</w:t>
            </w:r>
          </w:p>
        </w:tc>
        <w:tc>
          <w:tcPr>
            <w:tcW w:w="1728" w:type="dxa"/>
            <w:tcBorders>
              <w:top w:val="nil"/>
              <w:left w:val="nil"/>
              <w:bottom w:val="single" w:color="000000" w:sz="12" w:space="0"/>
              <w:right w:val="nil"/>
            </w:tcBorders>
            <w:shd w:val="clear" w:color="auto" w:fill="FFFFFF"/>
            <w:vAlign w:val="center"/>
          </w:tcPr>
          <w:p w14:paraId="27EE016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1296887.6</w:t>
            </w:r>
          </w:p>
        </w:tc>
        <w:tc>
          <w:tcPr>
            <w:tcW w:w="1728" w:type="dxa"/>
            <w:tcBorders>
              <w:top w:val="nil"/>
              <w:left w:val="nil"/>
              <w:bottom w:val="single" w:color="000000" w:sz="12" w:space="0"/>
              <w:right w:val="nil"/>
            </w:tcBorders>
            <w:shd w:val="clear" w:color="auto" w:fill="FFFFFF"/>
            <w:vAlign w:val="center"/>
          </w:tcPr>
          <w:p w14:paraId="3687757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0.685</w:t>
            </w:r>
          </w:p>
        </w:tc>
      </w:tr>
    </w:tbl>
    <w:p w14:paraId="55E44C0D">
      <w:pPr>
        <w:rPr>
          <w:rFonts w:hint="default" w:ascii="Times New Roman" w:hAnsi="Times New Roman" w:cs="Times New Roman"/>
          <w:sz w:val="21"/>
          <w:szCs w:val="21"/>
        </w:rPr>
      </w:pPr>
      <w:r>
        <w:rPr>
          <w:rFonts w:hint="default" w:ascii="Times New Roman" w:hAnsi="Times New Roman" w:cs="Times New Roman"/>
          <w:sz w:val="21"/>
          <w:szCs w:val="21"/>
        </w:rPr>
        <w:t>Alcohol frequency was re-coded using the available baseline UK Biobank categories. 'Prefer not to answer' and missing responses were treated as missing. Because information on former drinking was not available in the analytic dataset, participants were categorized as never, occasional (special occasions only or one to three times a month), regular weekly (once or twice a week or three or four times a week), or daily/almost daily. Both models used complete-case analysis.</w:t>
      </w:r>
    </w:p>
    <w:p w14:paraId="367867E5">
      <w:pPr>
        <w:rPr>
          <w:rFonts w:hint="default" w:ascii="Times New Roman" w:hAnsi="Times New Roman" w:cs="Times New Roman"/>
          <w:sz w:val="21"/>
          <w:szCs w:val="21"/>
        </w:rPr>
      </w:pPr>
    </w:p>
    <w:p w14:paraId="5E1271EF">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Notes. </w:t>
      </w:r>
      <w:r>
        <w:rPr>
          <w:rFonts w:hint="default" w:ascii="Times New Roman" w:hAnsi="Times New Roman" w:cs="Times New Roman"/>
          <w:sz w:val="21"/>
          <w:szCs w:val="21"/>
          <w:lang w:val="en-US" w:eastAsia="zh-CN"/>
        </w:rPr>
        <w:t>In Panel a, the original binary alcohol variable was replaced with a refined alcohol-frequency variable based on the available baseline UK Biobank categories: never, occasional, regular weekly, and daily/almost daily drinking. In Panel b</w:t>
      </w:r>
      <w:bookmarkStart w:id="0" w:name="_GoBack"/>
      <w:bookmarkEnd w:id="0"/>
      <w:r>
        <w:rPr>
          <w:rFonts w:hint="default" w:ascii="Times New Roman" w:hAnsi="Times New Roman" w:cs="Times New Roman"/>
          <w:sz w:val="21"/>
          <w:szCs w:val="21"/>
          <w:lang w:val="en-US" w:eastAsia="zh-CN"/>
        </w:rPr>
        <w:t>, participants who reported drinking daily or almost daily were excluded, and the Cox proportional hazards models were refitted. The primary model was adjusted for age, sex, BMI, smoking, alcohol, sleep hours per day, and loneliness. The sensitivity model was additionally adjusted for ethnicity, education, deprivation, physical activity, and working hours in a reduced complete-case sample. Hazard ratios are presented per 1 nmol/L increase in serum IGF-1. These analyses show that the inverse association between serum IGF-1 and incident epilepsy remained materially unchanged after alternative alcohol coding and after exclusion of daily/almost daily drinkers.</w:t>
      </w:r>
      <w:r>
        <w:rPr>
          <w:rFonts w:hint="default" w:ascii="Times New Roman" w:hAnsi="Times New Roman" w:cs="Times New Roman"/>
          <w:sz w:val="21"/>
          <w:szCs w:val="21"/>
          <w:lang w:val="en-US" w:eastAsia="zh-CN"/>
        </w:rPr>
        <w:br w:type="page"/>
      </w:r>
    </w:p>
    <w:p w14:paraId="1B770F38">
      <w:pPr>
        <w:rPr>
          <w:rFonts w:hint="default" w:ascii="Times New Roman" w:hAnsi="Times New Roman" w:cs="Times New Roman"/>
          <w:color w:val="auto"/>
          <w:sz w:val="21"/>
          <w:szCs w:val="21"/>
        </w:rPr>
      </w:pPr>
      <w:r>
        <w:rPr>
          <w:rFonts w:hint="eastAsia" w:ascii="Times New Roman" w:hAnsi="Times New Roman" w:cs="Times New Roman"/>
          <w:b/>
          <w:color w:val="auto"/>
          <w:sz w:val="21"/>
          <w:szCs w:val="21"/>
          <w:lang w:eastAsia="zh-CN"/>
        </w:rPr>
        <w:t>STable</w:t>
      </w:r>
      <w:r>
        <w:rPr>
          <w:rFonts w:hint="default" w:ascii="Times New Roman" w:hAnsi="Times New Roman" w:cs="Times New Roman"/>
          <w:b/>
          <w:color w:val="auto"/>
          <w:sz w:val="21"/>
          <w:szCs w:val="21"/>
        </w:rPr>
        <w:t xml:space="preserve"> 7. FDR-adjusted results for the associations between serum IGF-1 and cognitive performance across domains.</w:t>
      </w:r>
    </w:p>
    <w:tbl>
      <w:tblPr>
        <w:tblStyle w:val="7"/>
        <w:tblpPr w:leftFromText="180" w:rightFromText="180" w:vertAnchor="text" w:horzAnchor="page" w:tblpX="965" w:tblpY="316"/>
        <w:tblOverlap w:val="never"/>
        <w:tblW w:w="1023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72"/>
        <w:gridCol w:w="1231"/>
        <w:gridCol w:w="1685"/>
        <w:gridCol w:w="1210"/>
        <w:gridCol w:w="1626"/>
        <w:gridCol w:w="2614"/>
      </w:tblGrid>
      <w:tr w14:paraId="5691CE9C">
        <w:trPr>
          <w:trHeight w:val="624" w:hRule="atLeast"/>
        </w:trPr>
        <w:tc>
          <w:tcPr>
            <w:tcW w:w="1872" w:type="dxa"/>
            <w:tcBorders>
              <w:top w:val="single" w:color="auto" w:sz="4" w:space="0"/>
              <w:bottom w:val="single" w:color="auto" w:sz="4" w:space="0"/>
              <w:tl2br w:val="nil"/>
            </w:tcBorders>
            <w:shd w:val="clear" w:color="auto" w:fill="FFFFFF"/>
            <w:vAlign w:val="center"/>
          </w:tcPr>
          <w:p w14:paraId="455BAF4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Cognitive domain</w:t>
            </w:r>
          </w:p>
        </w:tc>
        <w:tc>
          <w:tcPr>
            <w:tcW w:w="1231" w:type="dxa"/>
            <w:tcBorders>
              <w:top w:val="single" w:color="auto" w:sz="4" w:space="0"/>
              <w:bottom w:val="single" w:color="auto" w:sz="4" w:space="0"/>
            </w:tcBorders>
            <w:shd w:val="clear" w:color="auto" w:fill="FFFFFF"/>
            <w:vAlign w:val="center"/>
          </w:tcPr>
          <w:p w14:paraId="3D816F8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Effect estimate</w:t>
            </w:r>
          </w:p>
        </w:tc>
        <w:tc>
          <w:tcPr>
            <w:tcW w:w="1685" w:type="dxa"/>
            <w:tcBorders>
              <w:top w:val="single" w:color="auto" w:sz="4" w:space="0"/>
              <w:bottom w:val="single" w:color="auto" w:sz="4" w:space="0"/>
            </w:tcBorders>
            <w:shd w:val="clear" w:color="auto" w:fill="FFFFFF"/>
            <w:vAlign w:val="center"/>
          </w:tcPr>
          <w:p w14:paraId="37FC10E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95% CI</w:t>
            </w:r>
          </w:p>
        </w:tc>
        <w:tc>
          <w:tcPr>
            <w:tcW w:w="1210" w:type="dxa"/>
            <w:tcBorders>
              <w:top w:val="single" w:color="auto" w:sz="4" w:space="0"/>
              <w:bottom w:val="single" w:color="auto" w:sz="4" w:space="0"/>
            </w:tcBorders>
            <w:shd w:val="clear" w:color="auto" w:fill="FFFFFF"/>
            <w:vAlign w:val="center"/>
          </w:tcPr>
          <w:p w14:paraId="6022456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Raw </w:t>
            </w:r>
            <w:r>
              <w:rPr>
                <w:rFonts w:hint="default" w:ascii="Times New Roman Italic" w:hAnsi="Times New Roman Italic" w:cs="Times New Roman Italic"/>
                <w:b w:val="0"/>
                <w:i/>
                <w:iCs/>
                <w:color w:val="000000"/>
                <w:sz w:val="21"/>
                <w:szCs w:val="21"/>
              </w:rPr>
              <w:t>P</w:t>
            </w:r>
            <w:r>
              <w:rPr>
                <w:rFonts w:hint="default" w:ascii="Times New Roman" w:hAnsi="Times New Roman" w:cs="Times New Roman"/>
                <w:b w:val="0"/>
                <w:color w:val="000000"/>
                <w:sz w:val="21"/>
                <w:szCs w:val="21"/>
              </w:rPr>
              <w:t xml:space="preserve"> value</w:t>
            </w:r>
          </w:p>
        </w:tc>
        <w:tc>
          <w:tcPr>
            <w:tcW w:w="1626" w:type="dxa"/>
            <w:tcBorders>
              <w:top w:val="single" w:color="auto" w:sz="4" w:space="0"/>
              <w:bottom w:val="single" w:color="auto" w:sz="4" w:space="0"/>
            </w:tcBorders>
            <w:shd w:val="clear" w:color="auto" w:fill="FFFFFF"/>
            <w:vAlign w:val="center"/>
          </w:tcPr>
          <w:p w14:paraId="24BCC87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FDR-adjusted q value</w:t>
            </w:r>
          </w:p>
        </w:tc>
        <w:tc>
          <w:tcPr>
            <w:tcW w:w="2614" w:type="dxa"/>
            <w:tcBorders>
              <w:top w:val="single" w:color="auto" w:sz="4" w:space="0"/>
              <w:bottom w:val="single" w:color="auto" w:sz="4" w:space="0"/>
            </w:tcBorders>
            <w:shd w:val="clear" w:color="auto" w:fill="FFFFFF"/>
            <w:vAlign w:val="center"/>
          </w:tcPr>
          <w:p w14:paraId="20EA1D0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Interpretation</w:t>
            </w:r>
          </w:p>
        </w:tc>
      </w:tr>
      <w:tr w14:paraId="46982C6C">
        <w:trPr>
          <w:trHeight w:val="624" w:hRule="atLeast"/>
        </w:trPr>
        <w:tc>
          <w:tcPr>
            <w:tcW w:w="1872" w:type="dxa"/>
            <w:tcBorders>
              <w:top w:val="single" w:color="auto" w:sz="4" w:space="0"/>
            </w:tcBorders>
            <w:shd w:val="clear" w:color="auto" w:fill="FFFFFF"/>
            <w:vAlign w:val="center"/>
          </w:tcPr>
          <w:p w14:paraId="167725AF">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Reaction time</w:t>
            </w:r>
          </w:p>
        </w:tc>
        <w:tc>
          <w:tcPr>
            <w:tcW w:w="1231" w:type="dxa"/>
            <w:tcBorders>
              <w:top w:val="single" w:color="auto" w:sz="4" w:space="0"/>
            </w:tcBorders>
            <w:shd w:val="clear" w:color="auto" w:fill="FFFFFF"/>
            <w:vAlign w:val="center"/>
          </w:tcPr>
          <w:p w14:paraId="73702B13">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β = -1.588</w:t>
            </w:r>
          </w:p>
        </w:tc>
        <w:tc>
          <w:tcPr>
            <w:tcW w:w="1685" w:type="dxa"/>
            <w:tcBorders>
              <w:top w:val="single" w:color="auto" w:sz="4" w:space="0"/>
            </w:tcBorders>
            <w:shd w:val="clear" w:color="auto" w:fill="FFFFFF"/>
            <w:vAlign w:val="center"/>
          </w:tcPr>
          <w:p w14:paraId="195B2BBA">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-2.997 to -0.180</w:t>
            </w:r>
          </w:p>
        </w:tc>
        <w:tc>
          <w:tcPr>
            <w:tcW w:w="1210" w:type="dxa"/>
            <w:tcBorders>
              <w:top w:val="single" w:color="auto" w:sz="4" w:space="0"/>
            </w:tcBorders>
            <w:shd w:val="clear" w:color="auto" w:fill="FFFFFF"/>
            <w:vAlign w:val="center"/>
          </w:tcPr>
          <w:p w14:paraId="02B0C5A4">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0.027</w:t>
            </w:r>
          </w:p>
        </w:tc>
        <w:tc>
          <w:tcPr>
            <w:tcW w:w="1626" w:type="dxa"/>
            <w:tcBorders>
              <w:top w:val="single" w:color="auto" w:sz="4" w:space="0"/>
            </w:tcBorders>
            <w:shd w:val="clear" w:color="auto" w:fill="FFFFFF"/>
            <w:vAlign w:val="center"/>
          </w:tcPr>
          <w:p w14:paraId="78E8A62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0.078</w:t>
            </w:r>
          </w:p>
        </w:tc>
        <w:tc>
          <w:tcPr>
            <w:tcW w:w="2614" w:type="dxa"/>
            <w:tcBorders>
              <w:top w:val="single" w:color="auto" w:sz="4" w:space="0"/>
            </w:tcBorders>
            <w:shd w:val="clear" w:color="auto" w:fill="FFFFFF"/>
            <w:vAlign w:val="center"/>
          </w:tcPr>
          <w:p w14:paraId="49A5BAC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Not significant after FDR</w:t>
            </w:r>
          </w:p>
        </w:tc>
      </w:tr>
      <w:tr w14:paraId="6264122F">
        <w:trPr>
          <w:trHeight w:val="624" w:hRule="atLeast"/>
        </w:trPr>
        <w:tc>
          <w:tcPr>
            <w:tcW w:w="1872" w:type="dxa"/>
            <w:shd w:val="clear" w:color="auto" w:fill="FFFFFF"/>
            <w:vAlign w:val="center"/>
          </w:tcPr>
          <w:p w14:paraId="7089E48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Visuospatial memory</w:t>
            </w:r>
          </w:p>
        </w:tc>
        <w:tc>
          <w:tcPr>
            <w:tcW w:w="1231" w:type="dxa"/>
            <w:shd w:val="clear" w:color="auto" w:fill="FFFFFF"/>
            <w:vAlign w:val="center"/>
          </w:tcPr>
          <w:p w14:paraId="091D3503">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β = -0.021</w:t>
            </w:r>
          </w:p>
        </w:tc>
        <w:tc>
          <w:tcPr>
            <w:tcW w:w="1685" w:type="dxa"/>
            <w:shd w:val="clear" w:color="auto" w:fill="FFFFFF"/>
            <w:vAlign w:val="center"/>
          </w:tcPr>
          <w:p w14:paraId="4E4DE0D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-0.053 to 0.012</w:t>
            </w:r>
          </w:p>
        </w:tc>
        <w:tc>
          <w:tcPr>
            <w:tcW w:w="1210" w:type="dxa"/>
            <w:shd w:val="clear" w:color="auto" w:fill="FFFFFF"/>
            <w:vAlign w:val="center"/>
          </w:tcPr>
          <w:p w14:paraId="529E77E2">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0.209</w:t>
            </w:r>
          </w:p>
        </w:tc>
        <w:tc>
          <w:tcPr>
            <w:tcW w:w="1626" w:type="dxa"/>
            <w:shd w:val="clear" w:color="auto" w:fill="FFFFFF"/>
            <w:vAlign w:val="center"/>
          </w:tcPr>
          <w:p w14:paraId="6ECB436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0.257</w:t>
            </w:r>
          </w:p>
        </w:tc>
        <w:tc>
          <w:tcPr>
            <w:tcW w:w="2614" w:type="dxa"/>
            <w:shd w:val="clear" w:color="auto" w:fill="FFFFFF"/>
            <w:vAlign w:val="center"/>
          </w:tcPr>
          <w:p w14:paraId="6BEA901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Not significant after FDR</w:t>
            </w:r>
          </w:p>
        </w:tc>
      </w:tr>
      <w:tr w14:paraId="1C65A9FA">
        <w:trPr>
          <w:trHeight w:val="624" w:hRule="atLeast"/>
        </w:trPr>
        <w:tc>
          <w:tcPr>
            <w:tcW w:w="1872" w:type="dxa"/>
            <w:shd w:val="clear" w:color="auto" w:fill="FFFFFF"/>
            <w:vAlign w:val="center"/>
          </w:tcPr>
          <w:p w14:paraId="768BC91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Numeric memory</w:t>
            </w:r>
          </w:p>
        </w:tc>
        <w:tc>
          <w:tcPr>
            <w:tcW w:w="1231" w:type="dxa"/>
            <w:shd w:val="clear" w:color="auto" w:fill="FFFFFF"/>
            <w:vAlign w:val="center"/>
          </w:tcPr>
          <w:p w14:paraId="308FA33E">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β = 0.054</w:t>
            </w:r>
          </w:p>
        </w:tc>
        <w:tc>
          <w:tcPr>
            <w:tcW w:w="1685" w:type="dxa"/>
            <w:shd w:val="clear" w:color="auto" w:fill="FFFFFF"/>
            <w:vAlign w:val="center"/>
          </w:tcPr>
          <w:p w14:paraId="05D0F679">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-0.007 to 0.114</w:t>
            </w:r>
          </w:p>
        </w:tc>
        <w:tc>
          <w:tcPr>
            <w:tcW w:w="1210" w:type="dxa"/>
            <w:shd w:val="clear" w:color="auto" w:fill="FFFFFF"/>
            <w:vAlign w:val="center"/>
          </w:tcPr>
          <w:p w14:paraId="58DFF287">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0.084</w:t>
            </w:r>
          </w:p>
        </w:tc>
        <w:tc>
          <w:tcPr>
            <w:tcW w:w="1626" w:type="dxa"/>
            <w:shd w:val="clear" w:color="auto" w:fill="FFFFFF"/>
            <w:vAlign w:val="center"/>
          </w:tcPr>
          <w:p w14:paraId="5F456FAF">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0.140</w:t>
            </w:r>
          </w:p>
        </w:tc>
        <w:tc>
          <w:tcPr>
            <w:tcW w:w="2614" w:type="dxa"/>
            <w:shd w:val="clear" w:color="auto" w:fill="FFFFFF"/>
            <w:vAlign w:val="center"/>
          </w:tcPr>
          <w:p w14:paraId="60266F3F">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Not significant after FDR</w:t>
            </w:r>
          </w:p>
        </w:tc>
      </w:tr>
      <w:tr w14:paraId="334B1394">
        <w:trPr>
          <w:trHeight w:val="624" w:hRule="atLeast"/>
        </w:trPr>
        <w:tc>
          <w:tcPr>
            <w:tcW w:w="1872" w:type="dxa"/>
            <w:shd w:val="clear" w:color="auto" w:fill="FFFFFF"/>
            <w:vAlign w:val="center"/>
          </w:tcPr>
          <w:p w14:paraId="20C4B24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Fluid intelligence</w:t>
            </w:r>
          </w:p>
        </w:tc>
        <w:tc>
          <w:tcPr>
            <w:tcW w:w="1231" w:type="dxa"/>
            <w:shd w:val="clear" w:color="auto" w:fill="FFFFFF"/>
            <w:vAlign w:val="center"/>
          </w:tcPr>
          <w:p w14:paraId="0FCD6A9F">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β = 0.018</w:t>
            </w:r>
          </w:p>
        </w:tc>
        <w:tc>
          <w:tcPr>
            <w:tcW w:w="1685" w:type="dxa"/>
            <w:shd w:val="clear" w:color="auto" w:fill="FFFFFF"/>
            <w:vAlign w:val="center"/>
          </w:tcPr>
          <w:p w14:paraId="74323060">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-0.013 to 0.050</w:t>
            </w:r>
          </w:p>
        </w:tc>
        <w:tc>
          <w:tcPr>
            <w:tcW w:w="1210" w:type="dxa"/>
            <w:shd w:val="clear" w:color="auto" w:fill="FFFFFF"/>
            <w:vAlign w:val="center"/>
          </w:tcPr>
          <w:p w14:paraId="6DA842A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0.257</w:t>
            </w:r>
          </w:p>
        </w:tc>
        <w:tc>
          <w:tcPr>
            <w:tcW w:w="1626" w:type="dxa"/>
            <w:shd w:val="clear" w:color="auto" w:fill="FFFFFF"/>
            <w:vAlign w:val="center"/>
          </w:tcPr>
          <w:p w14:paraId="2C560B01">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0.257</w:t>
            </w:r>
          </w:p>
        </w:tc>
        <w:tc>
          <w:tcPr>
            <w:tcW w:w="2614" w:type="dxa"/>
            <w:shd w:val="clear" w:color="auto" w:fill="FFFFFF"/>
            <w:vAlign w:val="center"/>
          </w:tcPr>
          <w:p w14:paraId="5BBF3ED3">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Not significant after FDR</w:t>
            </w:r>
          </w:p>
        </w:tc>
      </w:tr>
      <w:tr w14:paraId="2E2CA125">
        <w:trPr>
          <w:trHeight w:val="624" w:hRule="atLeast"/>
        </w:trPr>
        <w:tc>
          <w:tcPr>
            <w:tcW w:w="1872" w:type="dxa"/>
            <w:shd w:val="clear" w:color="auto" w:fill="FFFFFF"/>
            <w:vAlign w:val="center"/>
          </w:tcPr>
          <w:p w14:paraId="67BEE0AB">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Prospective memory</w:t>
            </w:r>
          </w:p>
        </w:tc>
        <w:tc>
          <w:tcPr>
            <w:tcW w:w="1231" w:type="dxa"/>
            <w:shd w:val="clear" w:color="auto" w:fill="FFFFFF"/>
            <w:vAlign w:val="center"/>
          </w:tcPr>
          <w:p w14:paraId="5D28F338">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OR = 1.033</w:t>
            </w:r>
          </w:p>
        </w:tc>
        <w:tc>
          <w:tcPr>
            <w:tcW w:w="1685" w:type="dxa"/>
            <w:shd w:val="clear" w:color="auto" w:fill="FFFFFF"/>
            <w:vAlign w:val="center"/>
          </w:tcPr>
          <w:p w14:paraId="26EFAFBC">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1.003 to 1.063</w:t>
            </w:r>
          </w:p>
        </w:tc>
        <w:tc>
          <w:tcPr>
            <w:tcW w:w="1210" w:type="dxa"/>
            <w:shd w:val="clear" w:color="auto" w:fill="FFFFFF"/>
            <w:vAlign w:val="center"/>
          </w:tcPr>
          <w:p w14:paraId="277F9643">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0.031</w:t>
            </w:r>
          </w:p>
        </w:tc>
        <w:tc>
          <w:tcPr>
            <w:tcW w:w="1626" w:type="dxa"/>
            <w:shd w:val="clear" w:color="auto" w:fill="FFFFFF"/>
            <w:vAlign w:val="center"/>
          </w:tcPr>
          <w:p w14:paraId="056834C6">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0.078</w:t>
            </w:r>
          </w:p>
        </w:tc>
        <w:tc>
          <w:tcPr>
            <w:tcW w:w="2614" w:type="dxa"/>
            <w:shd w:val="clear" w:color="auto" w:fill="FFFFFF"/>
            <w:vAlign w:val="center"/>
          </w:tcPr>
          <w:p w14:paraId="40F90EED">
            <w:pPr>
              <w:spacing w:after="0" w:line="240" w:lineRule="auto"/>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Not significant after FDR</w:t>
            </w:r>
          </w:p>
        </w:tc>
      </w:tr>
    </w:tbl>
    <w:p w14:paraId="7A423ECD">
      <w:pPr>
        <w:spacing w:before="80" w:after="80"/>
        <w:rPr>
          <w:rFonts w:hint="default" w:ascii="Times New Roman" w:hAnsi="Times New Roman" w:cs="Times New Roman"/>
          <w:color w:val="auto"/>
          <w:sz w:val="21"/>
          <w:szCs w:val="21"/>
        </w:rPr>
      </w:pPr>
      <w:r>
        <w:rPr>
          <w:rFonts w:hint="default" w:ascii="Times New Roman" w:hAnsi="Times New Roman" w:cs="Times New Roman"/>
          <w:b w:val="0"/>
          <w:bCs/>
          <w:color w:val="auto"/>
          <w:sz w:val="21"/>
          <w:szCs w:val="21"/>
        </w:rPr>
        <w:t xml:space="preserve">Note. </w:t>
      </w:r>
      <w:r>
        <w:rPr>
          <w:rFonts w:hint="default" w:ascii="Times New Roman" w:hAnsi="Times New Roman" w:cs="Times New Roman"/>
          <w:color w:val="auto"/>
          <w:sz w:val="21"/>
          <w:szCs w:val="21"/>
        </w:rPr>
        <w:t xml:space="preserve">Benjamini–Hochberg FDR correction was applied across the five cognitive domains using the raw </w:t>
      </w:r>
      <w:r>
        <w:rPr>
          <w:rFonts w:hint="default" w:ascii="Times New Roman Italic" w:hAnsi="Times New Roman Italic" w:cs="Times New Roman Italic"/>
          <w:i/>
          <w:iCs/>
          <w:color w:val="auto"/>
          <w:sz w:val="21"/>
          <w:szCs w:val="21"/>
        </w:rPr>
        <w:t>P</w:t>
      </w:r>
      <w:r>
        <w:rPr>
          <w:rFonts w:hint="default" w:ascii="Times New Roman" w:hAnsi="Times New Roman" w:cs="Times New Roman"/>
          <w:color w:val="auto"/>
          <w:sz w:val="21"/>
          <w:szCs w:val="21"/>
        </w:rPr>
        <w:t xml:space="preserve"> values for the serum IGF-1 term from the fully adjusted model. None of the five associations remained significant after FDR correction. Reaction time and prospective memory were nominally significant only (q = 0.078).</w:t>
      </w:r>
    </w:p>
    <w:p w14:paraId="00727AA7">
      <w:pPr>
        <w:rPr>
          <w:rFonts w:hint="default" w:ascii="Times New Roman" w:hAnsi="Times New Roman" w:cs="Times New Roman"/>
          <w:color w:val="auto"/>
          <w:sz w:val="21"/>
          <w:szCs w:val="21"/>
        </w:rPr>
      </w:pPr>
      <w:r>
        <w:rPr>
          <w:rFonts w:hint="default" w:ascii="Times New Roman" w:hAnsi="Times New Roman" w:cs="Times New Roman"/>
          <w:color w:val="auto"/>
          <w:sz w:val="21"/>
          <w:szCs w:val="21"/>
        </w:rPr>
        <w:br w:type="page"/>
      </w:r>
    </w:p>
    <w:p w14:paraId="02E8FBFC">
      <w:pPr>
        <w:rPr>
          <w:rFonts w:hint="default" w:ascii="Times New Roman" w:hAnsi="Times New Roman" w:eastAsia="宋体" w:cs="Times New Roman"/>
          <w:sz w:val="21"/>
          <w:szCs w:val="21"/>
        </w:rPr>
      </w:pPr>
      <w:r>
        <w:rPr>
          <w:rFonts w:hint="eastAsia" w:ascii="Times New Roman" w:hAnsi="Times New Roman" w:eastAsia="宋体" w:cs="Times New Roman"/>
          <w:b/>
          <w:sz w:val="21"/>
          <w:szCs w:val="21"/>
          <w:lang w:eastAsia="zh-CN"/>
        </w:rPr>
        <w:t>STable</w:t>
      </w:r>
      <w:r>
        <w:rPr>
          <w:rFonts w:hint="default" w:ascii="Times New Roman" w:hAnsi="Times New Roman" w:eastAsia="宋体" w:cs="Times New Roman"/>
          <w:b/>
          <w:sz w:val="21"/>
          <w:szCs w:val="21"/>
        </w:rPr>
        <w:t xml:space="preserve"> 8. Subgroup and interaction analyses for the association between serum IGF-1 and incident epilepsy.</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53"/>
        <w:gridCol w:w="1053"/>
        <w:gridCol w:w="1115"/>
        <w:gridCol w:w="946"/>
        <w:gridCol w:w="912"/>
        <w:gridCol w:w="1406"/>
        <w:gridCol w:w="923"/>
        <w:gridCol w:w="1114"/>
      </w:tblGrid>
      <w:tr w14:paraId="5095011E">
        <w:tc>
          <w:tcPr>
            <w:tcW w:w="1080" w:type="dxa"/>
            <w:tcBorders>
              <w:top w:val="single" w:color="auto" w:sz="4" w:space="0"/>
              <w:bottom w:val="single" w:color="auto" w:sz="4" w:space="0"/>
            </w:tcBorders>
            <w:vAlign w:val="center"/>
          </w:tcPr>
          <w:p w14:paraId="04A478DC">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Subgroup factor</w:t>
            </w:r>
          </w:p>
        </w:tc>
        <w:tc>
          <w:tcPr>
            <w:tcW w:w="1080" w:type="dxa"/>
            <w:tcBorders>
              <w:top w:val="single" w:color="auto" w:sz="4" w:space="0"/>
              <w:bottom w:val="single" w:color="auto" w:sz="4" w:space="0"/>
            </w:tcBorders>
            <w:vAlign w:val="center"/>
          </w:tcPr>
          <w:p w14:paraId="4D6B641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Subgroup</w:t>
            </w:r>
          </w:p>
        </w:tc>
        <w:tc>
          <w:tcPr>
            <w:tcW w:w="1080" w:type="dxa"/>
            <w:tcBorders>
              <w:top w:val="single" w:color="auto" w:sz="4" w:space="0"/>
              <w:bottom w:val="single" w:color="auto" w:sz="4" w:space="0"/>
            </w:tcBorders>
            <w:vAlign w:val="center"/>
          </w:tcPr>
          <w:p w14:paraId="30411686">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Model</w:t>
            </w:r>
          </w:p>
        </w:tc>
        <w:tc>
          <w:tcPr>
            <w:tcW w:w="1080" w:type="dxa"/>
            <w:tcBorders>
              <w:top w:val="single" w:color="auto" w:sz="4" w:space="0"/>
              <w:bottom w:val="single" w:color="auto" w:sz="4" w:space="0"/>
            </w:tcBorders>
            <w:vAlign w:val="center"/>
          </w:tcPr>
          <w:p w14:paraId="6B914C0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w:t>
            </w:r>
          </w:p>
        </w:tc>
        <w:tc>
          <w:tcPr>
            <w:tcW w:w="1080" w:type="dxa"/>
            <w:tcBorders>
              <w:top w:val="single" w:color="auto" w:sz="4" w:space="0"/>
              <w:bottom w:val="single" w:color="auto" w:sz="4" w:space="0"/>
            </w:tcBorders>
            <w:vAlign w:val="center"/>
          </w:tcPr>
          <w:p w14:paraId="03780FF6">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Events</w:t>
            </w:r>
          </w:p>
        </w:tc>
        <w:tc>
          <w:tcPr>
            <w:tcW w:w="1080" w:type="dxa"/>
            <w:tcBorders>
              <w:top w:val="single" w:color="auto" w:sz="4" w:space="0"/>
              <w:bottom w:val="single" w:color="auto" w:sz="4" w:space="0"/>
            </w:tcBorders>
            <w:vAlign w:val="center"/>
          </w:tcPr>
          <w:p w14:paraId="6150632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HR (95% CI)</w:t>
            </w:r>
          </w:p>
        </w:tc>
        <w:tc>
          <w:tcPr>
            <w:tcW w:w="1080" w:type="dxa"/>
            <w:tcBorders>
              <w:top w:val="single" w:color="auto" w:sz="4" w:space="0"/>
              <w:bottom w:val="single" w:color="auto" w:sz="4" w:space="0"/>
            </w:tcBorders>
            <w:vAlign w:val="center"/>
          </w:tcPr>
          <w:p w14:paraId="501D13C7">
            <w:pPr>
              <w:spacing w:after="0" w:line="240" w:lineRule="auto"/>
              <w:jc w:val="center"/>
              <w:rPr>
                <w:rFonts w:hint="default" w:ascii="Times New Roman" w:hAnsi="Times New Roman" w:eastAsia="宋体" w:cs="Times New Roman"/>
                <w:sz w:val="21"/>
                <w:szCs w:val="21"/>
              </w:rPr>
            </w:pPr>
            <w:r>
              <w:rPr>
                <w:rFonts w:hint="default" w:ascii="Times New Roman Italic" w:hAnsi="Times New Roman Italic" w:eastAsia="宋体" w:cs="Times New Roman Italic"/>
                <w:i/>
                <w:iCs/>
                <w:sz w:val="21"/>
                <w:szCs w:val="21"/>
              </w:rPr>
              <w:t>P</w:t>
            </w:r>
          </w:p>
        </w:tc>
        <w:tc>
          <w:tcPr>
            <w:tcW w:w="1080" w:type="dxa"/>
            <w:tcBorders>
              <w:top w:val="single" w:color="auto" w:sz="4" w:space="0"/>
              <w:bottom w:val="single" w:color="auto" w:sz="4" w:space="0"/>
            </w:tcBorders>
            <w:vAlign w:val="center"/>
          </w:tcPr>
          <w:p w14:paraId="1F17F36C">
            <w:pPr>
              <w:spacing w:after="0" w:line="240" w:lineRule="auto"/>
              <w:jc w:val="center"/>
              <w:rPr>
                <w:rFonts w:hint="default" w:ascii="Times New Roman" w:hAnsi="Times New Roman" w:eastAsia="宋体" w:cs="Times New Roman"/>
                <w:sz w:val="21"/>
                <w:szCs w:val="21"/>
              </w:rPr>
            </w:pPr>
            <w:r>
              <w:rPr>
                <w:rFonts w:hint="default" w:ascii="Times New Roman Italic" w:hAnsi="Times New Roman Italic" w:eastAsia="宋体" w:cs="Times New Roman Italic"/>
                <w:i/>
                <w:iCs/>
                <w:sz w:val="21"/>
                <w:szCs w:val="21"/>
              </w:rPr>
              <w:t>P</w:t>
            </w:r>
            <w:r>
              <w:rPr>
                <w:rFonts w:hint="default" w:ascii="Times New Roman" w:hAnsi="Times New Roman" w:eastAsia="宋体" w:cs="Times New Roman"/>
                <w:sz w:val="21"/>
                <w:szCs w:val="21"/>
              </w:rPr>
              <w:t xml:space="preserve"> for interaction</w:t>
            </w:r>
          </w:p>
        </w:tc>
      </w:tr>
      <w:tr w14:paraId="3C4C5AAC">
        <w:tc>
          <w:tcPr>
            <w:tcW w:w="1080" w:type="dxa"/>
            <w:tcBorders>
              <w:top w:val="single" w:color="auto" w:sz="4" w:space="0"/>
            </w:tcBorders>
            <w:vAlign w:val="center"/>
          </w:tcPr>
          <w:p w14:paraId="24AC2AC6">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Age</w:t>
            </w:r>
          </w:p>
        </w:tc>
        <w:tc>
          <w:tcPr>
            <w:tcW w:w="1080" w:type="dxa"/>
            <w:tcBorders>
              <w:top w:val="single" w:color="auto" w:sz="4" w:space="0"/>
            </w:tcBorders>
            <w:vAlign w:val="center"/>
          </w:tcPr>
          <w:p w14:paraId="2049510D">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&lt;60 years</w:t>
            </w:r>
          </w:p>
        </w:tc>
        <w:tc>
          <w:tcPr>
            <w:tcW w:w="1080" w:type="dxa"/>
            <w:tcBorders>
              <w:top w:val="single" w:color="auto" w:sz="4" w:space="0"/>
            </w:tcBorders>
            <w:vAlign w:val="center"/>
          </w:tcPr>
          <w:p w14:paraId="3CECC72C">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Primary model</w:t>
            </w:r>
          </w:p>
        </w:tc>
        <w:tc>
          <w:tcPr>
            <w:tcW w:w="1080" w:type="dxa"/>
            <w:tcBorders>
              <w:top w:val="single" w:color="auto" w:sz="4" w:space="0"/>
            </w:tcBorders>
            <w:vAlign w:val="center"/>
          </w:tcPr>
          <w:p w14:paraId="788DD1FD">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255335</w:t>
            </w:r>
          </w:p>
        </w:tc>
        <w:tc>
          <w:tcPr>
            <w:tcW w:w="1080" w:type="dxa"/>
            <w:tcBorders>
              <w:top w:val="single" w:color="auto" w:sz="4" w:space="0"/>
            </w:tcBorders>
            <w:vAlign w:val="center"/>
          </w:tcPr>
          <w:p w14:paraId="7DFEAAAE">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1965</w:t>
            </w:r>
          </w:p>
        </w:tc>
        <w:tc>
          <w:tcPr>
            <w:tcW w:w="1080" w:type="dxa"/>
            <w:tcBorders>
              <w:top w:val="single" w:color="auto" w:sz="4" w:space="0"/>
            </w:tcBorders>
            <w:vAlign w:val="center"/>
          </w:tcPr>
          <w:p w14:paraId="123B4376">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0.970 (0.962–0.978)</w:t>
            </w:r>
          </w:p>
        </w:tc>
        <w:tc>
          <w:tcPr>
            <w:tcW w:w="1080" w:type="dxa"/>
            <w:tcBorders>
              <w:top w:val="single" w:color="auto" w:sz="4" w:space="0"/>
            </w:tcBorders>
            <w:vAlign w:val="center"/>
          </w:tcPr>
          <w:p w14:paraId="3B18E128">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&lt;0.001</w:t>
            </w:r>
          </w:p>
        </w:tc>
        <w:tc>
          <w:tcPr>
            <w:tcW w:w="1080" w:type="dxa"/>
            <w:tcBorders>
              <w:top w:val="single" w:color="auto" w:sz="4" w:space="0"/>
            </w:tcBorders>
            <w:vAlign w:val="center"/>
          </w:tcPr>
          <w:p w14:paraId="65D2527C">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0.003</w:t>
            </w:r>
          </w:p>
        </w:tc>
      </w:tr>
      <w:tr w14:paraId="6EEC032E">
        <w:tc>
          <w:tcPr>
            <w:tcW w:w="1080" w:type="dxa"/>
            <w:vAlign w:val="center"/>
          </w:tcPr>
          <w:p w14:paraId="0CAD5260">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Age</w:t>
            </w:r>
          </w:p>
        </w:tc>
        <w:tc>
          <w:tcPr>
            <w:tcW w:w="1080" w:type="dxa"/>
            <w:vAlign w:val="center"/>
          </w:tcPr>
          <w:p w14:paraId="731CE046">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&lt;60 years</w:t>
            </w:r>
          </w:p>
        </w:tc>
        <w:tc>
          <w:tcPr>
            <w:tcW w:w="1080" w:type="dxa"/>
            <w:vAlign w:val="center"/>
          </w:tcPr>
          <w:p w14:paraId="0DA48D8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Sensitivity model</w:t>
            </w:r>
          </w:p>
        </w:tc>
        <w:tc>
          <w:tcPr>
            <w:tcW w:w="1080" w:type="dxa"/>
            <w:vAlign w:val="center"/>
          </w:tcPr>
          <w:p w14:paraId="0F26E6E7">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127734</w:t>
            </w:r>
          </w:p>
        </w:tc>
        <w:tc>
          <w:tcPr>
            <w:tcW w:w="1080" w:type="dxa"/>
            <w:vAlign w:val="center"/>
          </w:tcPr>
          <w:p w14:paraId="5B568251">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816</w:t>
            </w:r>
          </w:p>
        </w:tc>
        <w:tc>
          <w:tcPr>
            <w:tcW w:w="1080" w:type="dxa"/>
            <w:vAlign w:val="center"/>
          </w:tcPr>
          <w:p w14:paraId="7E2C25BF">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0.979 (0.966–0.991)</w:t>
            </w:r>
          </w:p>
        </w:tc>
        <w:tc>
          <w:tcPr>
            <w:tcW w:w="1080" w:type="dxa"/>
            <w:vAlign w:val="center"/>
          </w:tcPr>
          <w:p w14:paraId="3442497E">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0.001</w:t>
            </w:r>
          </w:p>
        </w:tc>
        <w:tc>
          <w:tcPr>
            <w:tcW w:w="1080" w:type="dxa"/>
            <w:vAlign w:val="center"/>
          </w:tcPr>
          <w:p w14:paraId="72E27E28">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0.663</w:t>
            </w:r>
          </w:p>
        </w:tc>
      </w:tr>
      <w:tr w14:paraId="21D22EAF">
        <w:tc>
          <w:tcPr>
            <w:tcW w:w="1080" w:type="dxa"/>
            <w:vAlign w:val="center"/>
          </w:tcPr>
          <w:p w14:paraId="3F47989C">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Age</w:t>
            </w:r>
          </w:p>
        </w:tc>
        <w:tc>
          <w:tcPr>
            <w:tcW w:w="1080" w:type="dxa"/>
            <w:vAlign w:val="center"/>
          </w:tcPr>
          <w:p w14:paraId="37A1981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 years</w:t>
            </w:r>
          </w:p>
        </w:tc>
        <w:tc>
          <w:tcPr>
            <w:tcW w:w="1080" w:type="dxa"/>
            <w:vAlign w:val="center"/>
          </w:tcPr>
          <w:p w14:paraId="3D38A33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Primary model</w:t>
            </w:r>
          </w:p>
        </w:tc>
        <w:tc>
          <w:tcPr>
            <w:tcW w:w="1080" w:type="dxa"/>
            <w:vAlign w:val="center"/>
          </w:tcPr>
          <w:p w14:paraId="21F0790D">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195895</w:t>
            </w:r>
          </w:p>
        </w:tc>
        <w:tc>
          <w:tcPr>
            <w:tcW w:w="1080" w:type="dxa"/>
            <w:vAlign w:val="center"/>
          </w:tcPr>
          <w:p w14:paraId="729AF5E3">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2325</w:t>
            </w:r>
          </w:p>
        </w:tc>
        <w:tc>
          <w:tcPr>
            <w:tcW w:w="1080" w:type="dxa"/>
            <w:vAlign w:val="center"/>
          </w:tcPr>
          <w:p w14:paraId="1AB80B88">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0.985 (0.978–0.993)</w:t>
            </w:r>
          </w:p>
        </w:tc>
        <w:tc>
          <w:tcPr>
            <w:tcW w:w="1080" w:type="dxa"/>
            <w:vAlign w:val="center"/>
          </w:tcPr>
          <w:p w14:paraId="4AC430EB">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&lt;0.001</w:t>
            </w:r>
          </w:p>
        </w:tc>
        <w:tc>
          <w:tcPr>
            <w:tcW w:w="1080" w:type="dxa"/>
            <w:vAlign w:val="center"/>
          </w:tcPr>
          <w:p w14:paraId="623FB137">
            <w:pPr>
              <w:spacing w:after="0" w:line="240" w:lineRule="auto"/>
              <w:jc w:val="center"/>
              <w:rPr>
                <w:rFonts w:hint="default" w:ascii="Times New Roman" w:hAnsi="Times New Roman" w:eastAsia="宋体" w:cs="Times New Roman"/>
                <w:sz w:val="21"/>
                <w:szCs w:val="21"/>
              </w:rPr>
            </w:pPr>
          </w:p>
        </w:tc>
      </w:tr>
      <w:tr w14:paraId="4E62A923">
        <w:tc>
          <w:tcPr>
            <w:tcW w:w="1080" w:type="dxa"/>
            <w:vAlign w:val="center"/>
          </w:tcPr>
          <w:p w14:paraId="5AC6716C">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Age</w:t>
            </w:r>
          </w:p>
        </w:tc>
        <w:tc>
          <w:tcPr>
            <w:tcW w:w="1080" w:type="dxa"/>
            <w:vAlign w:val="center"/>
          </w:tcPr>
          <w:p w14:paraId="195D6FCA">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 years</w:t>
            </w:r>
          </w:p>
        </w:tc>
        <w:tc>
          <w:tcPr>
            <w:tcW w:w="1080" w:type="dxa"/>
            <w:vAlign w:val="center"/>
          </w:tcPr>
          <w:p w14:paraId="258BAE72">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Sensitivity model</w:t>
            </w:r>
          </w:p>
        </w:tc>
        <w:tc>
          <w:tcPr>
            <w:tcW w:w="1080" w:type="dxa"/>
            <w:vAlign w:val="center"/>
          </w:tcPr>
          <w:p w14:paraId="5FCF57DF">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28002</w:t>
            </w:r>
          </w:p>
        </w:tc>
        <w:tc>
          <w:tcPr>
            <w:tcW w:w="1080" w:type="dxa"/>
            <w:vAlign w:val="center"/>
          </w:tcPr>
          <w:p w14:paraId="6D972631">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291</w:t>
            </w:r>
          </w:p>
        </w:tc>
        <w:tc>
          <w:tcPr>
            <w:tcW w:w="1080" w:type="dxa"/>
            <w:vAlign w:val="center"/>
          </w:tcPr>
          <w:p w14:paraId="0FC176DD">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0.981 (0.959–1.004)</w:t>
            </w:r>
          </w:p>
        </w:tc>
        <w:tc>
          <w:tcPr>
            <w:tcW w:w="1080" w:type="dxa"/>
            <w:vAlign w:val="center"/>
          </w:tcPr>
          <w:p w14:paraId="627AE946">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0.100</w:t>
            </w:r>
          </w:p>
        </w:tc>
        <w:tc>
          <w:tcPr>
            <w:tcW w:w="1080" w:type="dxa"/>
            <w:vAlign w:val="center"/>
          </w:tcPr>
          <w:p w14:paraId="69A00A83">
            <w:pPr>
              <w:spacing w:after="0" w:line="240" w:lineRule="auto"/>
              <w:jc w:val="center"/>
              <w:rPr>
                <w:rFonts w:hint="default" w:ascii="Times New Roman" w:hAnsi="Times New Roman" w:eastAsia="宋体" w:cs="Times New Roman"/>
                <w:sz w:val="21"/>
                <w:szCs w:val="21"/>
              </w:rPr>
            </w:pPr>
          </w:p>
        </w:tc>
      </w:tr>
      <w:tr w14:paraId="54E5B25E">
        <w:tc>
          <w:tcPr>
            <w:tcW w:w="1080" w:type="dxa"/>
            <w:vAlign w:val="center"/>
          </w:tcPr>
          <w:p w14:paraId="51E8BF60">
            <w:pPr>
              <w:spacing w:after="0" w:line="240" w:lineRule="auto"/>
              <w:jc w:val="center"/>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Sex</w:t>
            </w:r>
          </w:p>
        </w:tc>
        <w:tc>
          <w:tcPr>
            <w:tcW w:w="1080" w:type="dxa"/>
            <w:vAlign w:val="center"/>
          </w:tcPr>
          <w:p w14:paraId="021F3822">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Female</w:t>
            </w:r>
          </w:p>
        </w:tc>
        <w:tc>
          <w:tcPr>
            <w:tcW w:w="1080" w:type="dxa"/>
            <w:vAlign w:val="center"/>
          </w:tcPr>
          <w:p w14:paraId="556B59B2">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Primary model</w:t>
            </w:r>
          </w:p>
        </w:tc>
        <w:tc>
          <w:tcPr>
            <w:tcW w:w="1080" w:type="dxa"/>
            <w:vAlign w:val="center"/>
          </w:tcPr>
          <w:p w14:paraId="7DF3C5FB">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244496</w:t>
            </w:r>
          </w:p>
        </w:tc>
        <w:tc>
          <w:tcPr>
            <w:tcW w:w="1080" w:type="dxa"/>
            <w:vAlign w:val="center"/>
          </w:tcPr>
          <w:p w14:paraId="24ABFB00">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2073</w:t>
            </w:r>
          </w:p>
        </w:tc>
        <w:tc>
          <w:tcPr>
            <w:tcW w:w="1080" w:type="dxa"/>
            <w:vAlign w:val="center"/>
          </w:tcPr>
          <w:p w14:paraId="29341E58">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0.980 (0.972–0.988)</w:t>
            </w:r>
          </w:p>
        </w:tc>
        <w:tc>
          <w:tcPr>
            <w:tcW w:w="1080" w:type="dxa"/>
            <w:vAlign w:val="center"/>
          </w:tcPr>
          <w:p w14:paraId="40CF49F2">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&lt;0.001</w:t>
            </w:r>
          </w:p>
        </w:tc>
        <w:tc>
          <w:tcPr>
            <w:tcW w:w="1080" w:type="dxa"/>
            <w:vAlign w:val="center"/>
          </w:tcPr>
          <w:p w14:paraId="1E0B22B4">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0.279</w:t>
            </w:r>
          </w:p>
        </w:tc>
      </w:tr>
      <w:tr w14:paraId="712E39E9">
        <w:tc>
          <w:tcPr>
            <w:tcW w:w="1080" w:type="dxa"/>
            <w:vAlign w:val="center"/>
          </w:tcPr>
          <w:p w14:paraId="66949A12">
            <w:pPr>
              <w:spacing w:after="0" w:line="240" w:lineRule="auto"/>
              <w:jc w:val="center"/>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Sex</w:t>
            </w:r>
          </w:p>
        </w:tc>
        <w:tc>
          <w:tcPr>
            <w:tcW w:w="1080" w:type="dxa"/>
            <w:vAlign w:val="center"/>
          </w:tcPr>
          <w:p w14:paraId="6183B74D">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Female</w:t>
            </w:r>
          </w:p>
        </w:tc>
        <w:tc>
          <w:tcPr>
            <w:tcW w:w="1080" w:type="dxa"/>
            <w:vAlign w:val="center"/>
          </w:tcPr>
          <w:p w14:paraId="6017F161">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Sensitivity model</w:t>
            </w:r>
          </w:p>
        </w:tc>
        <w:tc>
          <w:tcPr>
            <w:tcW w:w="1080" w:type="dxa"/>
            <w:vAlign w:val="center"/>
          </w:tcPr>
          <w:p w14:paraId="1F3A2270">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79011</w:t>
            </w:r>
          </w:p>
        </w:tc>
        <w:tc>
          <w:tcPr>
            <w:tcW w:w="1080" w:type="dxa"/>
            <w:vAlign w:val="center"/>
          </w:tcPr>
          <w:p w14:paraId="539DCC00">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508</w:t>
            </w:r>
          </w:p>
        </w:tc>
        <w:tc>
          <w:tcPr>
            <w:tcW w:w="1080" w:type="dxa"/>
            <w:vAlign w:val="center"/>
          </w:tcPr>
          <w:p w14:paraId="64CFB83D">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0.983 (0.967–0.999)</w:t>
            </w:r>
          </w:p>
        </w:tc>
        <w:tc>
          <w:tcPr>
            <w:tcW w:w="1080" w:type="dxa"/>
            <w:vAlign w:val="center"/>
          </w:tcPr>
          <w:p w14:paraId="052A8E3D">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0.038</w:t>
            </w:r>
          </w:p>
        </w:tc>
        <w:tc>
          <w:tcPr>
            <w:tcW w:w="1080" w:type="dxa"/>
            <w:vAlign w:val="center"/>
          </w:tcPr>
          <w:p w14:paraId="513A68D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0.300</w:t>
            </w:r>
          </w:p>
        </w:tc>
      </w:tr>
      <w:tr w14:paraId="5C182840">
        <w:tc>
          <w:tcPr>
            <w:tcW w:w="1080" w:type="dxa"/>
            <w:vAlign w:val="center"/>
          </w:tcPr>
          <w:p w14:paraId="05CCCE5B">
            <w:pPr>
              <w:spacing w:after="0" w:line="240" w:lineRule="auto"/>
              <w:jc w:val="center"/>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Sex</w:t>
            </w:r>
          </w:p>
        </w:tc>
        <w:tc>
          <w:tcPr>
            <w:tcW w:w="1080" w:type="dxa"/>
            <w:vAlign w:val="center"/>
          </w:tcPr>
          <w:p w14:paraId="11A304C0">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Male</w:t>
            </w:r>
          </w:p>
        </w:tc>
        <w:tc>
          <w:tcPr>
            <w:tcW w:w="1080" w:type="dxa"/>
            <w:vAlign w:val="center"/>
          </w:tcPr>
          <w:p w14:paraId="4C2F190A">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Primary model</w:t>
            </w:r>
          </w:p>
        </w:tc>
        <w:tc>
          <w:tcPr>
            <w:tcW w:w="1080" w:type="dxa"/>
            <w:vAlign w:val="center"/>
          </w:tcPr>
          <w:p w14:paraId="10EF528E">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206734</w:t>
            </w:r>
          </w:p>
        </w:tc>
        <w:tc>
          <w:tcPr>
            <w:tcW w:w="1080" w:type="dxa"/>
            <w:vAlign w:val="center"/>
          </w:tcPr>
          <w:p w14:paraId="084E26B3">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2217</w:t>
            </w:r>
          </w:p>
        </w:tc>
        <w:tc>
          <w:tcPr>
            <w:tcW w:w="1080" w:type="dxa"/>
            <w:vAlign w:val="center"/>
          </w:tcPr>
          <w:p w14:paraId="7252E2BA">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0.976 (0.969–0.984)</w:t>
            </w:r>
          </w:p>
        </w:tc>
        <w:tc>
          <w:tcPr>
            <w:tcW w:w="1080" w:type="dxa"/>
            <w:vAlign w:val="center"/>
          </w:tcPr>
          <w:p w14:paraId="6A7CA9C3">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&lt;0.001</w:t>
            </w:r>
          </w:p>
        </w:tc>
        <w:tc>
          <w:tcPr>
            <w:tcW w:w="1080" w:type="dxa"/>
            <w:vAlign w:val="center"/>
          </w:tcPr>
          <w:p w14:paraId="727AE4F7">
            <w:pPr>
              <w:spacing w:after="0" w:line="240" w:lineRule="auto"/>
              <w:jc w:val="center"/>
              <w:rPr>
                <w:rFonts w:hint="default" w:ascii="Times New Roman" w:hAnsi="Times New Roman" w:eastAsia="宋体" w:cs="Times New Roman"/>
                <w:sz w:val="21"/>
                <w:szCs w:val="21"/>
              </w:rPr>
            </w:pPr>
          </w:p>
        </w:tc>
      </w:tr>
      <w:tr w14:paraId="3BE57BC9">
        <w:tc>
          <w:tcPr>
            <w:tcW w:w="1080" w:type="dxa"/>
            <w:vAlign w:val="center"/>
          </w:tcPr>
          <w:p w14:paraId="49DB05BF">
            <w:pPr>
              <w:spacing w:after="0" w:line="240" w:lineRule="auto"/>
              <w:jc w:val="center"/>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Sex</w:t>
            </w:r>
          </w:p>
        </w:tc>
        <w:tc>
          <w:tcPr>
            <w:tcW w:w="1080" w:type="dxa"/>
            <w:vAlign w:val="center"/>
          </w:tcPr>
          <w:p w14:paraId="15982A75">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Male</w:t>
            </w:r>
          </w:p>
        </w:tc>
        <w:tc>
          <w:tcPr>
            <w:tcW w:w="1080" w:type="dxa"/>
            <w:vAlign w:val="center"/>
          </w:tcPr>
          <w:p w14:paraId="19AF85B5">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Sensitivity model</w:t>
            </w:r>
          </w:p>
        </w:tc>
        <w:tc>
          <w:tcPr>
            <w:tcW w:w="1080" w:type="dxa"/>
            <w:vAlign w:val="center"/>
          </w:tcPr>
          <w:p w14:paraId="0C0B5883">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76725</w:t>
            </w:r>
          </w:p>
        </w:tc>
        <w:tc>
          <w:tcPr>
            <w:tcW w:w="1080" w:type="dxa"/>
            <w:vAlign w:val="center"/>
          </w:tcPr>
          <w:p w14:paraId="09E5BDFA">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599</w:t>
            </w:r>
          </w:p>
        </w:tc>
        <w:tc>
          <w:tcPr>
            <w:tcW w:w="1080" w:type="dxa"/>
            <w:vAlign w:val="center"/>
          </w:tcPr>
          <w:p w14:paraId="18915209">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0.976 (0.960–0.991)</w:t>
            </w:r>
          </w:p>
        </w:tc>
        <w:tc>
          <w:tcPr>
            <w:tcW w:w="1080" w:type="dxa"/>
            <w:vAlign w:val="center"/>
          </w:tcPr>
          <w:p w14:paraId="28AE3C61">
            <w:pPr>
              <w:spacing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0.002</w:t>
            </w:r>
          </w:p>
        </w:tc>
        <w:tc>
          <w:tcPr>
            <w:tcW w:w="1080" w:type="dxa"/>
            <w:vAlign w:val="center"/>
          </w:tcPr>
          <w:p w14:paraId="54FA3B51">
            <w:pPr>
              <w:spacing w:after="0" w:line="240" w:lineRule="auto"/>
              <w:jc w:val="center"/>
              <w:rPr>
                <w:rFonts w:hint="default" w:ascii="Times New Roman" w:hAnsi="Times New Roman" w:eastAsia="宋体" w:cs="Times New Roman"/>
                <w:sz w:val="21"/>
                <w:szCs w:val="21"/>
              </w:rPr>
            </w:pPr>
          </w:p>
        </w:tc>
      </w:tr>
    </w:tbl>
    <w:p w14:paraId="1A0059F7">
      <w:pPr>
        <w:rPr>
          <w:rFonts w:hint="default" w:ascii="Times New Roman" w:hAnsi="Times New Roman" w:eastAsia="宋体" w:cs="Times New Roman"/>
          <w:sz w:val="21"/>
          <w:szCs w:val="21"/>
        </w:rPr>
      </w:pPr>
    </w:p>
    <w:p w14:paraId="119A072E">
      <w:pPr>
        <w:rPr>
          <w:rFonts w:hint="default" w:ascii="Times New Roman" w:hAnsi="Times New Roman" w:eastAsia="宋体" w:cs="Times New Roman"/>
          <w:sz w:val="21"/>
          <w:szCs w:val="21"/>
        </w:rPr>
      </w:pPr>
      <w:r>
        <w:rPr>
          <w:rFonts w:hint="default" w:ascii="Times New Roman" w:hAnsi="Times New Roman" w:cs="Times New Roman"/>
          <w:b w:val="0"/>
          <w:bCs/>
          <w:color w:val="auto"/>
          <w:sz w:val="21"/>
          <w:szCs w:val="21"/>
        </w:rPr>
        <w:t xml:space="preserve">Note. </w:t>
      </w:r>
      <w:r>
        <w:rPr>
          <w:rFonts w:hint="default" w:ascii="Times New Roman" w:hAnsi="Times New Roman" w:eastAsia="宋体" w:cs="Times New Roman"/>
          <w:sz w:val="21"/>
          <w:szCs w:val="21"/>
        </w:rPr>
        <w:t xml:space="preserve">Primary model: adjusted for age, </w:t>
      </w:r>
      <w:r>
        <w:rPr>
          <w:rFonts w:hint="default" w:ascii="Times New Roman" w:hAnsi="Times New Roman" w:eastAsia="宋体" w:cs="Times New Roman"/>
          <w:sz w:val="21"/>
          <w:szCs w:val="21"/>
          <w:lang w:val="en-US"/>
        </w:rPr>
        <w:t>sex</w:t>
      </w:r>
      <w:r>
        <w:rPr>
          <w:rFonts w:hint="default" w:ascii="Times New Roman" w:hAnsi="Times New Roman" w:eastAsia="宋体" w:cs="Times New Roman"/>
          <w:sz w:val="21"/>
          <w:szCs w:val="21"/>
        </w:rPr>
        <w:t xml:space="preserve">, BMI, smoking, alcohol use, sleep hours per day, and loneliness. Sensitivity model: additionally adjusted for ethnicity, education, deprivation, physical activity, and working hours in a reduced complete-case sample. For sex-stratified analyses, </w:t>
      </w:r>
      <w:r>
        <w:rPr>
          <w:rFonts w:hint="default" w:ascii="Times New Roman" w:hAnsi="Times New Roman" w:eastAsia="宋体" w:cs="Times New Roman"/>
          <w:sz w:val="21"/>
          <w:szCs w:val="21"/>
          <w:lang w:val="en-US"/>
        </w:rPr>
        <w:t>sex</w:t>
      </w:r>
      <w:r>
        <w:rPr>
          <w:rFonts w:hint="default" w:ascii="Times New Roman" w:hAnsi="Times New Roman" w:eastAsia="宋体" w:cs="Times New Roman"/>
          <w:sz w:val="21"/>
          <w:szCs w:val="21"/>
        </w:rPr>
        <w:t xml:space="preserve"> was omitted from the subgroup-specific models. </w:t>
      </w:r>
      <w:r>
        <w:rPr>
          <w:rFonts w:hint="default" w:ascii="Times New Roman Italic" w:hAnsi="Times New Roman Italic" w:eastAsia="宋体" w:cs="Times New Roman Italic"/>
          <w:i/>
          <w:iCs/>
          <w:sz w:val="21"/>
          <w:szCs w:val="21"/>
        </w:rPr>
        <w:t>P</w:t>
      </w:r>
      <w:r>
        <w:rPr>
          <w:rFonts w:hint="default" w:ascii="Times New Roman" w:hAnsi="Times New Roman" w:eastAsia="宋体" w:cs="Times New Roman"/>
          <w:sz w:val="21"/>
          <w:szCs w:val="21"/>
        </w:rPr>
        <w:t xml:space="preserve"> for interaction values were obtained by including product terms between serum IGF-1 and the subgroup variable in the corresponding Cox proportional hazards models.</w:t>
      </w:r>
    </w:p>
    <w:p w14:paraId="7904D904">
      <w:pPr>
        <w:bidi w:val="0"/>
        <w:rPr>
          <w:rFonts w:hint="default" w:ascii="Times New Roman" w:hAnsi="Times New Roman" w:cs="Times New Roman"/>
          <w:sz w:val="21"/>
          <w:szCs w:val="21"/>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Times New Roman Italic">
    <w:panose1 w:val="02020603050405020304"/>
    <w:charset w:val="00"/>
    <w:family w:val="auto"/>
    <w:pitch w:val="default"/>
    <w:sig w:usb0="E0002AEF" w:usb1="C0007841" w:usb2="00000009" w:usb3="00000000" w:csb0="400001FF" w:csb1="FFFF0000"/>
  </w:font>
  <w:font w:name="Times New Roman Bold Italic">
    <w:panose1 w:val="02020603050405020304"/>
    <w:charset w:val="00"/>
    <w:family w:val="auto"/>
    <w:pitch w:val="default"/>
    <w:sig w:usb0="E0002AEF" w:usb1="C0007841" w:usb2="00000009" w:usb3="00000000" w:csb0="400001FF" w:csb1="FFFF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CB3AE">
    <w:pPr>
      <w:pStyle w:val="3"/>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CC63A">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557AE3"/>
    <w:rsid w:val="00CC3313"/>
    <w:rsid w:val="0EAD69A2"/>
    <w:rsid w:val="1DF409CF"/>
    <w:rsid w:val="20220FBA"/>
    <w:rsid w:val="21AD61D1"/>
    <w:rsid w:val="26935379"/>
    <w:rsid w:val="29BF7876"/>
    <w:rsid w:val="2C9D5C3F"/>
    <w:rsid w:val="2D2D4A5E"/>
    <w:rsid w:val="2D8D5DD0"/>
    <w:rsid w:val="389D371A"/>
    <w:rsid w:val="397628D3"/>
    <w:rsid w:val="3B6344AB"/>
    <w:rsid w:val="3C170B3E"/>
    <w:rsid w:val="3CE32D7C"/>
    <w:rsid w:val="41EA4FEF"/>
    <w:rsid w:val="48773972"/>
    <w:rsid w:val="49B6006B"/>
    <w:rsid w:val="4B5160DF"/>
    <w:rsid w:val="50557AE3"/>
    <w:rsid w:val="578F2469"/>
    <w:rsid w:val="57E15FE3"/>
    <w:rsid w:val="63B55C1A"/>
    <w:rsid w:val="6BFE6770"/>
    <w:rsid w:val="75CF3BBB"/>
    <w:rsid w:val="77AC3DF7"/>
    <w:rsid w:val="77E59AB1"/>
    <w:rsid w:val="79787593"/>
    <w:rsid w:val="7B4C6C5F"/>
    <w:rsid w:val="7FDF74A2"/>
    <w:rsid w:val="BAC45CEC"/>
    <w:rsid w:val="EBD7F426"/>
    <w:rsid w:val="EFEF7EF0"/>
    <w:rsid w:val="FBFDC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1681</Words>
  <Characters>10340</Characters>
  <Lines>0</Lines>
  <Paragraphs>0</Paragraphs>
  <TotalTime>6</TotalTime>
  <ScaleCrop>false</ScaleCrop>
  <LinksUpToDate>false</LinksUpToDate>
  <CharactersWithSpaces>11649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2025-09-26T14:09:00Z</dcterms:created>
  <dc:creator>٩( ᐛ )و</dc:creator>
  <cp:lastModifiedBy>savanna</cp:lastModifiedBy>
  <dcterms:modified xsi:type="dcterms:W3CDTF">2026-07-22T09:55:04Z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ZOTERO_PREF_2">
    <vt:lpwstr>1</vt:lpwstr>
  </property>
  <property fmtid="{D5CDD505-2E9C-101B-9397-08002B2CF9AE}" pid="4" name="ZOTERO_PREF_1">
    <vt:lpwstr>1</vt:lpwstr>
  </property>
  <property fmtid="{D5CDD505-2E9C-101B-9397-08002B2CF9AE}" pid="5" name="KSOTemplateDocerSaveRecord">
    <vt:lpwstr>eyJoZGlkIjoiZmNhZDdkZGM3ZTc2Yjg1NWU5ZGFmM2U2ZDYwZDdjYmEiLCJ1c2VySWQiOiIxMDY2MjY0NjQ2In0=</vt:lpwstr>
  </property>
  <property fmtid="{D5CDD505-2E9C-101B-9397-08002B2CF9AE}" pid="6" name="ICV">
    <vt:lpwstr>A67015378A404E14920D606A787BF8EE_43</vt:lpwstr>
  </property>
</Properties>
</file>