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6B49" w:rsidRDefault="00FE6B49" w:rsidP="00FE6B49">
      <w:pPr>
        <w:rPr>
          <w:sz w:val="16"/>
          <w:szCs w:val="16"/>
          <w:rtl/>
        </w:rPr>
      </w:pPr>
    </w:p>
    <w:p w:rsidR="00FE6B49" w:rsidRDefault="00FE6B49" w:rsidP="00FE6B49">
      <w:pPr>
        <w:spacing w:after="200" w:line="240" w:lineRule="auto"/>
        <w:jc w:val="center"/>
        <w:rPr>
          <w:rFonts w:ascii="Times New Roman" w:eastAsia="Calibri" w:hAnsi="Times New Roman" w:cs="Times New Roman"/>
          <w:b/>
          <w:bCs/>
          <w:sz w:val="24"/>
          <w:szCs w:val="24"/>
        </w:rPr>
      </w:pPr>
    </w:p>
    <w:p w:rsidR="00FE6B49" w:rsidRPr="00634A98" w:rsidRDefault="00FE6B49" w:rsidP="00FE6B49">
      <w:pPr>
        <w:spacing w:after="200" w:line="240" w:lineRule="auto"/>
        <w:jc w:val="center"/>
        <w:rPr>
          <w:rFonts w:ascii="Times New Roman" w:eastAsia="Calibri" w:hAnsi="Times New Roman" w:cs="Times New Roman"/>
          <w:b/>
          <w:bCs/>
          <w:sz w:val="24"/>
          <w:szCs w:val="24"/>
        </w:rPr>
      </w:pPr>
      <w:r w:rsidRPr="00634A98">
        <w:rPr>
          <w:rFonts w:ascii="Times New Roman" w:eastAsia="Calibri" w:hAnsi="Times New Roman" w:cs="Times New Roman"/>
          <w:b/>
          <w:bCs/>
          <w:sz w:val="24"/>
          <w:szCs w:val="24"/>
        </w:rPr>
        <w:t>Prevalence of Vancomycin-resistant enterococci (VRE) in Egypt: a systematic review and meta-analysis</w:t>
      </w:r>
      <w:r w:rsidRPr="00634A98">
        <w:rPr>
          <w:rFonts w:ascii="Times New Roman" w:eastAsia="Calibri" w:hAnsi="Times New Roman" w:cs="Times New Roman"/>
          <w:b/>
          <w:bCs/>
          <w:sz w:val="24"/>
          <w:szCs w:val="24"/>
        </w:rPr>
        <w:br/>
      </w:r>
    </w:p>
    <w:p w:rsidR="00FE6B49" w:rsidRPr="00634A98" w:rsidRDefault="00FE6B49" w:rsidP="00FE6B49">
      <w:pPr>
        <w:spacing w:after="200" w:line="240" w:lineRule="auto"/>
        <w:jc w:val="center"/>
        <w:rPr>
          <w:rFonts w:ascii="Times New Roman" w:eastAsia="Calibri" w:hAnsi="Times New Roman" w:cs="Times New Roman"/>
          <w:sz w:val="24"/>
          <w:szCs w:val="24"/>
          <w:vertAlign w:val="superscript"/>
        </w:rPr>
      </w:pPr>
      <w:r w:rsidRPr="00634A98">
        <w:rPr>
          <w:rFonts w:ascii="Times New Roman" w:eastAsia="Calibri" w:hAnsi="Times New Roman" w:cs="Times New Roman"/>
          <w:sz w:val="24"/>
          <w:szCs w:val="24"/>
        </w:rPr>
        <w:br/>
        <w:t xml:space="preserve">                Ahmed Azzam </w:t>
      </w:r>
      <w:r w:rsidRPr="00634A98">
        <w:rPr>
          <w:rFonts w:ascii="Times New Roman" w:eastAsia="Calibri" w:hAnsi="Times New Roman" w:cs="Times New Roman"/>
          <w:sz w:val="24"/>
          <w:szCs w:val="24"/>
          <w:vertAlign w:val="superscript"/>
        </w:rPr>
        <w:t>1</w:t>
      </w:r>
      <w:r w:rsidRPr="00634A98">
        <w:rPr>
          <w:rFonts w:ascii="Times New Roman" w:eastAsia="Calibri" w:hAnsi="Times New Roman" w:cs="Times New Roman"/>
          <w:sz w:val="24"/>
          <w:szCs w:val="24"/>
        </w:rPr>
        <w:t>,</w:t>
      </w:r>
      <w:r w:rsidRPr="00634A98">
        <w:t xml:space="preserve"> </w:t>
      </w:r>
      <w:r w:rsidRPr="00634A98">
        <w:rPr>
          <w:rFonts w:ascii="Times New Roman" w:eastAsia="Calibri" w:hAnsi="Times New Roman" w:cs="Times New Roman"/>
          <w:sz w:val="24"/>
          <w:szCs w:val="24"/>
        </w:rPr>
        <w:t xml:space="preserve">Hoda Elkafas </w:t>
      </w:r>
      <w:r w:rsidRPr="00634A98">
        <w:rPr>
          <w:rFonts w:ascii="Times New Roman" w:eastAsia="Calibri" w:hAnsi="Times New Roman" w:cs="Times New Roman"/>
          <w:sz w:val="24"/>
          <w:szCs w:val="24"/>
          <w:vertAlign w:val="superscript"/>
        </w:rPr>
        <w:t>2</w:t>
      </w:r>
      <w:r w:rsidRPr="00634A98">
        <w:rPr>
          <w:rFonts w:ascii="Times New Roman" w:eastAsia="Calibri" w:hAnsi="Times New Roman" w:cs="Times New Roman"/>
          <w:sz w:val="24"/>
          <w:szCs w:val="24"/>
        </w:rPr>
        <w:t xml:space="preserve">, Heba Khaled </w:t>
      </w:r>
      <w:r w:rsidRPr="00634A98">
        <w:rPr>
          <w:rFonts w:ascii="Times New Roman" w:eastAsia="Calibri" w:hAnsi="Times New Roman" w:cs="Times New Roman"/>
          <w:sz w:val="24"/>
          <w:szCs w:val="24"/>
          <w:vertAlign w:val="superscript"/>
        </w:rPr>
        <w:t>3</w:t>
      </w:r>
      <w:r w:rsidRPr="00634A98">
        <w:rPr>
          <w:rFonts w:ascii="Times New Roman" w:eastAsia="Calibri" w:hAnsi="Times New Roman" w:cs="Times New Roman"/>
          <w:sz w:val="24"/>
          <w:szCs w:val="24"/>
        </w:rPr>
        <w:t xml:space="preserve">, Ahmed Ashraf </w:t>
      </w:r>
      <w:r w:rsidRPr="00634A98">
        <w:rPr>
          <w:rFonts w:ascii="Times New Roman" w:eastAsia="Calibri" w:hAnsi="Times New Roman" w:cs="Times New Roman"/>
          <w:sz w:val="24"/>
          <w:szCs w:val="24"/>
          <w:vertAlign w:val="superscript"/>
        </w:rPr>
        <w:t>4</w:t>
      </w:r>
      <w:r w:rsidRPr="00634A98">
        <w:rPr>
          <w:rFonts w:ascii="Times New Roman" w:eastAsia="Calibri" w:hAnsi="Times New Roman" w:cs="Times New Roman"/>
          <w:sz w:val="24"/>
          <w:szCs w:val="24"/>
        </w:rPr>
        <w:t>,</w:t>
      </w:r>
      <w:r w:rsidRPr="00634A98">
        <w:t xml:space="preserve"> </w:t>
      </w:r>
      <w:r w:rsidRPr="00634A98">
        <w:rPr>
          <w:rFonts w:ascii="Times New Roman" w:eastAsia="Calibri" w:hAnsi="Times New Roman" w:cs="Times New Roman"/>
          <w:sz w:val="24"/>
          <w:szCs w:val="24"/>
        </w:rPr>
        <w:t xml:space="preserve">Mohammed Abd-Ellatif Yousef </w:t>
      </w:r>
      <w:r w:rsidRPr="00634A98">
        <w:rPr>
          <w:rFonts w:ascii="Times New Roman" w:eastAsia="Calibri" w:hAnsi="Times New Roman" w:cs="Times New Roman"/>
          <w:sz w:val="24"/>
          <w:szCs w:val="24"/>
          <w:vertAlign w:val="superscript"/>
        </w:rPr>
        <w:t>5</w:t>
      </w:r>
      <w:r w:rsidRPr="00634A98">
        <w:rPr>
          <w:rFonts w:ascii="Times New Roman" w:eastAsia="Calibri" w:hAnsi="Times New Roman" w:cs="Times New Roman"/>
          <w:sz w:val="24"/>
          <w:szCs w:val="24"/>
        </w:rPr>
        <w:t xml:space="preserve">, Aya Awny Elkashef </w:t>
      </w:r>
      <w:r w:rsidRPr="00634A98">
        <w:rPr>
          <w:rFonts w:ascii="Times New Roman" w:eastAsia="Calibri" w:hAnsi="Times New Roman" w:cs="Times New Roman"/>
          <w:sz w:val="24"/>
          <w:szCs w:val="24"/>
          <w:vertAlign w:val="superscript"/>
        </w:rPr>
        <w:t>6</w:t>
      </w:r>
    </w:p>
    <w:p w:rsidR="00FE6B49" w:rsidRDefault="00FE6B49" w:rsidP="00FE6B49">
      <w:pPr>
        <w:spacing w:after="200" w:line="240" w:lineRule="auto"/>
        <w:jc w:val="center"/>
        <w:rPr>
          <w:rFonts w:ascii="Times New Roman" w:eastAsia="Calibri" w:hAnsi="Times New Roman" w:cs="Times New Roman"/>
          <w:sz w:val="24"/>
          <w:szCs w:val="24"/>
          <w:vertAlign w:val="superscript"/>
        </w:rPr>
      </w:pPr>
    </w:p>
    <w:p w:rsidR="00FE6B49" w:rsidRPr="00634A98" w:rsidRDefault="00FE6B49" w:rsidP="00FE6B49">
      <w:pPr>
        <w:spacing w:after="200" w:line="240" w:lineRule="auto"/>
        <w:jc w:val="center"/>
        <w:rPr>
          <w:rFonts w:ascii="Times New Roman" w:eastAsia="Calibri" w:hAnsi="Times New Roman" w:cs="Times New Roman"/>
          <w:sz w:val="24"/>
          <w:szCs w:val="24"/>
        </w:rPr>
      </w:pPr>
      <w:r w:rsidRPr="00634A98">
        <w:rPr>
          <w:rFonts w:ascii="Times New Roman" w:eastAsia="Calibri" w:hAnsi="Times New Roman" w:cs="Times New Roman"/>
          <w:sz w:val="24"/>
          <w:szCs w:val="24"/>
          <w:vertAlign w:val="superscript"/>
        </w:rPr>
        <w:t>1</w:t>
      </w:r>
      <w:r w:rsidRPr="00634A98">
        <w:rPr>
          <w:rFonts w:ascii="Times New Roman" w:eastAsia="Calibri" w:hAnsi="Times New Roman" w:cs="Times New Roman"/>
          <w:sz w:val="24"/>
          <w:szCs w:val="24"/>
        </w:rPr>
        <w:t xml:space="preserve"> Department of Microbiology and Immunology, Faculty of Pharmacy, Helwan University, Cairo Egypt.</w:t>
      </w:r>
      <w:r w:rsidRPr="00634A98">
        <w:rPr>
          <w:rFonts w:ascii="Times New Roman" w:eastAsia="Calibri" w:hAnsi="Times New Roman" w:cs="Times New Roman"/>
          <w:sz w:val="24"/>
          <w:szCs w:val="24"/>
        </w:rPr>
        <w:br/>
      </w:r>
      <w:r w:rsidRPr="00634A98">
        <w:rPr>
          <w:rFonts w:ascii="Times New Roman" w:eastAsia="Calibri" w:hAnsi="Times New Roman" w:cs="Times New Roman"/>
          <w:sz w:val="24"/>
          <w:szCs w:val="24"/>
          <w:vertAlign w:val="superscript"/>
        </w:rPr>
        <w:t xml:space="preserve">2 </w:t>
      </w:r>
      <w:r w:rsidRPr="00634A98">
        <w:rPr>
          <w:rFonts w:ascii="Times New Roman" w:eastAsia="Calibri" w:hAnsi="Times New Roman" w:cs="Times New Roman"/>
          <w:sz w:val="24"/>
          <w:szCs w:val="24"/>
        </w:rPr>
        <w:t>Department of Pharmacology and Toxicology, Egyptian Drug Authority, formerly National Organization for Drug Control and Research, Cairo 35521, Egypt.</w:t>
      </w:r>
      <w:r w:rsidRPr="00634A98">
        <w:rPr>
          <w:rFonts w:ascii="Times New Roman" w:eastAsia="Calibri" w:hAnsi="Times New Roman" w:cs="Times New Roman"/>
          <w:sz w:val="24"/>
          <w:szCs w:val="24"/>
        </w:rPr>
        <w:br/>
      </w:r>
      <w:r w:rsidRPr="00634A98">
        <w:rPr>
          <w:rFonts w:ascii="Times New Roman" w:eastAsia="Calibri" w:hAnsi="Times New Roman" w:cs="Times New Roman"/>
          <w:sz w:val="24"/>
          <w:szCs w:val="24"/>
          <w:vertAlign w:val="superscript"/>
        </w:rPr>
        <w:t xml:space="preserve">3 </w:t>
      </w:r>
      <w:r w:rsidRPr="00634A98">
        <w:rPr>
          <w:rFonts w:ascii="Times New Roman" w:eastAsia="Calibri" w:hAnsi="Times New Roman" w:cs="Times New Roman"/>
          <w:sz w:val="24"/>
          <w:szCs w:val="24"/>
        </w:rPr>
        <w:t>Department of biochemistry and molecular biology, Faculty of Pharmacy, Cairo University</w:t>
      </w:r>
      <w:r w:rsidRPr="00634A98">
        <w:t xml:space="preserve">, </w:t>
      </w:r>
      <w:r w:rsidRPr="00634A98">
        <w:rPr>
          <w:rFonts w:ascii="Times New Roman" w:eastAsia="Calibri" w:hAnsi="Times New Roman" w:cs="Times New Roman"/>
          <w:sz w:val="24"/>
          <w:szCs w:val="24"/>
        </w:rPr>
        <w:t>Egypt.</w:t>
      </w:r>
      <w:r w:rsidRPr="00634A98">
        <w:rPr>
          <w:rFonts w:ascii="Times New Roman" w:eastAsia="Calibri" w:hAnsi="Times New Roman" w:cs="Times New Roman"/>
          <w:sz w:val="24"/>
          <w:szCs w:val="24"/>
        </w:rPr>
        <w:br/>
      </w:r>
      <w:r w:rsidRPr="00634A98">
        <w:rPr>
          <w:rFonts w:ascii="Times New Roman" w:eastAsia="Calibri" w:hAnsi="Times New Roman" w:cs="Times New Roman"/>
          <w:sz w:val="24"/>
          <w:szCs w:val="24"/>
          <w:vertAlign w:val="superscript"/>
        </w:rPr>
        <w:t>4</w:t>
      </w:r>
      <w:r w:rsidRPr="00634A98">
        <w:rPr>
          <w:rFonts w:ascii="Times New Roman" w:eastAsia="Calibri" w:hAnsi="Times New Roman" w:cs="Times New Roman"/>
          <w:sz w:val="24"/>
          <w:szCs w:val="24"/>
        </w:rPr>
        <w:t xml:space="preserve"> Faculty of pharmacy Minia University, Minia, Egypt.</w:t>
      </w:r>
      <w:r w:rsidRPr="00634A98">
        <w:rPr>
          <w:rFonts w:ascii="Times New Roman" w:eastAsia="Calibri" w:hAnsi="Times New Roman" w:cs="Times New Roman"/>
          <w:sz w:val="24"/>
          <w:szCs w:val="24"/>
        </w:rPr>
        <w:br/>
      </w:r>
      <w:r w:rsidRPr="00634A98">
        <w:rPr>
          <w:rFonts w:ascii="Times New Roman" w:eastAsia="Calibri" w:hAnsi="Times New Roman" w:cs="Times New Roman"/>
          <w:sz w:val="24"/>
          <w:szCs w:val="24"/>
          <w:vertAlign w:val="superscript"/>
        </w:rPr>
        <w:t xml:space="preserve">5 </w:t>
      </w:r>
      <w:r w:rsidRPr="00634A98">
        <w:rPr>
          <w:rFonts w:ascii="Times New Roman" w:eastAsia="Calibri" w:hAnsi="Times New Roman" w:cs="Times New Roman"/>
          <w:sz w:val="24"/>
          <w:szCs w:val="24"/>
        </w:rPr>
        <w:t>Faculty of pharmacy Al-Azhar University, Assuit, Egypt.</w:t>
      </w:r>
      <w:r w:rsidRPr="00634A98">
        <w:rPr>
          <w:rFonts w:ascii="Times New Roman" w:eastAsia="Calibri" w:hAnsi="Times New Roman" w:cs="Times New Roman"/>
          <w:sz w:val="24"/>
          <w:szCs w:val="24"/>
        </w:rPr>
        <w:br/>
      </w:r>
      <w:r w:rsidRPr="00634A98">
        <w:rPr>
          <w:rFonts w:ascii="Times New Roman" w:eastAsia="Calibri" w:hAnsi="Times New Roman" w:cs="Times New Roman"/>
          <w:sz w:val="24"/>
          <w:szCs w:val="24"/>
          <w:vertAlign w:val="superscript"/>
        </w:rPr>
        <w:t>6</w:t>
      </w:r>
      <w:r w:rsidRPr="00634A98">
        <w:rPr>
          <w:rFonts w:ascii="Times New Roman" w:eastAsia="Calibri" w:hAnsi="Times New Roman" w:cs="Times New Roman"/>
          <w:sz w:val="24"/>
          <w:szCs w:val="24"/>
        </w:rPr>
        <w:t xml:space="preserve"> Department of Botany &amp; Microbiology, Faculty of Science, Arish University, North Sinai, Egypt.</w:t>
      </w:r>
    </w:p>
    <w:p w:rsidR="00FE6B49" w:rsidRDefault="00FE6B49" w:rsidP="00FE6B49">
      <w:pPr>
        <w:rPr>
          <w:sz w:val="16"/>
          <w:szCs w:val="16"/>
        </w:rPr>
      </w:pPr>
    </w:p>
    <w:p w:rsidR="00FE6B49" w:rsidRDefault="00FE6B49" w:rsidP="00FE6B49">
      <w:pPr>
        <w:rPr>
          <w:sz w:val="16"/>
          <w:szCs w:val="16"/>
        </w:rPr>
      </w:pPr>
    </w:p>
    <w:p w:rsidR="00FE6B49" w:rsidRDefault="00FE6B49" w:rsidP="00FE6B49">
      <w:pPr>
        <w:rPr>
          <w:sz w:val="16"/>
          <w:szCs w:val="16"/>
        </w:rPr>
      </w:pPr>
    </w:p>
    <w:p w:rsidR="00FE6B49" w:rsidRDefault="00FE6B49" w:rsidP="00FE6B49">
      <w:pPr>
        <w:rPr>
          <w:sz w:val="16"/>
          <w:szCs w:val="16"/>
        </w:rPr>
      </w:pPr>
    </w:p>
    <w:p w:rsidR="00FE6B49" w:rsidRDefault="00FE6B49" w:rsidP="00FE6B49">
      <w:pPr>
        <w:rPr>
          <w:sz w:val="16"/>
          <w:szCs w:val="16"/>
        </w:rPr>
      </w:pPr>
    </w:p>
    <w:p w:rsidR="00FE6B49" w:rsidRDefault="00FE6B49" w:rsidP="00FE6B49">
      <w:pPr>
        <w:rPr>
          <w:sz w:val="16"/>
          <w:szCs w:val="16"/>
        </w:rPr>
      </w:pPr>
    </w:p>
    <w:p w:rsidR="00FE6B49" w:rsidRDefault="00FE6B49" w:rsidP="00FE6B49">
      <w:pPr>
        <w:rPr>
          <w:sz w:val="16"/>
          <w:szCs w:val="16"/>
        </w:rPr>
      </w:pPr>
    </w:p>
    <w:p w:rsidR="00FE6B49" w:rsidRDefault="00FE6B49" w:rsidP="00FE6B49">
      <w:pPr>
        <w:rPr>
          <w:sz w:val="16"/>
          <w:szCs w:val="16"/>
        </w:rPr>
      </w:pPr>
    </w:p>
    <w:p w:rsidR="00D30B74" w:rsidRDefault="00D30B74" w:rsidP="00FE6B49">
      <w:pPr>
        <w:rPr>
          <w:sz w:val="16"/>
          <w:szCs w:val="16"/>
        </w:rPr>
      </w:pPr>
    </w:p>
    <w:p w:rsidR="00D30B74" w:rsidRDefault="00D30B74" w:rsidP="00FE6B49">
      <w:pPr>
        <w:rPr>
          <w:sz w:val="16"/>
          <w:szCs w:val="16"/>
        </w:rPr>
      </w:pPr>
    </w:p>
    <w:p w:rsidR="00D30B74" w:rsidRDefault="00D30B74" w:rsidP="00FE6B49">
      <w:pPr>
        <w:rPr>
          <w:sz w:val="16"/>
          <w:szCs w:val="16"/>
        </w:rPr>
      </w:pPr>
    </w:p>
    <w:p w:rsidR="00D30B74" w:rsidRDefault="00D30B74" w:rsidP="00FE6B49">
      <w:pPr>
        <w:rPr>
          <w:sz w:val="16"/>
          <w:szCs w:val="16"/>
        </w:rPr>
      </w:pPr>
    </w:p>
    <w:p w:rsidR="00D30B74" w:rsidRDefault="00D30B74" w:rsidP="00FE6B49">
      <w:pPr>
        <w:rPr>
          <w:sz w:val="16"/>
          <w:szCs w:val="16"/>
        </w:rPr>
      </w:pPr>
    </w:p>
    <w:p w:rsidR="00D30B74" w:rsidRDefault="00D30B74" w:rsidP="00FE6B49">
      <w:pPr>
        <w:rPr>
          <w:sz w:val="16"/>
          <w:szCs w:val="16"/>
        </w:rPr>
      </w:pPr>
    </w:p>
    <w:p w:rsidR="00FE6B49" w:rsidRDefault="00FE6B49" w:rsidP="00FE6B49">
      <w:pPr>
        <w:rPr>
          <w:sz w:val="16"/>
          <w:szCs w:val="16"/>
        </w:rPr>
      </w:pPr>
    </w:p>
    <w:p w:rsidR="00FE6B49" w:rsidRDefault="00FE6B49" w:rsidP="00FE6B49">
      <w:pPr>
        <w:rPr>
          <w:sz w:val="16"/>
          <w:szCs w:val="16"/>
        </w:rPr>
      </w:pPr>
    </w:p>
    <w:p w:rsidR="00FE6B49" w:rsidRDefault="00FE6B49" w:rsidP="00FE6B49">
      <w:pPr>
        <w:rPr>
          <w:sz w:val="16"/>
          <w:szCs w:val="16"/>
        </w:rPr>
      </w:pPr>
    </w:p>
    <w:p w:rsidR="00FC72FC" w:rsidRPr="00FC72FC" w:rsidRDefault="00FC72FC" w:rsidP="00FC72FC">
      <w:pPr>
        <w:rPr>
          <w:b/>
          <w:bCs/>
          <w:sz w:val="24"/>
          <w:szCs w:val="24"/>
        </w:rPr>
      </w:pPr>
      <w:r w:rsidRPr="00FC72FC">
        <w:rPr>
          <w:b/>
          <w:bCs/>
          <w:sz w:val="24"/>
          <w:szCs w:val="24"/>
        </w:rPr>
        <w:t>Fig.S1: Supplementary Preferred Reporting Items for Systematic Reviews and Meta-analyses (PRISMA) checklist</w:t>
      </w:r>
    </w:p>
    <w:p w:rsidR="00FE6B49" w:rsidRDefault="00FE6B49" w:rsidP="00FE6B49">
      <w:pPr>
        <w:rPr>
          <w:sz w:val="16"/>
          <w:szCs w:val="16"/>
        </w:rPr>
      </w:pPr>
    </w:p>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D30B74" w:rsidRPr="00D30B74" w:rsidTr="00D113D0">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D30B74" w:rsidRPr="00D30B74" w:rsidRDefault="00D30B74" w:rsidP="00D30B74">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D30B74">
              <w:rPr>
                <w:rFonts w:ascii="Arial" w:eastAsia="Times New Roman" w:hAnsi="Arial" w:cs="Arial"/>
                <w:b/>
                <w:bCs/>
                <w:color w:val="FFFFFF"/>
                <w:sz w:val="18"/>
                <w:szCs w:val="18"/>
                <w:lang w:val="en-CA" w:eastAsia="en-CA"/>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rsidR="00D30B74" w:rsidRPr="00D30B74" w:rsidRDefault="00D30B74" w:rsidP="00D30B74">
            <w:pPr>
              <w:widowControl w:val="0"/>
              <w:autoSpaceDE w:val="0"/>
              <w:autoSpaceDN w:val="0"/>
              <w:adjustRightInd w:val="0"/>
              <w:spacing w:after="0" w:line="240" w:lineRule="auto"/>
              <w:rPr>
                <w:rFonts w:ascii="Arial" w:eastAsia="Times New Roman" w:hAnsi="Arial" w:cs="Arial"/>
                <w:b/>
                <w:bCs/>
                <w:color w:val="FFFFFF"/>
                <w:sz w:val="18"/>
                <w:szCs w:val="18"/>
                <w:lang w:val="en-CA" w:eastAsia="en-CA"/>
              </w:rPr>
            </w:pPr>
            <w:r w:rsidRPr="00D30B74">
              <w:rPr>
                <w:rFonts w:ascii="Arial" w:eastAsia="Times New Roman" w:hAnsi="Arial" w:cs="Arial"/>
                <w:b/>
                <w:bCs/>
                <w:color w:val="FFFFFF"/>
                <w:sz w:val="18"/>
                <w:szCs w:val="18"/>
                <w:lang w:val="en-CA" w:eastAsia="en-CA"/>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D30B74" w:rsidRPr="00D30B74" w:rsidRDefault="00D30B74" w:rsidP="00D30B74">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D30B74">
              <w:rPr>
                <w:rFonts w:ascii="Arial" w:eastAsia="Times New Roman" w:hAnsi="Arial" w:cs="Arial"/>
                <w:b/>
                <w:bCs/>
                <w:color w:val="FFFFFF"/>
                <w:sz w:val="18"/>
                <w:szCs w:val="18"/>
                <w:lang w:val="en-CA" w:eastAsia="en-CA"/>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rsidR="00D30B74" w:rsidRPr="00D30B74" w:rsidRDefault="00D30B74" w:rsidP="00D30B74">
            <w:pPr>
              <w:widowControl w:val="0"/>
              <w:autoSpaceDE w:val="0"/>
              <w:autoSpaceDN w:val="0"/>
              <w:adjustRightInd w:val="0"/>
              <w:spacing w:after="0" w:line="240" w:lineRule="auto"/>
              <w:rPr>
                <w:rFonts w:ascii="Arial" w:eastAsia="Times New Roman" w:hAnsi="Arial" w:cs="Arial"/>
                <w:color w:val="FFFFFF"/>
                <w:sz w:val="18"/>
                <w:szCs w:val="18"/>
                <w:lang w:val="en-CA" w:eastAsia="en-CA"/>
              </w:rPr>
            </w:pPr>
            <w:r w:rsidRPr="00D30B74">
              <w:rPr>
                <w:rFonts w:ascii="Arial" w:eastAsia="Times New Roman" w:hAnsi="Arial" w:cs="Arial"/>
                <w:b/>
                <w:bCs/>
                <w:color w:val="FFFFFF"/>
                <w:sz w:val="18"/>
                <w:szCs w:val="18"/>
                <w:lang w:val="en-CA" w:eastAsia="en-CA"/>
              </w:rPr>
              <w:t xml:space="preserve">Location where item is reported </w:t>
            </w:r>
          </w:p>
        </w:tc>
      </w:tr>
      <w:tr w:rsidR="00D30B74" w:rsidRPr="00D30B74" w:rsidTr="00D113D0">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D30B74" w:rsidRPr="00D30B74" w:rsidRDefault="00D30B74" w:rsidP="00D30B74">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D30B74">
              <w:rPr>
                <w:rFonts w:ascii="Arial" w:eastAsia="Times New Roman" w:hAnsi="Arial" w:cs="Arial"/>
                <w:b/>
                <w:bCs/>
                <w:color w:val="000000"/>
                <w:sz w:val="18"/>
                <w:szCs w:val="18"/>
                <w:lang w:val="en-CA" w:eastAsia="en-CA"/>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D30B74" w:rsidRPr="00D30B74" w:rsidRDefault="00D30B74" w:rsidP="00D30B74">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D30B74" w:rsidRPr="00D30B74" w:rsidTr="00D113D0">
        <w:trPr>
          <w:trHeight w:val="48"/>
        </w:trPr>
        <w:tc>
          <w:tcPr>
            <w:tcW w:w="1668" w:type="dxa"/>
            <w:tcBorders>
              <w:top w:val="single" w:sz="5" w:space="0" w:color="000000"/>
              <w:left w:val="single" w:sz="5" w:space="0" w:color="000000"/>
              <w:bottom w:val="double" w:sz="2" w:space="0" w:color="FFFFCC"/>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w:t>
            </w:r>
          </w:p>
        </w:tc>
        <w:tc>
          <w:tcPr>
            <w:tcW w:w="11745" w:type="dxa"/>
            <w:tcBorders>
              <w:top w:val="single" w:sz="5" w:space="0" w:color="000000"/>
              <w:left w:val="single" w:sz="5" w:space="0" w:color="000000"/>
              <w:bottom w:val="doub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P.1</w:t>
            </w:r>
          </w:p>
        </w:tc>
      </w:tr>
      <w:tr w:rsidR="00D30B74" w:rsidRPr="00D30B74" w:rsidTr="00D113D0">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D30B74" w:rsidRPr="00D30B74" w:rsidRDefault="00D30B74" w:rsidP="00D30B74">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D30B74">
              <w:rPr>
                <w:rFonts w:ascii="Arial" w:eastAsia="Times New Roman" w:hAnsi="Arial" w:cs="Arial"/>
                <w:b/>
                <w:bCs/>
                <w:color w:val="000000"/>
                <w:sz w:val="18"/>
                <w:szCs w:val="18"/>
                <w:lang w:val="en-CA" w:eastAsia="en-CA"/>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D30B74" w:rsidRPr="00D30B74" w:rsidRDefault="00D30B74" w:rsidP="00D30B74">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D30B74" w:rsidRPr="00D30B74" w:rsidTr="00D113D0">
        <w:trPr>
          <w:trHeight w:val="48"/>
        </w:trPr>
        <w:tc>
          <w:tcPr>
            <w:tcW w:w="1668" w:type="dxa"/>
            <w:tcBorders>
              <w:top w:val="single" w:sz="5" w:space="0" w:color="000000"/>
              <w:left w:val="single" w:sz="5" w:space="0" w:color="000000"/>
              <w:bottom w:val="double" w:sz="2" w:space="0" w:color="FFFFCC"/>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w:t>
            </w:r>
          </w:p>
        </w:tc>
        <w:tc>
          <w:tcPr>
            <w:tcW w:w="11745" w:type="dxa"/>
            <w:tcBorders>
              <w:top w:val="single" w:sz="5" w:space="0" w:color="000000"/>
              <w:left w:val="single" w:sz="5" w:space="0" w:color="000000"/>
              <w:bottom w:val="double" w:sz="5" w:space="0" w:color="000000"/>
              <w:right w:val="single" w:sz="5" w:space="0" w:color="000000"/>
            </w:tcBorders>
          </w:tcPr>
          <w:p w:rsidR="00D30B74" w:rsidRPr="00D30B74" w:rsidRDefault="00B2217A"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B2217A">
              <w:rPr>
                <w:rFonts w:ascii="Arial" w:eastAsia="Times New Roman" w:hAnsi="Arial" w:cs="Arial"/>
                <w:color w:val="000000"/>
                <w:sz w:val="18"/>
                <w:szCs w:val="18"/>
                <w:lang w:val="en-CA" w:eastAsia="en-CA"/>
              </w:rPr>
              <w:t>See the PRISMA 2020 for Abstracts checklist.</w:t>
            </w:r>
          </w:p>
        </w:tc>
        <w:tc>
          <w:tcPr>
            <w:tcW w:w="1200" w:type="dxa"/>
            <w:tcBorders>
              <w:top w:val="single" w:sz="5" w:space="0" w:color="000000"/>
              <w:left w:val="single" w:sz="5" w:space="0" w:color="000000"/>
              <w:bottom w:val="doub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P.2</w:t>
            </w:r>
          </w:p>
        </w:tc>
      </w:tr>
      <w:tr w:rsidR="00D30B74" w:rsidRPr="00D30B74" w:rsidTr="00D113D0">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D30B74" w:rsidRPr="00D30B74" w:rsidRDefault="00D30B74" w:rsidP="00D30B74">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D30B74">
              <w:rPr>
                <w:rFonts w:ascii="Arial" w:eastAsia="Times New Roman" w:hAnsi="Arial" w:cs="Arial"/>
                <w:b/>
                <w:bCs/>
                <w:color w:val="000000"/>
                <w:sz w:val="18"/>
                <w:szCs w:val="18"/>
                <w:lang w:val="en-CA" w:eastAsia="en-CA"/>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D30B74" w:rsidRPr="00D30B74" w:rsidRDefault="00D30B74" w:rsidP="00D30B74">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D30B74" w:rsidRPr="00D30B74" w:rsidTr="00D113D0">
        <w:trPr>
          <w:trHeight w:val="48"/>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3</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P.4</w:t>
            </w:r>
          </w:p>
        </w:tc>
      </w:tr>
      <w:tr w:rsidR="00D30B74" w:rsidRPr="00D30B74" w:rsidTr="00D113D0">
        <w:trPr>
          <w:trHeight w:val="48"/>
        </w:trPr>
        <w:tc>
          <w:tcPr>
            <w:tcW w:w="1668" w:type="dxa"/>
            <w:tcBorders>
              <w:top w:val="single" w:sz="5" w:space="0" w:color="000000"/>
              <w:left w:val="single" w:sz="5" w:space="0" w:color="000000"/>
              <w:bottom w:val="double" w:sz="2" w:space="0" w:color="FFFFCC"/>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4</w:t>
            </w:r>
          </w:p>
        </w:tc>
        <w:tc>
          <w:tcPr>
            <w:tcW w:w="11745" w:type="dxa"/>
            <w:tcBorders>
              <w:top w:val="single" w:sz="5" w:space="0" w:color="000000"/>
              <w:left w:val="single" w:sz="5" w:space="0" w:color="000000"/>
              <w:bottom w:val="doub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P.4</w:t>
            </w:r>
          </w:p>
        </w:tc>
      </w:tr>
      <w:tr w:rsidR="00D30B74" w:rsidRPr="00D30B74" w:rsidTr="00D113D0">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D30B74" w:rsidRPr="00D30B74" w:rsidRDefault="00D30B74" w:rsidP="00D30B74">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D30B74">
              <w:rPr>
                <w:rFonts w:ascii="Arial" w:eastAsia="Times New Roman" w:hAnsi="Arial" w:cs="Arial"/>
                <w:b/>
                <w:bCs/>
                <w:color w:val="000000"/>
                <w:sz w:val="18"/>
                <w:szCs w:val="18"/>
                <w:lang w:val="en-CA" w:eastAsia="en-CA"/>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D30B74" w:rsidRPr="00D30B74" w:rsidRDefault="00D30B74" w:rsidP="00D30B74">
            <w:pPr>
              <w:widowControl w:val="0"/>
              <w:autoSpaceDE w:val="0"/>
              <w:autoSpaceDN w:val="0"/>
              <w:adjustRightInd w:val="0"/>
              <w:spacing w:after="0" w:line="240" w:lineRule="auto"/>
              <w:jc w:val="right"/>
              <w:rPr>
                <w:rFonts w:ascii="Arial" w:eastAsia="Times New Roman" w:hAnsi="Arial" w:cs="Arial"/>
                <w:sz w:val="18"/>
                <w:szCs w:val="18"/>
                <w:lang w:val="en-CA" w:eastAsia="en-CA"/>
              </w:rPr>
            </w:pPr>
          </w:p>
        </w:tc>
      </w:tr>
      <w:tr w:rsidR="00D30B74" w:rsidRPr="00D30B74" w:rsidTr="00D113D0">
        <w:trPr>
          <w:trHeight w:val="48"/>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5</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P.5-6</w:t>
            </w:r>
          </w:p>
        </w:tc>
      </w:tr>
      <w:tr w:rsidR="00D30B74" w:rsidRPr="00D30B74" w:rsidTr="00D113D0">
        <w:trPr>
          <w:trHeight w:val="191"/>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6</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P.5</w:t>
            </w:r>
          </w:p>
        </w:tc>
      </w:tr>
      <w:tr w:rsidR="00D30B74" w:rsidRPr="00D30B74" w:rsidTr="00D113D0">
        <w:trPr>
          <w:trHeight w:val="48"/>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Search strategy</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7</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35000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P.5</w:t>
            </w:r>
          </w:p>
        </w:tc>
      </w:tr>
      <w:tr w:rsidR="00D30B74" w:rsidRPr="00D30B74" w:rsidTr="00D113D0">
        <w:trPr>
          <w:trHeight w:val="48"/>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Selection process</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8</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P.5</w:t>
            </w:r>
          </w:p>
        </w:tc>
      </w:tr>
      <w:tr w:rsidR="00D30B74" w:rsidRPr="00D30B74" w:rsidTr="00D113D0">
        <w:trPr>
          <w:trHeight w:val="152"/>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9</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P.5-6</w:t>
            </w:r>
          </w:p>
        </w:tc>
      </w:tr>
      <w:tr w:rsidR="00D30B74" w:rsidRPr="00D30B74" w:rsidTr="00D113D0">
        <w:trPr>
          <w:trHeight w:val="48"/>
        </w:trPr>
        <w:tc>
          <w:tcPr>
            <w:tcW w:w="1668" w:type="dxa"/>
            <w:vMerge w:val="restart"/>
            <w:tcBorders>
              <w:top w:val="single" w:sz="5" w:space="0" w:color="000000"/>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10a</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P.5-6</w:t>
            </w:r>
          </w:p>
        </w:tc>
      </w:tr>
      <w:tr w:rsidR="00D30B74" w:rsidRPr="00D30B74" w:rsidTr="00D113D0">
        <w:trPr>
          <w:trHeight w:val="48"/>
        </w:trPr>
        <w:tc>
          <w:tcPr>
            <w:tcW w:w="1668" w:type="dxa"/>
            <w:vMerge/>
            <w:tcBorders>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10b</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P.5-6</w:t>
            </w:r>
          </w:p>
        </w:tc>
      </w:tr>
      <w:tr w:rsidR="00D30B74" w:rsidRPr="00D30B74" w:rsidTr="00D113D0">
        <w:trPr>
          <w:trHeight w:val="48"/>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11</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P.6</w:t>
            </w:r>
          </w:p>
        </w:tc>
      </w:tr>
      <w:tr w:rsidR="00D30B74" w:rsidRPr="00D30B74" w:rsidTr="00D113D0">
        <w:trPr>
          <w:trHeight w:val="48"/>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12</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P.6</w:t>
            </w:r>
          </w:p>
        </w:tc>
      </w:tr>
      <w:tr w:rsidR="00D30B74" w:rsidRPr="00D30B74" w:rsidTr="00D113D0">
        <w:trPr>
          <w:trHeight w:val="48"/>
        </w:trPr>
        <w:tc>
          <w:tcPr>
            <w:tcW w:w="1668" w:type="dxa"/>
            <w:vMerge w:val="restart"/>
            <w:tcBorders>
              <w:top w:val="single" w:sz="5" w:space="0" w:color="000000"/>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Synthesis methods</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13a</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2E730A"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2E730A">
              <w:rPr>
                <w:rFonts w:ascii="Arial" w:eastAsia="Times New Roman" w:hAnsi="Arial" w:cs="Arial"/>
                <w:sz w:val="18"/>
                <w:szCs w:val="18"/>
                <w:lang w:val="en-CA" w:eastAsia="en-CA"/>
              </w:rPr>
              <w:t>Table S1</w:t>
            </w:r>
          </w:p>
        </w:tc>
      </w:tr>
      <w:tr w:rsidR="00D30B74" w:rsidRPr="00D30B74" w:rsidTr="00D113D0">
        <w:trPr>
          <w:trHeight w:val="48"/>
        </w:trPr>
        <w:tc>
          <w:tcPr>
            <w:tcW w:w="1668" w:type="dxa"/>
            <w:vMerge/>
            <w:tcBorders>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13b</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523585"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w:t>
            </w:r>
          </w:p>
        </w:tc>
      </w:tr>
      <w:tr w:rsidR="00D30B74" w:rsidRPr="00D30B74" w:rsidTr="00D113D0">
        <w:trPr>
          <w:trHeight w:val="48"/>
        </w:trPr>
        <w:tc>
          <w:tcPr>
            <w:tcW w:w="1668" w:type="dxa"/>
            <w:vMerge/>
            <w:tcBorders>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13c</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523585"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523585">
              <w:rPr>
                <w:rFonts w:ascii="Arial" w:eastAsia="Times New Roman" w:hAnsi="Arial" w:cs="Arial"/>
                <w:sz w:val="18"/>
                <w:szCs w:val="18"/>
                <w:lang w:val="en-CA" w:eastAsia="en-CA"/>
              </w:rPr>
              <w:t>P.6</w:t>
            </w:r>
          </w:p>
        </w:tc>
      </w:tr>
      <w:tr w:rsidR="00D30B74" w:rsidRPr="00D30B74" w:rsidTr="00D113D0">
        <w:trPr>
          <w:trHeight w:val="48"/>
        </w:trPr>
        <w:tc>
          <w:tcPr>
            <w:tcW w:w="1668" w:type="dxa"/>
            <w:vMerge/>
            <w:tcBorders>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13d</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P.6</w:t>
            </w:r>
          </w:p>
        </w:tc>
      </w:tr>
      <w:tr w:rsidR="00D30B74" w:rsidRPr="00D30B74" w:rsidTr="00D113D0">
        <w:trPr>
          <w:trHeight w:val="48"/>
        </w:trPr>
        <w:tc>
          <w:tcPr>
            <w:tcW w:w="1668" w:type="dxa"/>
            <w:vMerge/>
            <w:tcBorders>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13e</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P.6</w:t>
            </w:r>
          </w:p>
        </w:tc>
      </w:tr>
      <w:tr w:rsidR="00D30B74" w:rsidRPr="00D30B74" w:rsidTr="00D113D0">
        <w:trPr>
          <w:trHeight w:val="50"/>
        </w:trPr>
        <w:tc>
          <w:tcPr>
            <w:tcW w:w="1668" w:type="dxa"/>
            <w:vMerge/>
            <w:tcBorders>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13f</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p>
        </w:tc>
      </w:tr>
      <w:tr w:rsidR="00D30B74" w:rsidRPr="00D30B74" w:rsidTr="00D113D0">
        <w:trPr>
          <w:trHeight w:val="48"/>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lastRenderedPageBreak/>
              <w:t>Reporting bias assessment</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14</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P.6</w:t>
            </w:r>
          </w:p>
        </w:tc>
      </w:tr>
      <w:tr w:rsidR="00D30B74" w:rsidRPr="00D30B74" w:rsidTr="00D113D0">
        <w:trPr>
          <w:trHeight w:val="48"/>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Certainty assessment</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15</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P.6</w:t>
            </w:r>
          </w:p>
        </w:tc>
      </w:tr>
      <w:tr w:rsidR="00D30B74" w:rsidRPr="00D30B74" w:rsidTr="00D113D0">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D30B74" w:rsidRPr="00D30B74" w:rsidRDefault="00D30B74" w:rsidP="00D30B74">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D30B74">
              <w:rPr>
                <w:rFonts w:ascii="Arial" w:eastAsia="Times New Roman" w:hAnsi="Arial" w:cs="Arial"/>
                <w:b/>
                <w:bCs/>
                <w:color w:val="000000"/>
                <w:sz w:val="18"/>
                <w:szCs w:val="18"/>
                <w:lang w:val="en-CA" w:eastAsia="en-CA"/>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D30B74" w:rsidRPr="00D30B74" w:rsidRDefault="00D30B74" w:rsidP="00D30B74">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D30B74" w:rsidRPr="00D30B74" w:rsidTr="00D113D0">
        <w:trPr>
          <w:trHeight w:val="48"/>
        </w:trPr>
        <w:tc>
          <w:tcPr>
            <w:tcW w:w="1668" w:type="dxa"/>
            <w:vMerge w:val="restart"/>
            <w:tcBorders>
              <w:top w:val="single" w:sz="5" w:space="0" w:color="000000"/>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16a</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the results of the search and selection process, from the number of records identified in the search to the number of studies included in the review, ideally using a flow diagram.</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Fig.1</w:t>
            </w:r>
          </w:p>
        </w:tc>
      </w:tr>
      <w:tr w:rsidR="00D30B74" w:rsidRPr="00D30B74" w:rsidTr="00D113D0">
        <w:trPr>
          <w:trHeight w:val="48"/>
        </w:trPr>
        <w:tc>
          <w:tcPr>
            <w:tcW w:w="1668" w:type="dxa"/>
            <w:vMerge/>
            <w:tcBorders>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16b</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P.7</w:t>
            </w:r>
          </w:p>
        </w:tc>
      </w:tr>
      <w:tr w:rsidR="00D30B74" w:rsidRPr="00D30B74" w:rsidTr="00D113D0">
        <w:trPr>
          <w:trHeight w:val="103"/>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17</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Table S1</w:t>
            </w:r>
          </w:p>
        </w:tc>
      </w:tr>
      <w:tr w:rsidR="00D30B74" w:rsidRPr="00D30B74" w:rsidTr="00D113D0">
        <w:trPr>
          <w:trHeight w:val="48"/>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18</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Table 1-3</w:t>
            </w:r>
          </w:p>
        </w:tc>
      </w:tr>
      <w:tr w:rsidR="00D30B74" w:rsidRPr="00D30B74" w:rsidTr="00D113D0">
        <w:trPr>
          <w:trHeight w:val="48"/>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19</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Fig.(2-10)</w:t>
            </w:r>
          </w:p>
        </w:tc>
      </w:tr>
      <w:tr w:rsidR="00D30B74" w:rsidRPr="00D30B74" w:rsidTr="00D113D0">
        <w:trPr>
          <w:trHeight w:val="48"/>
        </w:trPr>
        <w:tc>
          <w:tcPr>
            <w:tcW w:w="1668" w:type="dxa"/>
            <w:vMerge w:val="restart"/>
            <w:tcBorders>
              <w:top w:val="single" w:sz="5" w:space="0" w:color="000000"/>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Results of syntheses</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20a</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Table 1-3</w:t>
            </w:r>
          </w:p>
        </w:tc>
      </w:tr>
      <w:tr w:rsidR="00D30B74" w:rsidRPr="00D30B74" w:rsidTr="00D113D0">
        <w:trPr>
          <w:trHeight w:val="203"/>
        </w:trPr>
        <w:tc>
          <w:tcPr>
            <w:tcW w:w="1668" w:type="dxa"/>
            <w:vMerge/>
            <w:tcBorders>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20b</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Table 1-3</w:t>
            </w:r>
          </w:p>
        </w:tc>
      </w:tr>
      <w:tr w:rsidR="00D30B74" w:rsidRPr="00D30B74" w:rsidTr="00D113D0">
        <w:trPr>
          <w:trHeight w:val="48"/>
        </w:trPr>
        <w:tc>
          <w:tcPr>
            <w:tcW w:w="1668" w:type="dxa"/>
            <w:vMerge/>
            <w:tcBorders>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20c</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Table 1</w:t>
            </w:r>
          </w:p>
        </w:tc>
      </w:tr>
      <w:tr w:rsidR="00D30B74" w:rsidRPr="00D30B74" w:rsidTr="00D113D0">
        <w:trPr>
          <w:trHeight w:val="681"/>
        </w:trPr>
        <w:tc>
          <w:tcPr>
            <w:tcW w:w="1668" w:type="dxa"/>
            <w:vMerge/>
            <w:tcBorders>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20d</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2C41F0" w:rsidP="002C41F0">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P.10 and Fig. S18</w:t>
            </w:r>
          </w:p>
        </w:tc>
      </w:tr>
      <w:tr w:rsidR="00D30B74" w:rsidRPr="00D30B74" w:rsidTr="00D113D0">
        <w:trPr>
          <w:trHeight w:val="48"/>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Reporting biases</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21</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Table S2</w:t>
            </w:r>
          </w:p>
        </w:tc>
      </w:tr>
      <w:tr w:rsidR="00D30B74" w:rsidRPr="00D30B74" w:rsidTr="00D113D0">
        <w:trPr>
          <w:trHeight w:val="48"/>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22</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E24ED"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w:t>
            </w:r>
          </w:p>
        </w:tc>
      </w:tr>
      <w:tr w:rsidR="00D30B74" w:rsidRPr="00D30B74" w:rsidTr="00D113D0">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D30B74" w:rsidRPr="00D30B74" w:rsidRDefault="00D30B74" w:rsidP="00D30B74">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D30B74">
              <w:rPr>
                <w:rFonts w:ascii="Arial" w:eastAsia="Times New Roman" w:hAnsi="Arial" w:cs="Arial"/>
                <w:b/>
                <w:bCs/>
                <w:color w:val="000000"/>
                <w:sz w:val="18"/>
                <w:szCs w:val="18"/>
                <w:lang w:val="en-CA" w:eastAsia="en-CA"/>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D30B74" w:rsidRPr="00D30B74" w:rsidRDefault="00D30B74" w:rsidP="00D30B74">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D30B74" w:rsidRPr="00D30B74" w:rsidTr="00D113D0">
        <w:trPr>
          <w:trHeight w:val="48"/>
        </w:trPr>
        <w:tc>
          <w:tcPr>
            <w:tcW w:w="1668" w:type="dxa"/>
            <w:vMerge w:val="restart"/>
            <w:tcBorders>
              <w:top w:val="single" w:sz="5" w:space="0" w:color="000000"/>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23a</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P.14-16</w:t>
            </w:r>
          </w:p>
        </w:tc>
      </w:tr>
      <w:tr w:rsidR="00D30B74" w:rsidRPr="00D30B74" w:rsidTr="00D113D0">
        <w:trPr>
          <w:trHeight w:val="48"/>
        </w:trPr>
        <w:tc>
          <w:tcPr>
            <w:tcW w:w="1668" w:type="dxa"/>
            <w:vMerge/>
            <w:tcBorders>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23b</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P.17</w:t>
            </w:r>
          </w:p>
        </w:tc>
      </w:tr>
      <w:tr w:rsidR="00D30B74" w:rsidRPr="00D30B74" w:rsidTr="00D113D0">
        <w:trPr>
          <w:trHeight w:val="48"/>
        </w:trPr>
        <w:tc>
          <w:tcPr>
            <w:tcW w:w="1668" w:type="dxa"/>
            <w:vMerge/>
            <w:tcBorders>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4" w:space="0" w:color="auto"/>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23c</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P.17</w:t>
            </w:r>
          </w:p>
        </w:tc>
      </w:tr>
      <w:tr w:rsidR="00D30B74" w:rsidRPr="00D30B74" w:rsidTr="00D113D0">
        <w:trPr>
          <w:trHeight w:val="48"/>
        </w:trPr>
        <w:tc>
          <w:tcPr>
            <w:tcW w:w="1668" w:type="dxa"/>
            <w:vMerge/>
            <w:tcBorders>
              <w:left w:val="single" w:sz="5" w:space="0" w:color="000000"/>
              <w:bottom w:val="single" w:sz="4" w:space="0" w:color="auto"/>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4" w:space="0" w:color="auto"/>
              <w:left w:val="single" w:sz="5" w:space="0" w:color="000000"/>
              <w:bottom w:val="single" w:sz="4" w:space="0" w:color="auto"/>
              <w:right w:val="single" w:sz="4" w:space="0" w:color="auto"/>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23d</w:t>
            </w:r>
          </w:p>
        </w:tc>
        <w:tc>
          <w:tcPr>
            <w:tcW w:w="11745" w:type="dxa"/>
            <w:tcBorders>
              <w:top w:val="single" w:sz="5" w:space="0" w:color="000000"/>
              <w:left w:val="single" w:sz="4" w:space="0" w:color="auto"/>
              <w:bottom w:val="doub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P.16</w:t>
            </w:r>
          </w:p>
        </w:tc>
      </w:tr>
      <w:tr w:rsidR="00D30B74" w:rsidRPr="00D30B74" w:rsidTr="00D113D0">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rsidR="00D30B74" w:rsidRPr="00D30B74" w:rsidRDefault="00D30B74" w:rsidP="00D30B74">
            <w:pPr>
              <w:widowControl w:val="0"/>
              <w:autoSpaceDE w:val="0"/>
              <w:autoSpaceDN w:val="0"/>
              <w:adjustRightInd w:val="0"/>
              <w:spacing w:after="0" w:line="240" w:lineRule="auto"/>
              <w:rPr>
                <w:rFonts w:ascii="Arial" w:eastAsia="Times New Roman" w:hAnsi="Arial" w:cs="Arial"/>
                <w:color w:val="000000"/>
                <w:sz w:val="18"/>
                <w:szCs w:val="18"/>
                <w:lang w:val="en-CA" w:eastAsia="en-CA"/>
              </w:rPr>
            </w:pPr>
            <w:r w:rsidRPr="00D30B74">
              <w:rPr>
                <w:rFonts w:ascii="Arial" w:eastAsia="Times New Roman" w:hAnsi="Arial" w:cs="Arial"/>
                <w:b/>
                <w:bCs/>
                <w:color w:val="000000"/>
                <w:sz w:val="18"/>
                <w:szCs w:val="18"/>
                <w:lang w:val="en-CA" w:eastAsia="en-CA"/>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rsidR="00D30B74" w:rsidRPr="00D30B74" w:rsidRDefault="00D30B74" w:rsidP="00D30B74">
            <w:pPr>
              <w:widowControl w:val="0"/>
              <w:autoSpaceDE w:val="0"/>
              <w:autoSpaceDN w:val="0"/>
              <w:adjustRightInd w:val="0"/>
              <w:spacing w:after="0" w:line="240" w:lineRule="auto"/>
              <w:jc w:val="center"/>
              <w:rPr>
                <w:rFonts w:ascii="Arial" w:eastAsia="Times New Roman" w:hAnsi="Arial" w:cs="Arial"/>
                <w:sz w:val="18"/>
                <w:szCs w:val="18"/>
                <w:lang w:val="en-CA" w:eastAsia="en-CA"/>
              </w:rPr>
            </w:pPr>
          </w:p>
        </w:tc>
      </w:tr>
      <w:tr w:rsidR="00D30B74" w:rsidRPr="00D30B74" w:rsidTr="00D113D0">
        <w:trPr>
          <w:trHeight w:val="48"/>
        </w:trPr>
        <w:tc>
          <w:tcPr>
            <w:tcW w:w="1668" w:type="dxa"/>
            <w:vMerge w:val="restart"/>
            <w:tcBorders>
              <w:top w:val="single" w:sz="5" w:space="0" w:color="000000"/>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24a</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265E59"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265E59">
              <w:rPr>
                <w:rFonts w:ascii="Arial" w:eastAsia="Times New Roman" w:hAnsi="Arial" w:cs="Arial"/>
                <w:sz w:val="18"/>
                <w:szCs w:val="18"/>
                <w:lang w:val="en-CA" w:eastAsia="en-CA"/>
              </w:rPr>
              <w:t>Not prepared</w:t>
            </w:r>
          </w:p>
        </w:tc>
      </w:tr>
      <w:tr w:rsidR="00D30B74" w:rsidRPr="00D30B74" w:rsidTr="00D113D0">
        <w:trPr>
          <w:trHeight w:val="57"/>
        </w:trPr>
        <w:tc>
          <w:tcPr>
            <w:tcW w:w="1668" w:type="dxa"/>
            <w:vMerge/>
            <w:tcBorders>
              <w:left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24b</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265E59"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265E59">
              <w:rPr>
                <w:rFonts w:ascii="Arial" w:eastAsia="Times New Roman" w:hAnsi="Arial" w:cs="Arial"/>
                <w:sz w:val="18"/>
                <w:szCs w:val="18"/>
                <w:lang w:val="en-CA" w:eastAsia="en-CA"/>
              </w:rPr>
              <w:t>Not prepared</w:t>
            </w:r>
          </w:p>
        </w:tc>
      </w:tr>
      <w:tr w:rsidR="00D30B74" w:rsidRPr="00D30B74" w:rsidTr="00D113D0">
        <w:trPr>
          <w:trHeight w:val="48"/>
        </w:trPr>
        <w:tc>
          <w:tcPr>
            <w:tcW w:w="1668" w:type="dxa"/>
            <w:vMerge/>
            <w:tcBorders>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24c</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E24ED"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Pr>
                <w:rFonts w:ascii="Arial" w:eastAsia="Times New Roman" w:hAnsi="Arial" w:cs="Arial"/>
                <w:sz w:val="18"/>
                <w:szCs w:val="18"/>
                <w:lang w:val="en-CA" w:eastAsia="en-CA"/>
              </w:rPr>
              <w:t>-</w:t>
            </w:r>
          </w:p>
        </w:tc>
      </w:tr>
      <w:tr w:rsidR="00D30B74" w:rsidRPr="00D30B74" w:rsidTr="00D113D0">
        <w:trPr>
          <w:trHeight w:val="48"/>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Support</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25</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P.17</w:t>
            </w:r>
          </w:p>
        </w:tc>
      </w:tr>
      <w:tr w:rsidR="00D30B74" w:rsidRPr="00D30B74" w:rsidTr="00D113D0">
        <w:trPr>
          <w:trHeight w:val="48"/>
        </w:trPr>
        <w:tc>
          <w:tcPr>
            <w:tcW w:w="1668"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Competing interests</w:t>
            </w:r>
          </w:p>
        </w:tc>
        <w:tc>
          <w:tcPr>
            <w:tcW w:w="587"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26</w:t>
            </w:r>
          </w:p>
        </w:tc>
        <w:tc>
          <w:tcPr>
            <w:tcW w:w="11745"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P.17</w:t>
            </w:r>
          </w:p>
        </w:tc>
      </w:tr>
      <w:tr w:rsidR="00D30B74" w:rsidRPr="00D30B74" w:rsidTr="00D113D0">
        <w:trPr>
          <w:trHeight w:val="219"/>
        </w:trPr>
        <w:tc>
          <w:tcPr>
            <w:tcW w:w="1668" w:type="dxa"/>
            <w:tcBorders>
              <w:top w:val="single" w:sz="5" w:space="0" w:color="000000"/>
              <w:left w:val="single" w:sz="5" w:space="0" w:color="000000"/>
              <w:bottom w:val="doub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lastRenderedPageBreak/>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jc w:val="right"/>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27</w:t>
            </w:r>
          </w:p>
        </w:tc>
        <w:tc>
          <w:tcPr>
            <w:tcW w:w="11745" w:type="dxa"/>
            <w:tcBorders>
              <w:top w:val="single" w:sz="5" w:space="0" w:color="000000"/>
              <w:left w:val="single" w:sz="5" w:space="0" w:color="000000"/>
              <w:bottom w:val="doub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color w:val="000000"/>
                <w:sz w:val="18"/>
                <w:szCs w:val="18"/>
                <w:lang w:val="en-CA" w:eastAsia="en-CA"/>
              </w:rPr>
            </w:pPr>
            <w:r w:rsidRPr="00D30B74">
              <w:rPr>
                <w:rFonts w:ascii="Arial" w:eastAsia="Times New Roman" w:hAnsi="Arial" w:cs="Arial"/>
                <w:color w:val="000000"/>
                <w:sz w:val="18"/>
                <w:szCs w:val="18"/>
                <w:lang w:val="en-CA" w:eastAsia="en-CA"/>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rsidR="00D30B74" w:rsidRPr="00D30B74" w:rsidRDefault="00D30B74" w:rsidP="00D30B74">
            <w:pPr>
              <w:widowControl w:val="0"/>
              <w:autoSpaceDE w:val="0"/>
              <w:autoSpaceDN w:val="0"/>
              <w:adjustRightInd w:val="0"/>
              <w:spacing w:before="40" w:after="40" w:line="240" w:lineRule="auto"/>
              <w:rPr>
                <w:rFonts w:ascii="Arial" w:eastAsia="Times New Roman" w:hAnsi="Arial" w:cs="Arial"/>
                <w:sz w:val="18"/>
                <w:szCs w:val="18"/>
                <w:lang w:val="en-CA" w:eastAsia="en-CA"/>
              </w:rPr>
            </w:pPr>
            <w:r w:rsidRPr="00D30B74">
              <w:rPr>
                <w:rFonts w:ascii="Arial" w:eastAsia="Times New Roman" w:hAnsi="Arial" w:cs="Arial"/>
                <w:sz w:val="18"/>
                <w:szCs w:val="18"/>
                <w:lang w:val="en-CA" w:eastAsia="en-CA"/>
              </w:rPr>
              <w:t>P.17</w:t>
            </w:r>
          </w:p>
        </w:tc>
      </w:tr>
    </w:tbl>
    <w:p w:rsidR="00D30B74" w:rsidRPr="00D30B74" w:rsidRDefault="00D30B74" w:rsidP="00D30B74">
      <w:pPr>
        <w:widowControl w:val="0"/>
        <w:autoSpaceDE w:val="0"/>
        <w:autoSpaceDN w:val="0"/>
        <w:adjustRightInd w:val="0"/>
        <w:spacing w:after="0" w:line="240" w:lineRule="auto"/>
        <w:rPr>
          <w:rFonts w:ascii="Arial" w:eastAsia="Times New Roman" w:hAnsi="Arial" w:cs="Arial"/>
          <w:sz w:val="24"/>
          <w:szCs w:val="24"/>
          <w:lang w:val="en-CA" w:eastAsia="en-CA"/>
        </w:rPr>
      </w:pPr>
    </w:p>
    <w:p w:rsidR="00FE6B49" w:rsidRPr="001D32E7" w:rsidRDefault="001D32E7" w:rsidP="001D32E7">
      <w:r w:rsidRPr="001D32E7">
        <w:rPr>
          <w:lang w:val="en-CA"/>
        </w:rPr>
        <w:t xml:space="preserve">Abbreviations: </w:t>
      </w:r>
      <w:r>
        <w:rPr>
          <w:lang w:val="en-CA"/>
        </w:rPr>
        <w:t>p</w:t>
      </w:r>
      <w:r w:rsidR="0088016F">
        <w:rPr>
          <w:lang w:val="en-CA"/>
        </w:rPr>
        <w:t>:</w:t>
      </w:r>
      <w:r w:rsidR="0088016F" w:rsidRPr="001D32E7">
        <w:rPr>
          <w:lang w:val="en-CA"/>
        </w:rPr>
        <w:t xml:space="preserve"> page</w:t>
      </w:r>
      <w:r w:rsidRPr="001D32E7">
        <w:rPr>
          <w:lang w:val="en-CA"/>
        </w:rPr>
        <w:t>.</w:t>
      </w:r>
    </w:p>
    <w:p w:rsidR="00FE6B49" w:rsidRDefault="00FE6B49" w:rsidP="00FE6B49">
      <w:pPr>
        <w:rPr>
          <w:sz w:val="16"/>
          <w:szCs w:val="16"/>
        </w:rPr>
      </w:pPr>
    </w:p>
    <w:tbl>
      <w:tblPr>
        <w:tblStyle w:val="PlainTable1"/>
        <w:tblpPr w:leftFromText="180" w:rightFromText="180" w:vertAnchor="text" w:horzAnchor="margin" w:tblpXSpec="center" w:tblpY="-719"/>
        <w:tblW w:w="15738" w:type="dxa"/>
        <w:tblLook w:val="04A0" w:firstRow="1" w:lastRow="0" w:firstColumn="1" w:lastColumn="0" w:noHBand="0" w:noVBand="1"/>
      </w:tblPr>
      <w:tblGrid>
        <w:gridCol w:w="1507"/>
        <w:gridCol w:w="1188"/>
        <w:gridCol w:w="1103"/>
        <w:gridCol w:w="736"/>
        <w:gridCol w:w="1206"/>
        <w:gridCol w:w="784"/>
        <w:gridCol w:w="852"/>
        <w:gridCol w:w="699"/>
        <w:gridCol w:w="648"/>
        <w:gridCol w:w="958"/>
        <w:gridCol w:w="985"/>
        <w:gridCol w:w="849"/>
        <w:gridCol w:w="651"/>
        <w:gridCol w:w="705"/>
        <w:gridCol w:w="738"/>
        <w:gridCol w:w="1209"/>
        <w:gridCol w:w="920"/>
      </w:tblGrid>
      <w:tr w:rsidR="00FE6B49" w:rsidRPr="00376C61" w:rsidTr="00D113D0">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5738" w:type="dxa"/>
            <w:gridSpan w:val="17"/>
            <w:noWrap/>
            <w:vAlign w:val="bottom"/>
          </w:tcPr>
          <w:p w:rsidR="00FE6B49" w:rsidRPr="00376C61" w:rsidRDefault="001F51A2" w:rsidP="00D113D0">
            <w:pPr>
              <w:rPr>
                <w:sz w:val="16"/>
                <w:szCs w:val="16"/>
              </w:rPr>
            </w:pPr>
            <w:r>
              <w:rPr>
                <w:sz w:val="28"/>
                <w:szCs w:val="28"/>
              </w:rPr>
              <w:lastRenderedPageBreak/>
              <w:t xml:space="preserve">Table S1 </w:t>
            </w:r>
            <w:r w:rsidR="00FE6B49" w:rsidRPr="009219AA">
              <w:rPr>
                <w:sz w:val="28"/>
                <w:szCs w:val="28"/>
              </w:rPr>
              <w:t>Characte</w:t>
            </w:r>
            <w:r w:rsidR="00FE6B49">
              <w:rPr>
                <w:sz w:val="28"/>
                <w:szCs w:val="28"/>
              </w:rPr>
              <w:t>ristics of the included studies</w:t>
            </w:r>
          </w:p>
        </w:tc>
      </w:tr>
      <w:tr w:rsidR="00FE6B49" w:rsidRPr="00376C61" w:rsidTr="00D113D0">
        <w:trPr>
          <w:cnfStyle w:val="000000100000" w:firstRow="0" w:lastRow="0" w:firstColumn="0" w:lastColumn="0" w:oddVBand="0" w:evenVBand="0" w:oddHBand="1"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jc w:val="center"/>
              <w:rPr>
                <w:b w:val="0"/>
                <w:bCs w:val="0"/>
                <w:sz w:val="16"/>
                <w:szCs w:val="16"/>
              </w:rPr>
            </w:pPr>
          </w:p>
        </w:tc>
        <w:tc>
          <w:tcPr>
            <w:tcW w:w="118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b/>
                <w:bCs/>
                <w:sz w:val="16"/>
                <w:szCs w:val="16"/>
              </w:rPr>
            </w:pPr>
          </w:p>
        </w:tc>
        <w:tc>
          <w:tcPr>
            <w:tcW w:w="1103"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b/>
                <w:bCs/>
                <w:sz w:val="16"/>
                <w:szCs w:val="16"/>
              </w:rPr>
            </w:pPr>
          </w:p>
        </w:tc>
        <w:tc>
          <w:tcPr>
            <w:tcW w:w="73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b/>
                <w:bCs/>
                <w:sz w:val="16"/>
                <w:szCs w:val="16"/>
              </w:rPr>
            </w:pPr>
          </w:p>
        </w:tc>
        <w:tc>
          <w:tcPr>
            <w:tcW w:w="120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b/>
                <w:bCs/>
                <w:sz w:val="16"/>
                <w:szCs w:val="16"/>
              </w:rPr>
            </w:pPr>
          </w:p>
        </w:tc>
        <w:tc>
          <w:tcPr>
            <w:tcW w:w="784"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b/>
                <w:bCs/>
                <w:sz w:val="16"/>
                <w:szCs w:val="16"/>
              </w:rPr>
            </w:pPr>
          </w:p>
        </w:tc>
        <w:tc>
          <w:tcPr>
            <w:tcW w:w="852"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b/>
                <w:bCs/>
                <w:sz w:val="16"/>
                <w:szCs w:val="16"/>
              </w:rPr>
            </w:pPr>
          </w:p>
        </w:tc>
        <w:tc>
          <w:tcPr>
            <w:tcW w:w="1347" w:type="dxa"/>
            <w:gridSpan w:val="2"/>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Genes among VRE</w:t>
            </w:r>
          </w:p>
        </w:tc>
        <w:tc>
          <w:tcPr>
            <w:tcW w:w="2792" w:type="dxa"/>
            <w:gridSpan w:val="3"/>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species</w:t>
            </w:r>
          </w:p>
        </w:tc>
        <w:tc>
          <w:tcPr>
            <w:tcW w:w="3303" w:type="dxa"/>
            <w:gridSpan w:val="4"/>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specimen</w:t>
            </w:r>
          </w:p>
        </w:tc>
        <w:tc>
          <w:tcPr>
            <w:tcW w:w="920" w:type="dxa"/>
            <w:vAlign w:val="bottom"/>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p>
        </w:tc>
      </w:tr>
      <w:tr w:rsidR="00FE6B49" w:rsidRPr="00376C61" w:rsidTr="00D113D0">
        <w:trPr>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jc w:val="center"/>
              <w:rPr>
                <w:sz w:val="16"/>
                <w:szCs w:val="16"/>
              </w:rPr>
            </w:pPr>
            <w:r w:rsidRPr="00376C61">
              <w:rPr>
                <w:sz w:val="16"/>
                <w:szCs w:val="16"/>
              </w:rPr>
              <w:t>First</w:t>
            </w:r>
            <w:r w:rsidRPr="00376C61">
              <w:rPr>
                <w:sz w:val="16"/>
                <w:szCs w:val="16"/>
              </w:rPr>
              <w:br/>
              <w:t>author</w:t>
            </w:r>
            <w:r w:rsidRPr="00376C61">
              <w:rPr>
                <w:sz w:val="16"/>
                <w:szCs w:val="16"/>
              </w:rPr>
              <w:br/>
              <w:t>and</w:t>
            </w:r>
            <w:r w:rsidRPr="00376C61">
              <w:rPr>
                <w:sz w:val="16"/>
                <w:szCs w:val="16"/>
              </w:rPr>
              <w:br/>
              <w:t>publication year</w:t>
            </w:r>
          </w:p>
        </w:tc>
        <w:tc>
          <w:tcPr>
            <w:tcW w:w="118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376C61">
              <w:rPr>
                <w:b/>
                <w:bCs/>
                <w:sz w:val="16"/>
                <w:szCs w:val="16"/>
              </w:rPr>
              <w:t>Government</w:t>
            </w:r>
            <w:r w:rsidRPr="00376C61">
              <w:rPr>
                <w:b/>
                <w:bCs/>
                <w:sz w:val="16"/>
                <w:szCs w:val="16"/>
              </w:rPr>
              <w:br/>
              <w:t>/city</w:t>
            </w:r>
          </w:p>
        </w:tc>
        <w:tc>
          <w:tcPr>
            <w:tcW w:w="1103"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376C61">
              <w:rPr>
                <w:b/>
                <w:bCs/>
                <w:sz w:val="16"/>
                <w:szCs w:val="16"/>
              </w:rPr>
              <w:t>Total enterococci</w:t>
            </w:r>
          </w:p>
        </w:tc>
        <w:tc>
          <w:tcPr>
            <w:tcW w:w="73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376C61">
              <w:rPr>
                <w:b/>
                <w:bCs/>
                <w:sz w:val="16"/>
                <w:szCs w:val="16"/>
              </w:rPr>
              <w:t>Total of VRE</w:t>
            </w:r>
          </w:p>
        </w:tc>
        <w:tc>
          <w:tcPr>
            <w:tcW w:w="120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376C61">
              <w:rPr>
                <w:b/>
                <w:bCs/>
                <w:sz w:val="16"/>
                <w:szCs w:val="16"/>
              </w:rPr>
              <w:t>method</w:t>
            </w:r>
          </w:p>
        </w:tc>
        <w:tc>
          <w:tcPr>
            <w:tcW w:w="784"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376C61">
              <w:rPr>
                <w:b/>
                <w:bCs/>
                <w:sz w:val="16"/>
                <w:szCs w:val="16"/>
              </w:rPr>
              <w:t>VRE faecalis</w:t>
            </w:r>
          </w:p>
        </w:tc>
        <w:tc>
          <w:tcPr>
            <w:tcW w:w="852"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376C61">
              <w:rPr>
                <w:b/>
                <w:bCs/>
                <w:sz w:val="16"/>
                <w:szCs w:val="16"/>
              </w:rPr>
              <w:t>VRE faecium</w:t>
            </w:r>
          </w:p>
        </w:tc>
        <w:tc>
          <w:tcPr>
            <w:tcW w:w="69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376C61">
              <w:rPr>
                <w:b/>
                <w:bCs/>
                <w:sz w:val="16"/>
                <w:szCs w:val="16"/>
              </w:rPr>
              <w:t>VanA</w:t>
            </w:r>
          </w:p>
        </w:tc>
        <w:tc>
          <w:tcPr>
            <w:tcW w:w="64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376C61">
              <w:rPr>
                <w:b/>
                <w:bCs/>
                <w:sz w:val="16"/>
                <w:szCs w:val="16"/>
              </w:rPr>
              <w:t>VanB</w:t>
            </w:r>
          </w:p>
        </w:tc>
        <w:tc>
          <w:tcPr>
            <w:tcW w:w="95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i/>
                <w:iCs/>
                <w:sz w:val="16"/>
                <w:szCs w:val="16"/>
              </w:rPr>
            </w:pPr>
            <w:r w:rsidRPr="00376C61">
              <w:rPr>
                <w:b/>
                <w:bCs/>
                <w:i/>
                <w:iCs/>
                <w:sz w:val="16"/>
                <w:szCs w:val="16"/>
              </w:rPr>
              <w:t>E. faecalis</w:t>
            </w:r>
          </w:p>
        </w:tc>
        <w:tc>
          <w:tcPr>
            <w:tcW w:w="98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i/>
                <w:iCs/>
                <w:sz w:val="16"/>
                <w:szCs w:val="16"/>
              </w:rPr>
            </w:pPr>
            <w:r w:rsidRPr="00376C61">
              <w:rPr>
                <w:b/>
                <w:bCs/>
                <w:i/>
                <w:iCs/>
                <w:sz w:val="16"/>
                <w:szCs w:val="16"/>
              </w:rPr>
              <w:t>E. faecium</w:t>
            </w:r>
          </w:p>
        </w:tc>
        <w:tc>
          <w:tcPr>
            <w:tcW w:w="84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376C61">
              <w:rPr>
                <w:b/>
                <w:bCs/>
                <w:sz w:val="16"/>
                <w:szCs w:val="16"/>
              </w:rPr>
              <w:t>Other</w:t>
            </w:r>
            <w:r w:rsidRPr="00376C61">
              <w:rPr>
                <w:b/>
                <w:bCs/>
                <w:sz w:val="16"/>
                <w:szCs w:val="16"/>
              </w:rPr>
              <w:br/>
              <w:t>species</w:t>
            </w:r>
          </w:p>
        </w:tc>
        <w:tc>
          <w:tcPr>
            <w:tcW w:w="651"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376C61">
              <w:rPr>
                <w:b/>
                <w:bCs/>
                <w:sz w:val="16"/>
                <w:szCs w:val="16"/>
              </w:rPr>
              <w:t>urine</w:t>
            </w:r>
          </w:p>
        </w:tc>
        <w:tc>
          <w:tcPr>
            <w:tcW w:w="70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376C61">
              <w:rPr>
                <w:b/>
                <w:bCs/>
                <w:sz w:val="16"/>
                <w:szCs w:val="16"/>
              </w:rPr>
              <w:t>blood</w:t>
            </w:r>
          </w:p>
        </w:tc>
        <w:tc>
          <w:tcPr>
            <w:tcW w:w="73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376C61">
              <w:rPr>
                <w:b/>
                <w:bCs/>
                <w:sz w:val="16"/>
                <w:szCs w:val="16"/>
              </w:rPr>
              <w:t>wound</w:t>
            </w:r>
          </w:p>
        </w:tc>
        <w:tc>
          <w:tcPr>
            <w:tcW w:w="120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sz w:val="16"/>
                <w:szCs w:val="16"/>
              </w:rPr>
            </w:pPr>
            <w:r w:rsidRPr="00376C61">
              <w:rPr>
                <w:b/>
                <w:bCs/>
                <w:sz w:val="16"/>
                <w:szCs w:val="16"/>
              </w:rPr>
              <w:t>Other</w:t>
            </w:r>
            <w:r w:rsidRPr="00376C61">
              <w:rPr>
                <w:b/>
                <w:bCs/>
                <w:sz w:val="16"/>
                <w:szCs w:val="16"/>
              </w:rPr>
              <w:br/>
              <w:t>sources</w:t>
            </w:r>
          </w:p>
        </w:tc>
        <w:tc>
          <w:tcPr>
            <w:tcW w:w="920" w:type="dxa"/>
            <w:vAlign w:val="bottom"/>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references</w:t>
            </w:r>
          </w:p>
        </w:tc>
      </w:tr>
      <w:tr w:rsidR="00FE6B49" w:rsidRPr="00376C61"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El-Kazzaz(2020)</w:t>
            </w:r>
          </w:p>
        </w:tc>
        <w:tc>
          <w:tcPr>
            <w:tcW w:w="118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Mansoura</w:t>
            </w:r>
          </w:p>
        </w:tc>
        <w:tc>
          <w:tcPr>
            <w:tcW w:w="1103"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80</w:t>
            </w:r>
          </w:p>
        </w:tc>
        <w:tc>
          <w:tcPr>
            <w:tcW w:w="73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23</w:t>
            </w:r>
          </w:p>
        </w:tc>
        <w:tc>
          <w:tcPr>
            <w:tcW w:w="120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E-test</w:t>
            </w:r>
          </w:p>
        </w:tc>
        <w:tc>
          <w:tcPr>
            <w:tcW w:w="784"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6</w:t>
            </w:r>
          </w:p>
        </w:tc>
        <w:tc>
          <w:tcPr>
            <w:tcW w:w="852"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17</w:t>
            </w:r>
          </w:p>
        </w:tc>
        <w:tc>
          <w:tcPr>
            <w:tcW w:w="69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4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95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45</w:t>
            </w:r>
          </w:p>
        </w:tc>
        <w:tc>
          <w:tcPr>
            <w:tcW w:w="98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31</w:t>
            </w:r>
          </w:p>
        </w:tc>
        <w:tc>
          <w:tcPr>
            <w:tcW w:w="84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4</w:t>
            </w:r>
          </w:p>
        </w:tc>
        <w:tc>
          <w:tcPr>
            <w:tcW w:w="651"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38</w:t>
            </w:r>
          </w:p>
        </w:tc>
        <w:tc>
          <w:tcPr>
            <w:tcW w:w="70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28</w:t>
            </w:r>
          </w:p>
        </w:tc>
        <w:tc>
          <w:tcPr>
            <w:tcW w:w="73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14</w:t>
            </w:r>
          </w:p>
        </w:tc>
        <w:tc>
          <w:tcPr>
            <w:tcW w:w="120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0</w:t>
            </w:r>
          </w:p>
        </w:tc>
        <w:tc>
          <w:tcPr>
            <w:tcW w:w="920" w:type="dxa"/>
            <w:vAlign w:val="bottom"/>
          </w:tcPr>
          <w:p w:rsidR="00FE6B49" w:rsidRPr="00376C61" w:rsidRDefault="00FE6B49" w:rsidP="00A453E9">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{"citationItems":[{"id":"ITEM-1","itemData":{"DOI":"10.1016/j.jgar.2020.02.031","ISSN":"22137173","PMID":"32169681","abstract":"Objectives: Antibiotic resistance is a serious issue facing clinicians all over the world. Vancomycin-resistant enterococci (VRE) are amongst the most common resistant pathogens that are isolated from patients suffering from infections in our locality. New antimicrobial agents such as the lantibiotic nisin have been previously examined against resistant bacteria as it has strong antibacterial action with no chance of resistance development. This study aimed to explore the effect of nisin in combination with the conventional antibiotics against VRE, with a view to using it as an auxiliary therapy with such antibiotics for combating resistant isolates. Methods: Twenty-three VRE had been examined for the combined effect of nisin with the routine sets of antibiotics using the microplate dilution technique for minimum inhibitory concentration (MIC) and minimum bactericidal concentration (MBC) testing. Checkerboard microbroth assay was conducted for inspection of synergism between nisin and either ampicillin or chloramphenicol. Results: An obvious improvement of inhibitory and bactericidal activities of the tested antibiotics after addition of lantibiotic nisin was observed, with a remarkable reduction in the MIC values of vancomycin against all of the isolates. Nisin recorded a synergistic outcome when combined with either ampicillin or chloramphenicol using the checkerboard assay. Conclusion: Nisin could be effectively considered as a supplementary agent to traditional antibiotics in the management of VRE-associated infections, as it had a synergistic outcome with commonly prescribed antibiotics such as ampicillin and chloramphenicol.","author":[{"dropping-particle":"","family":"El-Kazzaz","given":"Samah Sabry","non-dropping-particle":"","parse-names":false,"suffix":""},{"dropping-particle":"","family":"Abou El-Khier","given":"Noha Tharwat","non-dropping-particle":"","parse-names":false,"suffix":""}],"container-title":"Journal of Global Antimicrobial Resistance","id":"ITEM-1","issued":{"date-parts":[["2020","9"]]},"page":"263-269","publisher":"Elsevier","title":"Effect of the lantibiotic nisin on inhibitory and bactericidal activities of antibiotics used against vancomycin-resistant enterococci","type":"article-journal","volume":"22"},"uris":["http://www.mendeley.com/documents/?uuid=88347b7b-5658-4268-951d-2d38b68cca9d"]}],"mendeley":{"formattedCitation":"&lt;sup&gt;1&lt;/sup&gt;","plainTextFormattedCitation":"1","previouslyFormattedCitation":"[1]"},"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1</w:t>
            </w:r>
            <w:r>
              <w:rPr>
                <w:sz w:val="16"/>
                <w:szCs w:val="16"/>
              </w:rPr>
              <w:fldChar w:fldCharType="end"/>
            </w:r>
          </w:p>
        </w:tc>
      </w:tr>
      <w:tr w:rsidR="00FE6B49" w:rsidRPr="00376C61" w:rsidTr="00D113D0">
        <w:trPr>
          <w:trHeight w:val="37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Khairy(2019)</w:t>
            </w:r>
          </w:p>
        </w:tc>
        <w:tc>
          <w:tcPr>
            <w:tcW w:w="118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Minia</w:t>
            </w:r>
          </w:p>
        </w:tc>
        <w:tc>
          <w:tcPr>
            <w:tcW w:w="1103"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40</w:t>
            </w:r>
          </w:p>
        </w:tc>
        <w:tc>
          <w:tcPr>
            <w:tcW w:w="73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40</w:t>
            </w:r>
          </w:p>
        </w:tc>
        <w:tc>
          <w:tcPr>
            <w:tcW w:w="120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disc diffusion method</w:t>
            </w:r>
          </w:p>
        </w:tc>
        <w:tc>
          <w:tcPr>
            <w:tcW w:w="784"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13</w:t>
            </w:r>
          </w:p>
        </w:tc>
        <w:tc>
          <w:tcPr>
            <w:tcW w:w="852"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19</w:t>
            </w:r>
          </w:p>
        </w:tc>
        <w:tc>
          <w:tcPr>
            <w:tcW w:w="69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32</w:t>
            </w:r>
          </w:p>
        </w:tc>
        <w:tc>
          <w:tcPr>
            <w:tcW w:w="64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w:t>
            </w:r>
          </w:p>
        </w:tc>
        <w:tc>
          <w:tcPr>
            <w:tcW w:w="95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13</w:t>
            </w:r>
          </w:p>
        </w:tc>
        <w:tc>
          <w:tcPr>
            <w:tcW w:w="98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19</w:t>
            </w:r>
          </w:p>
        </w:tc>
        <w:tc>
          <w:tcPr>
            <w:tcW w:w="84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8</w:t>
            </w:r>
          </w:p>
        </w:tc>
        <w:tc>
          <w:tcPr>
            <w:tcW w:w="651"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70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5</w:t>
            </w:r>
          </w:p>
        </w:tc>
        <w:tc>
          <w:tcPr>
            <w:tcW w:w="73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35</w:t>
            </w:r>
          </w:p>
        </w:tc>
        <w:tc>
          <w:tcPr>
            <w:tcW w:w="120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20" w:type="dxa"/>
            <w:vAlign w:val="bottom"/>
          </w:tcPr>
          <w:p w:rsidR="00FE6B49" w:rsidRPr="00376C61" w:rsidRDefault="00FE6B49" w:rsidP="00A453E9">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{"citationItems":[{"id":"ITEM-1","itemData":{"DOI":"10.3855/jidc.10472","ISSN":"19722680","PMID":"32074094","abstract":"INTRODUCTION: Enterococci have emerged in last two decades as serious hospital acquired pathogens particularly vancomycin resistant strains (VRE). The study aimed to identify the prevalence of enterococcal isolation from hospital infections and colonization as well as determine vancomycin resistance phenotypes and genotypes. METHODS: Sixty enterococcus isolates were isolated from patients, health care workers and hospital environment, identified and tested for antimicrobial susceptibility. Enterococcus species were identified by Real-time PCR and vancomycin resistance was assessed by agar dilution method and Real-time PCR. RESULTS: out of 300 samples (20%) were enterococci (53.3% were E. faecium, 31.7% E. faecalis and 10% other enterococci). Among of them 40/60 (66, 6%) were isolated from infections and 33.3% were isolated from colonization. multiple drug resistance was reported in (100%) of isolates, while (95%) and (45%) of isolates were resistant to vancomycin and ticoplanin respectively. VanA phenotype, vanA genotype was identified in (47.4%) of isolates, while vanB phenotype, vanA genotype was identified in (33.3%) of vancomycin resistant isolates. CONCLUSION: VanB phenotype-vanA genotype was identified in (33.3%) of vancomycin resistant enterococcal isolates. To our knowledge it is the first identified incidence of such strains in Egypt and Africa.","author":[{"dropping-particle":"","family":"Khairy","given":"Rasha Mm","non-dropping-particle":"","parse-names":false,"suffix":""},{"dropping-particle":"","family":"Mahmoud","given":"Mahmoud Shokry","non-dropping-particle":"","parse-names":false,"suffix":""},{"dropping-particle":"","family":"Esmail","given":"Mona Abdel Monem","non-dropping-particle":"","parse-names":false,"suffix":""},{"dropping-particle":"","family":"Gamil","given":"Aya Nabil","non-dropping-particle":"","parse-names":false,"suffix":""}],"container-title":"Journal of infection in developing countries","id":"ITEM-1","issue":"9","issued":{"date-parts":[["2019","9"]]},"page":"837-842","publisher":"NLM (Medline)","title":"First detection of vanB phenotype-vanA genotype vancomycin-resistant enterococci in Egypt","type":"article-journal","volume":"13"},"uris":["http://www.mendeley.com/documents/?uuid=6c0c8c8f-d64a-49f1-96f8-6d419b80dd1e"]}],"mendeley":{"formattedCitation":"&lt;sup&gt;2&lt;/sup&gt;","plainTextFormattedCitation":"2","previouslyFormattedCitation":"[2]"},"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2</w:t>
            </w:r>
            <w:r>
              <w:rPr>
                <w:sz w:val="16"/>
                <w:szCs w:val="16"/>
              </w:rPr>
              <w:fldChar w:fldCharType="end"/>
            </w:r>
          </w:p>
        </w:tc>
      </w:tr>
      <w:tr w:rsidR="00FE6B49" w:rsidRPr="00376C61" w:rsidTr="00D113D0">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Said(2019)</w:t>
            </w:r>
          </w:p>
        </w:tc>
        <w:tc>
          <w:tcPr>
            <w:tcW w:w="118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Mansoura</w:t>
            </w:r>
          </w:p>
        </w:tc>
        <w:tc>
          <w:tcPr>
            <w:tcW w:w="1103"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103</w:t>
            </w:r>
          </w:p>
        </w:tc>
        <w:tc>
          <w:tcPr>
            <w:tcW w:w="73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7</w:t>
            </w:r>
          </w:p>
        </w:tc>
        <w:tc>
          <w:tcPr>
            <w:tcW w:w="120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 xml:space="preserve">broth </w:t>
            </w:r>
            <w:r w:rsidRPr="00376C61">
              <w:rPr>
                <w:sz w:val="16"/>
                <w:szCs w:val="16"/>
              </w:rPr>
              <w:br/>
              <w:t>microdilution method</w:t>
            </w:r>
          </w:p>
        </w:tc>
        <w:tc>
          <w:tcPr>
            <w:tcW w:w="784"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852"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9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0</w:t>
            </w:r>
          </w:p>
        </w:tc>
        <w:tc>
          <w:tcPr>
            <w:tcW w:w="64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w:t>
            </w:r>
          </w:p>
        </w:tc>
        <w:tc>
          <w:tcPr>
            <w:tcW w:w="95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71</w:t>
            </w:r>
          </w:p>
        </w:tc>
        <w:tc>
          <w:tcPr>
            <w:tcW w:w="98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32</w:t>
            </w:r>
          </w:p>
        </w:tc>
        <w:tc>
          <w:tcPr>
            <w:tcW w:w="84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51"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56</w:t>
            </w:r>
          </w:p>
        </w:tc>
        <w:tc>
          <w:tcPr>
            <w:tcW w:w="70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36</w:t>
            </w:r>
          </w:p>
        </w:tc>
        <w:tc>
          <w:tcPr>
            <w:tcW w:w="73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11</w:t>
            </w:r>
          </w:p>
        </w:tc>
        <w:tc>
          <w:tcPr>
            <w:tcW w:w="120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920" w:type="dxa"/>
            <w:vAlign w:val="bottom"/>
          </w:tcPr>
          <w:p w:rsidR="00FE6B49" w:rsidRPr="00376C61" w:rsidRDefault="00FE6B49" w:rsidP="00A453E9">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{"citationItems":[{"id":"ITEM-1","itemData":{"DOI":"10.2147/IDR.S189341","ISSN":"11786973","PMID":"31118713","abstract":"Introduction: Enterococci commonly inhabit the gastrointestinal tract of both human and animals; however, they have emerged as a leading cause of several infections with substantial morbidity and mortality. Their ability to acquire resistance combined with intrinsic resistance to various antimicrobials makes treatment of enterococcal infections challenging. Materials and methods: The aim of the study was to evaluate the antimicrobial resistance pattern, and assess the prevalence of multidrug resistance (MDR) and extensive drug resistance (XDR) among enterococcal isolates, collected from different clinical sources, in Mansoura University Hospitals, Egypt. Results: Antibiotic sensitivity testing revealed elevated levels of resistance among enterococcal clinical isolates (N=103). All E. faecium (N=32) and 74.6% of E. faecalis isolates (N=71) were MDR, while two E. faecalis and four E. faecium isolates were XDR. High level gentamicin resistance was detected in 79.6%, most of them carried the aac(6’)-Ie-aph(2’’)-Ia gene. High level streptomycin resistance was seen in 36.9%, of which 52.6% carried the ant(6’)-Ia gene. Resistance to macrolides and lincosamides were mediated by ermB (92.2%) and msrA/B (42.7%). tetK, tetL, and tetM genes were detected among tetracyclines resistant isolates. Resistance to vancomycin was detected in 15.5%, where vanB and vanC1 gene clusters were detected in VRE isolates. Ten isolates (9.7%) were resistant to linezolid, eight of which harbored the optrA gene. Vancomycin and linezolid resistant enterococci were more likely to exhibit strong/moderate biofilm formation than vancomycin and linezolid sensitive ones. Conclusion: Elevated levels of resistance to different classes of antimicrobial agents and emergence of MDR and XDR strains pose a major threat with limited therapeutic options for infections caused by this emerging pathogen.","author":[{"dropping-particle":"","family":"Said","given":"Heba Shehta","non-dropping-particle":"","parse-names":false,"suffix":""},{"dropping-particle":"","family":"Abdelmegeed","given":"Eman Salama","non-dropping-particle":"","parse-names":false,"suffix":""}],"container-title":"Infection and Drug Resistance","id":"ITEM-1","issued":{"date-parts":[["2019"]]},"page":"1113-1125","publisher":"Dove Press","title":"Emergence of multidrug resistance and extensive drug resistance among enterococcal clinical isolates in Egypt","type":"article-journal","volume":"12"},"uris":["http://www.mendeley.com/documents/?uuid=840c8fed-6033-4716-a79a-51b938b573d3"]}],"mendeley":{"formattedCitation":"&lt;sup&gt;3&lt;/sup&gt;","plainTextFormattedCitation":"3","previouslyFormattedCitation":"[3]"},"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3</w:t>
            </w:r>
            <w:r>
              <w:rPr>
                <w:sz w:val="16"/>
                <w:szCs w:val="16"/>
              </w:rPr>
              <w:fldChar w:fldCharType="end"/>
            </w:r>
          </w:p>
        </w:tc>
      </w:tr>
      <w:tr w:rsidR="00FE6B49" w:rsidRPr="00376C61" w:rsidTr="00D113D0">
        <w:trPr>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El-Mahdy(2018)</w:t>
            </w:r>
          </w:p>
        </w:tc>
        <w:tc>
          <w:tcPr>
            <w:tcW w:w="118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Mansoura</w:t>
            </w:r>
          </w:p>
        </w:tc>
        <w:tc>
          <w:tcPr>
            <w:tcW w:w="1103"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80</w:t>
            </w:r>
          </w:p>
        </w:tc>
        <w:tc>
          <w:tcPr>
            <w:tcW w:w="73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0</w:t>
            </w:r>
          </w:p>
        </w:tc>
        <w:tc>
          <w:tcPr>
            <w:tcW w:w="120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disc diffusion</w:t>
            </w:r>
          </w:p>
        </w:tc>
        <w:tc>
          <w:tcPr>
            <w:tcW w:w="784"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852"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9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4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5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73</w:t>
            </w:r>
          </w:p>
        </w:tc>
        <w:tc>
          <w:tcPr>
            <w:tcW w:w="98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7</w:t>
            </w:r>
          </w:p>
        </w:tc>
        <w:tc>
          <w:tcPr>
            <w:tcW w:w="84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51"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80</w:t>
            </w:r>
          </w:p>
        </w:tc>
        <w:tc>
          <w:tcPr>
            <w:tcW w:w="70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73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20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20" w:type="dxa"/>
            <w:vAlign w:val="bottom"/>
          </w:tcPr>
          <w:p w:rsidR="00FE6B49" w:rsidRPr="00376C61" w:rsidRDefault="00FE6B49" w:rsidP="00A453E9">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{"citationItems":[{"id":"ITEM-1","itemData":{"DOI":"10.18683/germs.2018.1145","ISSN":"22482997","PMID":"30775337","abstract":"Introduction Resistance to different antimicrobial agents is increasing in enterococci and effective treatment represents a major health concern. The aim of this study was to determine the antimicrobial resistance patterns and the frequency of high level aminoglycoside resistance (HLAR) among enterococci. Methods A total of 80 enterococcal isolates, (73 Enterococcus faecalis, 7 Enterococcus faecium) were collected from patients with hospital acquired urinary tract infections (UTI) at Mansoura University hospitals in Egypt. Antimicrobial susceptibility testing was performed via the disc diffusion method. PCR was used for identification of species and detection of aminoglycoside-modifying enzymes genes (AME). Results All enterococcal isolates were sensitive to vancomycin and linezolid. Fifty-three isolates exhibited HLAR. Our results show that HLAR was mediated by the presence of multiple AMEs genes. The aac(6')-Ie-aph(2')-Ia gene was associated with aph(3')-IIIa and ant(6)-Ia gene in 69% of HLAR isolates. Conclusion This study showed that enterococci isolated from hospital acquired UTI were resistant to multiple antibiotics. Furthermore, the frequency of high level gentamicin resistance (HLGR) was higher than high level of streptomycin resistance (HLSR). The most common AME genes were aph(3')-IIIa and ant(6)-Ia followed by aac(6')-Ie-aph(2')-Ia.","author":[{"dropping-particle":"","family":"El-Mahdy","given":"Rasha","non-dropping-particle":"","parse-names":false,"suffix":""},{"dropping-particle":"","family":"Mostafa","given":"Ahmed","non-dropping-particle":"","parse-names":false,"suffix":""},{"dropping-particle":"","family":"El-Kannishy","given":"Ghada","non-dropping-particle":"","parse-names":false,"suffix":""}],"container-title":"Germs","id":"ITEM-1","issue":"4","issued":{"date-parts":[["2018"]]},"page":"186-190","publisher":"European Academy of HIV/AIDS and Infectious Diseases","title":"High level aminoglycoside resistant enterococci in hospital-acquired urinary tract infections in Mansoura, Egypt","type":"article-journal","volume":"8"},"uris":["http://www.mendeley.com/documents/?uuid=aec0bf60-fd19-4534-9687-a67a0868d105"]}],"mendeley":{"formattedCitation":"&lt;sup&gt;4&lt;/sup&gt;","plainTextFormattedCitation":"4","previouslyFormattedCitation":"[4]"},"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4</w:t>
            </w:r>
            <w:r>
              <w:rPr>
                <w:sz w:val="16"/>
                <w:szCs w:val="16"/>
              </w:rPr>
              <w:fldChar w:fldCharType="end"/>
            </w:r>
          </w:p>
        </w:tc>
      </w:tr>
      <w:tr w:rsidR="00FE6B49" w:rsidRPr="00376C61"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Sallam(2016)</w:t>
            </w:r>
          </w:p>
        </w:tc>
        <w:tc>
          <w:tcPr>
            <w:tcW w:w="118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Cairo</w:t>
            </w:r>
          </w:p>
        </w:tc>
        <w:tc>
          <w:tcPr>
            <w:tcW w:w="1103"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27</w:t>
            </w:r>
          </w:p>
        </w:tc>
        <w:tc>
          <w:tcPr>
            <w:tcW w:w="73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5</w:t>
            </w:r>
          </w:p>
        </w:tc>
        <w:tc>
          <w:tcPr>
            <w:tcW w:w="120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Broth</w:t>
            </w:r>
            <w:r w:rsidRPr="00376C61">
              <w:rPr>
                <w:sz w:val="16"/>
                <w:szCs w:val="16"/>
              </w:rPr>
              <w:br/>
              <w:t>micro dilution</w:t>
            </w:r>
          </w:p>
        </w:tc>
        <w:tc>
          <w:tcPr>
            <w:tcW w:w="784"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w:t>
            </w:r>
          </w:p>
        </w:tc>
        <w:tc>
          <w:tcPr>
            <w:tcW w:w="852"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2</w:t>
            </w:r>
          </w:p>
        </w:tc>
        <w:tc>
          <w:tcPr>
            <w:tcW w:w="69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4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95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19</w:t>
            </w:r>
          </w:p>
        </w:tc>
        <w:tc>
          <w:tcPr>
            <w:tcW w:w="98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8</w:t>
            </w:r>
          </w:p>
        </w:tc>
        <w:tc>
          <w:tcPr>
            <w:tcW w:w="84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51"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70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73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20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920" w:type="dxa"/>
            <w:vAlign w:val="bottom"/>
          </w:tcPr>
          <w:p w:rsidR="00FE6B49" w:rsidRPr="00376C61" w:rsidRDefault="00FE6B49" w:rsidP="00A453E9">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{"citationItems":[{"id":"ITEM-1","itemData":{"DOI":"10.2147/IDR.S120227","ISSN":"11786973","PMID":"27994476","abstract":"Background: Gram-positive bacteria, especially methicillin-resistant Staphylococcus aureus (MRSA) and enterococci, have shown a remarkable ability to develop resistance to antimicrobial agents. Objective: We aimed to assess possible enhancement of the antimicrobial activity of vancomycin, amoxicillin, clarithromycin, and azithromycin by human polyclonal intravenous immunoglobulin G (IVIG) against 34 multidrug-resistant (MDR) bacterial isolates, including MRSA, Enterococcus faecium, and Enterococcus faecalis. Materials and methods: Double combinations of the antibiotics with the IVIG were assessed by checkerboard assay, where the interaction was evaluated with respect to the minimum inhibitory concentration (MIC) of the antibiotics. The results of the checkerboard assay were verified in vitro using time-kill assay and in vivo using an invasive sepsis murine model. Results: The checkerboard assay showed that IVIG enhanced the antimicrobial activity of amoxicillin and clarithromycin against isolates from the three groups of bacteria, which were resistant to the same antibiotics when tested in the absence of IVIG. The efficacy of vancomycin against 15% of the tested isolates was enhanced when it was combined with the antibodies. Antagonism was demonstrated in 47% of the E. faecalis isolates when clarithromycin was combined with the IVIG. Synergism was proved in the time-kill assay when amoxicillin was combined with the antibodies; meanwhile, antagonism was not demonstrated in all tested combinations, even in combinations that showed such response in checkerboard assay. Conclusion: The suggested approach is promising and could be helpful to enhance the antimicrobial activity of not only effective antibiotics but also antibiotics that have been proven to be ineffective against MDR bacteria. To our knowledge, this combinatorial approach against MDR bacteria, such as MRSA and enterococci, has not been investigated before.","author":[{"dropping-particle":"","family":"Sallam","given":"Mariam Madkour","non-dropping-particle":"","parse-names":false,"suffix":""},{"dropping-particle":"","family":"Abou-Aisha","given":"Khaled","non-dropping-particle":"","parse-names":false,"suffix":""},{"dropping-particle":"","family":"El-Azizi","given":"Mohamed","non-dropping-particle":"","parse-names":false,"suffix":""}],"container-title":"Infection and Drug Resistance","id":"ITEM-1","issued":{"date-parts":[["2016","12"]]},"page":"301-311","publisher":"Dove Press","title":"A novel combination approach of human polyclonal IVIG and antibiotics against multidrug-resistant gram-positive bacteria","type":"article-journal","volume":"9"},"uris":["http://www.mendeley.com/documents/?uuid=9ebbb060-80ca-4ac1-b389-9218ee786745"]}],"mendeley":{"formattedCitation":"&lt;sup&gt;5&lt;/sup&gt;","plainTextFormattedCitation":"5","previouslyFormattedCitation":"[5]"},"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5</w:t>
            </w:r>
            <w:r>
              <w:rPr>
                <w:sz w:val="16"/>
                <w:szCs w:val="16"/>
              </w:rPr>
              <w:fldChar w:fldCharType="end"/>
            </w:r>
          </w:p>
        </w:tc>
      </w:tr>
      <w:tr w:rsidR="00FE6B49" w:rsidRPr="00376C61" w:rsidTr="00D113D0">
        <w:trPr>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Moemen(2014)</w:t>
            </w:r>
          </w:p>
        </w:tc>
        <w:tc>
          <w:tcPr>
            <w:tcW w:w="118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Mansoura</w:t>
            </w:r>
          </w:p>
        </w:tc>
        <w:tc>
          <w:tcPr>
            <w:tcW w:w="1103"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52</w:t>
            </w:r>
          </w:p>
        </w:tc>
        <w:tc>
          <w:tcPr>
            <w:tcW w:w="73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12</w:t>
            </w:r>
          </w:p>
        </w:tc>
        <w:tc>
          <w:tcPr>
            <w:tcW w:w="120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disc diffusion</w:t>
            </w:r>
          </w:p>
        </w:tc>
        <w:tc>
          <w:tcPr>
            <w:tcW w:w="784"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852"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9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4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5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8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52</w:t>
            </w:r>
          </w:p>
        </w:tc>
        <w:tc>
          <w:tcPr>
            <w:tcW w:w="84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51"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N/S*</w:t>
            </w:r>
          </w:p>
        </w:tc>
        <w:tc>
          <w:tcPr>
            <w:tcW w:w="70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N/S *</w:t>
            </w:r>
          </w:p>
        </w:tc>
        <w:tc>
          <w:tcPr>
            <w:tcW w:w="73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N/S *</w:t>
            </w:r>
          </w:p>
        </w:tc>
        <w:tc>
          <w:tcPr>
            <w:tcW w:w="120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20" w:type="dxa"/>
            <w:vAlign w:val="bottom"/>
          </w:tcPr>
          <w:p w:rsidR="00FE6B49" w:rsidRPr="00376C61" w:rsidRDefault="00FE6B49" w:rsidP="00A453E9">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{"citationItems":[{"id":"ITEM-1","itemData":{"DOI":"10.1590/S1517-838246320140403","ISSN":"16784405","PMID":"26413060","abstract":"Vancomycin resistant Enterococcus faecium (VREF) ia an emerging and challenging nosocomial pathogen. This study aimed to determine the prevalence, risk factors and clonal relationships between different VREF isolates in the intensive care units (ICUs) of the university hospitals in our geographic location. This prospective study was conducted from July, 2012 until September, 2013 on 781 patients who were admitted to the ICUs of the Mansoura University Hospitals (MUHs), and fulfilled the healthcare-associated infection (HAI) criteria. Susceptibility testing was determined using the disk diffusion method. The clonal relationships were evaluated with pulsed field gel electrophoresis (PFGE). Out of 52 E. faecium isolates, 12 (23.1%) were vancomycin resistant. The significant risk factors for the VREF infections were: transfer to the ICU from a ward, renal failure, an extended ICU stay and use of third-generation cephalosporins, gentamicin, or ciprofloxacin. PFGE with the 12 isolates showed 9 different patterns; 3 belonged to the same pulsotype and another 2 carried a second pulsotypes. The similar pulsotypes isolates were isolated from ICUs of one hospital (EICUs); however, all of the isolates from the other ICUs had different patterns. Infection control policy, in conjunction with antibiotic stewardship, is important to combat VREF transmission in these high-risk patients.","author":[{"dropping-particle":"","family":"Moemen","given":"Dalia","non-dropping-particle":"","parse-names":false,"suffix":""},{"dropping-particle":"","family":"Tawfeek","given":"Doaa","non-dropping-particle":"","parse-names":false,"suffix":""},{"dropping-particle":"","family":"Badawy","given":"Wafaa","non-dropping-particle":"","parse-names":false,"suffix":""}],"container-title":"Brazilian Journal of Microbiology","id":"ITEM-1","issue":"3","issued":{"date-parts":[["2015","7"]]},"page":"777-783","publisher":"Sociedade Brasileira de Microbiologia","title":"Healthcare-associated vancomycin resistant enterococcus faecium infections in the Mansoura university hospitals intensive care units, Egypt","type":"article-journal","volume":"46"},"uris":["http://www.mendeley.com/documents/?uuid=a2389a73-8545-4ce1-aeaf-16e2ba70f761"]}],"mendeley":{"formattedCitation":"&lt;sup&gt;6&lt;/sup&gt;","plainTextFormattedCitation":"6","previouslyFormattedCitation":"[6]"},"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6</w:t>
            </w:r>
            <w:r>
              <w:rPr>
                <w:sz w:val="16"/>
                <w:szCs w:val="16"/>
              </w:rPr>
              <w:fldChar w:fldCharType="end"/>
            </w:r>
          </w:p>
        </w:tc>
      </w:tr>
      <w:tr w:rsidR="00FE6B49" w:rsidRPr="00376C61"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Shalaby(2016)</w:t>
            </w:r>
          </w:p>
        </w:tc>
        <w:tc>
          <w:tcPr>
            <w:tcW w:w="118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Tanta</w:t>
            </w:r>
          </w:p>
        </w:tc>
        <w:tc>
          <w:tcPr>
            <w:tcW w:w="1103"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32</w:t>
            </w:r>
          </w:p>
        </w:tc>
        <w:tc>
          <w:tcPr>
            <w:tcW w:w="73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6</w:t>
            </w:r>
          </w:p>
        </w:tc>
        <w:tc>
          <w:tcPr>
            <w:tcW w:w="120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 xml:space="preserve">E-test </w:t>
            </w:r>
            <w:r w:rsidRPr="00376C61">
              <w:rPr>
                <w:sz w:val="16"/>
                <w:szCs w:val="16"/>
              </w:rPr>
              <w:br/>
              <w:t>and vitek 2</w:t>
            </w:r>
            <w:r w:rsidRPr="00376C61">
              <w:rPr>
                <w:rFonts w:cstheme="minorHAnsi"/>
                <w:sz w:val="16"/>
                <w:szCs w:val="16"/>
                <w:vertAlign w:val="superscript"/>
              </w:rPr>
              <w:t>£</w:t>
            </w:r>
          </w:p>
        </w:tc>
        <w:tc>
          <w:tcPr>
            <w:tcW w:w="784"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w:t>
            </w:r>
          </w:p>
        </w:tc>
        <w:tc>
          <w:tcPr>
            <w:tcW w:w="852"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5</w:t>
            </w:r>
          </w:p>
        </w:tc>
        <w:tc>
          <w:tcPr>
            <w:tcW w:w="69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6</w:t>
            </w:r>
          </w:p>
        </w:tc>
        <w:tc>
          <w:tcPr>
            <w:tcW w:w="64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95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17</w:t>
            </w:r>
          </w:p>
        </w:tc>
        <w:tc>
          <w:tcPr>
            <w:tcW w:w="98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13</w:t>
            </w:r>
          </w:p>
        </w:tc>
        <w:tc>
          <w:tcPr>
            <w:tcW w:w="84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2</w:t>
            </w:r>
          </w:p>
        </w:tc>
        <w:tc>
          <w:tcPr>
            <w:tcW w:w="651"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13</w:t>
            </w:r>
          </w:p>
        </w:tc>
        <w:tc>
          <w:tcPr>
            <w:tcW w:w="70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6</w:t>
            </w:r>
          </w:p>
        </w:tc>
        <w:tc>
          <w:tcPr>
            <w:tcW w:w="73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9</w:t>
            </w:r>
          </w:p>
        </w:tc>
        <w:tc>
          <w:tcPr>
            <w:tcW w:w="120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4(endotracheal aspirates</w:t>
            </w:r>
          </w:p>
        </w:tc>
        <w:tc>
          <w:tcPr>
            <w:tcW w:w="920" w:type="dxa"/>
            <w:vAlign w:val="bottom"/>
          </w:tcPr>
          <w:p w:rsidR="00FE6B49" w:rsidRPr="00376C61" w:rsidRDefault="00FE6B49" w:rsidP="00A453E9">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{"citationItems":[{"id":"ITEM-1","itemData":{"DOI":"10.7537/marslsj1301s1608","abstract":"Introduction: Enterococci have become resistant to a wide range of antibiotics which include aminoglycosides and glycopeptides like vancomycin. The rapid increase of vancomycin resistance compromises physicians' ability to treat infections caused by these strains because the therapeutic options for VRE infections are very limited. Methods: The present study included 112 hospitalized patients having nosocomial infections. Selective culture was done on bile esculinazide agar for all suspicious colonies. Enterococcal species were identified using the VITEK-2 system. Antibiotic susceptibility pattern for enterococcal isolates was done using disc diffusion method. Chromogenic medium used for screening VRE, The MIC of vancomycin was determined by E test and PCR was done for detection of vanA gene. Results: Out of 112 patients, 32 enterococci species (28.6%) were isolated. Most commonly isolated species were E. feacalis (53%), followed by E. facium (40.6%), E. avium(3.1%), and E. durans (3.1%). VRE strains were E. facium (83.3%) and E. feacalis (16.7%). By disc diffusion method, 34.4% of isolated enterococci were VRE. The same percentage was detected by Chrome agar. Lower percentage (18.8%) was detected by Vitek2 and E-test. Van A gene could be detected in 18.8% of enterococci. The highest sensitivity and specificity (100%) was proved by both E-test and Vitek2 and specificity (92%), Chrome agar showed 100% sensitivity but 81% specificity. However, disc diffusion method showed 83.3% sensitivity and 77% specificity. Accuracies of VRE detection by disk diffusion method, chrome agar, E-test method, and Vitek 2 system were 78%, 84%, 100%, 100% respectively. Conclusion: PCR assay are in agreement with E-test and Vitek2 automated system employed for identification and test susceptibility of clinical Enterococcus spp. However, disk diffusion method proved to be less reliable for detection of resistance and should be replaced by routine MIC testing.","author":[{"dropping-particle":"","family":"Mostafa Shalaby","given":"Marwa","non-dropping-particle":"","parse-names":false,"suffix":""},{"dropping-particle":"","family":"Ahmed Eshra","given":"Kareman","non-dropping-particle":"","parse-names":false,"suffix":""},{"dropping-particle":"","family":"Salem El-Naghy","given":"Wageih","non-dropping-particle":"","parse-names":false,"suffix":""},{"dropping-particle":"","family":"Mahmoud El-Sharaby","given":"Radwa","non-dropping-particle":"","parse-names":false,"suffix":""}],"container-title":"Life Science Journal","id":"ITEM-1","issue":"1s","issued":{"date-parts":[["2016"]]},"page":"71-78","title":"Comparative study between molecular and non-molecular methods used for detection of Vancomycin Resistant Enterococci in Tanta University Hospitals, Egypt","type":"article-journal","volume":"13"},"uris":["http://www.mendeley.com/documents/?uuid=0592cdfe-ad45-4c8f-93a6-bc64f2f633e3"]}],"mendeley":{"formattedCitation":"&lt;sup&gt;7&lt;/sup&gt;","plainTextFormattedCitation":"7","previouslyFormattedCitation":"[7]"},"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7</w:t>
            </w:r>
            <w:r>
              <w:rPr>
                <w:sz w:val="16"/>
                <w:szCs w:val="16"/>
              </w:rPr>
              <w:fldChar w:fldCharType="end"/>
            </w:r>
          </w:p>
        </w:tc>
      </w:tr>
      <w:tr w:rsidR="00FE6B49" w:rsidRPr="00376C61" w:rsidTr="00D113D0">
        <w:trPr>
          <w:trHeight w:val="25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Hashem(2015)</w:t>
            </w:r>
          </w:p>
        </w:tc>
        <w:tc>
          <w:tcPr>
            <w:tcW w:w="118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Cairo</w:t>
            </w:r>
          </w:p>
        </w:tc>
        <w:tc>
          <w:tcPr>
            <w:tcW w:w="1103"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73</w:t>
            </w:r>
          </w:p>
        </w:tc>
        <w:tc>
          <w:tcPr>
            <w:tcW w:w="73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w:t>
            </w:r>
          </w:p>
        </w:tc>
        <w:tc>
          <w:tcPr>
            <w:tcW w:w="120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Broth</w:t>
            </w:r>
            <w:r w:rsidRPr="00376C61">
              <w:rPr>
                <w:sz w:val="16"/>
                <w:szCs w:val="16"/>
              </w:rPr>
              <w:br/>
              <w:t>micro dilution</w:t>
            </w:r>
          </w:p>
        </w:tc>
        <w:tc>
          <w:tcPr>
            <w:tcW w:w="784"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852"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9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w:t>
            </w:r>
          </w:p>
        </w:tc>
        <w:tc>
          <w:tcPr>
            <w:tcW w:w="64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5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47</w:t>
            </w:r>
          </w:p>
        </w:tc>
        <w:tc>
          <w:tcPr>
            <w:tcW w:w="98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26</w:t>
            </w:r>
          </w:p>
        </w:tc>
        <w:tc>
          <w:tcPr>
            <w:tcW w:w="84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0</w:t>
            </w:r>
          </w:p>
        </w:tc>
        <w:tc>
          <w:tcPr>
            <w:tcW w:w="651"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N/S*</w:t>
            </w:r>
          </w:p>
        </w:tc>
        <w:tc>
          <w:tcPr>
            <w:tcW w:w="70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73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20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20" w:type="dxa"/>
            <w:vAlign w:val="bottom"/>
          </w:tcPr>
          <w:p w:rsidR="00FE6B49" w:rsidRPr="00376C61" w:rsidRDefault="00FE6B49" w:rsidP="00A453E9">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{"citationItems":[{"id":"ITEM-1","itemData":{"DOI":"10.4103/0255-0857.148836","ISSN":"19983646","PMID":"25657162","abstract":"Purpose: Enterococci are responsible for serious diseases such as bacteraemia, endocarditis and urinary tract infections. The ability of enterococci to cause such diseases is due to acquisition of certain virulence factors such as haemolysin, gelatinase and enterococcus surface protein. This study has been conducted to investigate the occurrence of virulence factors and resistance to various antibiotics with emphasis on vancomycin in the Enterococcus spp. Materials and Methods: Clinical specimens were collected and isolates were identified by proper microscopic, culture and biochemical tests. Susceptibility and degree of resistance of the isolates to various antibiotics were determined. Virulence factors were examined by phenotypic tests followed by molecular methods. Bioinformatics analysis was used to detect regions in the genomes that might have originated from horizontal gene transfer. Result: The presence or absence of virulence genes did not affect the pattern of antimicrobial resistance in Enterococcus isolates; consequently, no relationship was found between virulence factors and resistance to different antibiotics used. Bioinformatics analysis showed that the virulence genes were mainly transferred by transposons. Conclusion: Among the enterococci, environmental factors may interfere in the expression of virulence factors. Horizontal gene transfer plays an important role in the spread of resistance and virulence genes.","author":[{"dropping-particle":"","family":"Hashem","given":"Y. A.","non-dropping-particle":"","parse-names":false,"suffix":""},{"dropping-particle":"","family":"Yassin","given":"A. S.","non-dropping-particle":"","parse-names":false,"suffix":""},{"dropping-particle":"","family":"Amin","given":"M. A.","non-dropping-particle":"","parse-names":false,"suffix":""}],"container-title":"Indian Journal of Medical Microbiology","id":"ITEM-1","issued":{"date-parts":[["2015"]]},"page":"S80-S86","title":"Molecular characterization of Enterococcus spp. clinical isolates from Cairo, Egypt","type":"article-journal","volume":"33"},"uris":["http://www.mendeley.com/documents/?uuid=f61dd982-c640-4c72-a0b2-ecbfbbadaf86"]}],"mendeley":{"formattedCitation":"&lt;sup&gt;8&lt;/sup&gt;","plainTextFormattedCitation":"8","previouslyFormattedCitation":"[8]"},"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8</w:t>
            </w:r>
            <w:r>
              <w:rPr>
                <w:sz w:val="16"/>
                <w:szCs w:val="16"/>
              </w:rPr>
              <w:fldChar w:fldCharType="end"/>
            </w:r>
          </w:p>
        </w:tc>
      </w:tr>
      <w:tr w:rsidR="00FE6B49" w:rsidRPr="00376C61"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Kishk(2021)</w:t>
            </w:r>
          </w:p>
        </w:tc>
        <w:tc>
          <w:tcPr>
            <w:tcW w:w="118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Ismailia</w:t>
            </w:r>
          </w:p>
        </w:tc>
        <w:tc>
          <w:tcPr>
            <w:tcW w:w="1103"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100</w:t>
            </w:r>
          </w:p>
        </w:tc>
        <w:tc>
          <w:tcPr>
            <w:tcW w:w="73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15</w:t>
            </w:r>
          </w:p>
        </w:tc>
        <w:tc>
          <w:tcPr>
            <w:tcW w:w="120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disk diffusion</w:t>
            </w:r>
          </w:p>
        </w:tc>
        <w:tc>
          <w:tcPr>
            <w:tcW w:w="784"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12</w:t>
            </w:r>
          </w:p>
        </w:tc>
        <w:tc>
          <w:tcPr>
            <w:tcW w:w="852"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w:t>
            </w:r>
          </w:p>
        </w:tc>
        <w:tc>
          <w:tcPr>
            <w:tcW w:w="69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9</w:t>
            </w:r>
          </w:p>
        </w:tc>
        <w:tc>
          <w:tcPr>
            <w:tcW w:w="64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0</w:t>
            </w:r>
          </w:p>
        </w:tc>
        <w:tc>
          <w:tcPr>
            <w:tcW w:w="95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62</w:t>
            </w:r>
          </w:p>
        </w:tc>
        <w:tc>
          <w:tcPr>
            <w:tcW w:w="98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30</w:t>
            </w:r>
          </w:p>
        </w:tc>
        <w:tc>
          <w:tcPr>
            <w:tcW w:w="84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8</w:t>
            </w:r>
          </w:p>
        </w:tc>
        <w:tc>
          <w:tcPr>
            <w:tcW w:w="651"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42</w:t>
            </w:r>
          </w:p>
        </w:tc>
        <w:tc>
          <w:tcPr>
            <w:tcW w:w="70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6</w:t>
            </w:r>
          </w:p>
        </w:tc>
        <w:tc>
          <w:tcPr>
            <w:tcW w:w="73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33</w:t>
            </w:r>
          </w:p>
        </w:tc>
        <w:tc>
          <w:tcPr>
            <w:tcW w:w="120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19</w:t>
            </w:r>
          </w:p>
        </w:tc>
        <w:tc>
          <w:tcPr>
            <w:tcW w:w="920" w:type="dxa"/>
            <w:vAlign w:val="bottom"/>
          </w:tcPr>
          <w:p w:rsidR="00FE6B49" w:rsidRPr="00376C61" w:rsidRDefault="00FE6B49" w:rsidP="00A453E9">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10.21608/ejmm.2021.94566.1006","author":[{"dropping-particle":"","family":"Kishk","given":"Rania","non-dropping-particle":"","parse-names":false,"suffix":""},{"dropping-particle":"","family":"Nemr","given":"Nader","non-dropping-particle":"","parse-names":false,"suffix":""},{"dropping-particle":"","family":"Soliman","given":"Nourhan","non-dropping-particle":"","parse-names":false,"suffix":""},{"dropping-particle":"","family":"Riad","given":"Eman","non-dropping-particle":"","parse-names":false,"suffix":""},{"dropping-particle":"","family":"Ahmed","given":"Mona","non-dropping-particle":"","parse-names":false,"suffix":""},{"dropping-particle":"","family":"Soliman","given":"Nahaat","non-dropping-particle":"","parse-names":false,"suffix":""}],"container-title":"Egyptian Journal of Medical Microbiology","id":"ITEM-1","issue":"0","issued":{"date-parts":[["2021"]]},"page":"0-0","title":"High-Level Aminoglycoside and Vancomycin Resistance in Enterococcus spp. Isolated from Hospital Acquired Infections, Ismailia, Egypt.","type":"article-journal","volume":"0"},"uris":["http://www.mendeley.com/documents/?uuid=dfe8c78a-db05-45ab-b61f-6fbdb05a4a5f"]}],"mendeley":{"formattedCitation":"&lt;sup&gt;9&lt;/sup&gt;","plainTextFormattedCitation":"9","previouslyFormattedCitation":"[9]"},"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9</w:t>
            </w:r>
            <w:r>
              <w:rPr>
                <w:sz w:val="16"/>
                <w:szCs w:val="16"/>
              </w:rPr>
              <w:fldChar w:fldCharType="end"/>
            </w:r>
          </w:p>
        </w:tc>
      </w:tr>
      <w:tr w:rsidR="00FE6B49" w:rsidRPr="00376C61" w:rsidTr="00D113D0">
        <w:trPr>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El Shenawy(2016)</w:t>
            </w:r>
          </w:p>
        </w:tc>
        <w:tc>
          <w:tcPr>
            <w:tcW w:w="118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Zagazig</w:t>
            </w:r>
          </w:p>
        </w:tc>
        <w:tc>
          <w:tcPr>
            <w:tcW w:w="1103"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162</w:t>
            </w:r>
          </w:p>
        </w:tc>
        <w:tc>
          <w:tcPr>
            <w:tcW w:w="73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57</w:t>
            </w:r>
          </w:p>
        </w:tc>
        <w:tc>
          <w:tcPr>
            <w:tcW w:w="120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E-test</w:t>
            </w:r>
          </w:p>
        </w:tc>
        <w:tc>
          <w:tcPr>
            <w:tcW w:w="784"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852"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9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38</w:t>
            </w:r>
          </w:p>
        </w:tc>
        <w:tc>
          <w:tcPr>
            <w:tcW w:w="64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12</w:t>
            </w:r>
          </w:p>
        </w:tc>
        <w:tc>
          <w:tcPr>
            <w:tcW w:w="95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61</w:t>
            </w:r>
          </w:p>
        </w:tc>
        <w:tc>
          <w:tcPr>
            <w:tcW w:w="98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72</w:t>
            </w:r>
          </w:p>
        </w:tc>
        <w:tc>
          <w:tcPr>
            <w:tcW w:w="84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29</w:t>
            </w:r>
          </w:p>
        </w:tc>
        <w:tc>
          <w:tcPr>
            <w:tcW w:w="651"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95</w:t>
            </w:r>
          </w:p>
        </w:tc>
        <w:tc>
          <w:tcPr>
            <w:tcW w:w="70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0</w:t>
            </w:r>
          </w:p>
        </w:tc>
        <w:tc>
          <w:tcPr>
            <w:tcW w:w="73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26</w:t>
            </w:r>
          </w:p>
        </w:tc>
        <w:tc>
          <w:tcPr>
            <w:tcW w:w="120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41</w:t>
            </w:r>
          </w:p>
        </w:tc>
        <w:tc>
          <w:tcPr>
            <w:tcW w:w="920" w:type="dxa"/>
            <w:vAlign w:val="bottom"/>
          </w:tcPr>
          <w:p w:rsidR="00FE6B49" w:rsidRPr="00376C61" w:rsidRDefault="00FE6B49" w:rsidP="00A453E9">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{"citationItems":[{"id":"ITEM-1","itemData":{"DOI":"10.12816/0037103","ISSN":"11102179","author":[{"dropping-particle":"","family":"Shenawy","given":"Gehan A.","non-dropping-particle":"El","parse-names":false,"suffix":""},{"dropping-particle":"","family":"Abdel-Latif","given":"Randa S.","non-dropping-particle":"","parse-names":false,"suffix":""},{"dropping-particle":"","family":"Shedeed","given":"Dina S.","non-dropping-particle":"","parse-names":false,"suffix":""}],"container-title":"The Egyptian Journal of Medical Microbiology","id":"ITEM-1","issue":"1","issued":{"date-parts":[["2016"]]},"page":"141-148","title":"Detection of VanA, VanB and VanC Genes in Vancomycin Resistant Enterococci in Zagazig University Hospitals","type":"article-journal","volume":"25"},"uris":["http://www.mendeley.com/documents/?uuid=a16c4612-b821-4a0e-96e9-71bc920d4590"]}],"mendeley":{"formattedCitation":"&lt;sup&gt;10&lt;/sup&gt;","plainTextFormattedCitation":"10","previouslyFormattedCitation":"[10]"},"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10</w:t>
            </w:r>
            <w:r>
              <w:rPr>
                <w:sz w:val="16"/>
                <w:szCs w:val="16"/>
              </w:rPr>
              <w:fldChar w:fldCharType="end"/>
            </w:r>
          </w:p>
        </w:tc>
      </w:tr>
      <w:tr w:rsidR="00FE6B49" w:rsidRPr="00376C61"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Pr>
                <w:b w:val="0"/>
                <w:bCs w:val="0"/>
                <w:sz w:val="16"/>
                <w:szCs w:val="16"/>
              </w:rPr>
              <w:t>Labib</w:t>
            </w:r>
            <w:r w:rsidRPr="00376C61">
              <w:rPr>
                <w:b w:val="0"/>
                <w:bCs w:val="0"/>
                <w:sz w:val="16"/>
                <w:szCs w:val="16"/>
              </w:rPr>
              <w:t>(2014)</w:t>
            </w:r>
          </w:p>
        </w:tc>
        <w:tc>
          <w:tcPr>
            <w:tcW w:w="118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Menofia</w:t>
            </w:r>
          </w:p>
        </w:tc>
        <w:tc>
          <w:tcPr>
            <w:tcW w:w="1103"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36</w:t>
            </w:r>
          </w:p>
        </w:tc>
        <w:tc>
          <w:tcPr>
            <w:tcW w:w="73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22</w:t>
            </w:r>
          </w:p>
        </w:tc>
        <w:tc>
          <w:tcPr>
            <w:tcW w:w="120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broth dilution method</w:t>
            </w:r>
          </w:p>
        </w:tc>
        <w:tc>
          <w:tcPr>
            <w:tcW w:w="784"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5</w:t>
            </w:r>
          </w:p>
        </w:tc>
        <w:tc>
          <w:tcPr>
            <w:tcW w:w="852"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8</w:t>
            </w:r>
          </w:p>
        </w:tc>
        <w:tc>
          <w:tcPr>
            <w:tcW w:w="69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8</w:t>
            </w:r>
          </w:p>
        </w:tc>
        <w:tc>
          <w:tcPr>
            <w:tcW w:w="64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4</w:t>
            </w:r>
          </w:p>
        </w:tc>
        <w:tc>
          <w:tcPr>
            <w:tcW w:w="95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12</w:t>
            </w:r>
          </w:p>
        </w:tc>
        <w:tc>
          <w:tcPr>
            <w:tcW w:w="98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8</w:t>
            </w:r>
          </w:p>
        </w:tc>
        <w:tc>
          <w:tcPr>
            <w:tcW w:w="84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16</w:t>
            </w:r>
          </w:p>
        </w:tc>
        <w:tc>
          <w:tcPr>
            <w:tcW w:w="651"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N/S*</w:t>
            </w:r>
          </w:p>
        </w:tc>
        <w:tc>
          <w:tcPr>
            <w:tcW w:w="70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N/S*</w:t>
            </w:r>
          </w:p>
        </w:tc>
        <w:tc>
          <w:tcPr>
            <w:tcW w:w="73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20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Pus</w:t>
            </w:r>
            <w:r w:rsidRPr="00376C61">
              <w:rPr>
                <w:sz w:val="16"/>
                <w:szCs w:val="16"/>
              </w:rPr>
              <w:br/>
              <w:t>and sputum</w:t>
            </w:r>
          </w:p>
        </w:tc>
        <w:tc>
          <w:tcPr>
            <w:tcW w:w="920" w:type="dxa"/>
            <w:vAlign w:val="bottom"/>
          </w:tcPr>
          <w:p w:rsidR="00FE6B49" w:rsidRPr="00376C61" w:rsidRDefault="00FE6B49" w:rsidP="00A453E9">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10.4103/1110-2098.126138","ISSN":"1110-2098","author":[{"dropping-particle":"","family":"Azza","given":"LabibZ","non-dropping-particle":"","parse-names":false,"suffix":""},{"dropping-particle":"","family":"Ahmed","given":"MahmoudB","non-dropping-particle":"","parse-names":false,"suffix":""},{"dropping-particle":"","family":"Nahed","given":"Al RagehyA","non-dropping-particle":"","parse-names":false,"suffix":""},{"dropping-particle":"","family":"Wafaa","given":"ZahranA","non-dropping-particle":"","parse-names":false,"suffix":""},{"dropping-particle":"","family":"Eman","given":"ElmasryA","non-dropping-particle":"","parse-names":false,"suffix":""}],"container-title":"Menoufia Medical Journal","id":"ITEM-1","issue":"2","issued":{"date-parts":[["2013"]]},"page":"108","title":"Molecular and phenotypic characterization of hospital-associated and community-associated isolates of Enterococcus spp.","type":"article-journal","volume":"26"},"uris":["http://www.mendeley.com/documents/?uuid=3784273f-42b8-43e1-b8d6-ce52b6798cef"]}],"mendeley":{"formattedCitation":"&lt;sup&gt;11&lt;/sup&gt;","plainTextFormattedCitation":"11","previouslyFormattedCitation":"[11]"},"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11</w:t>
            </w:r>
            <w:r>
              <w:rPr>
                <w:sz w:val="16"/>
                <w:szCs w:val="16"/>
              </w:rPr>
              <w:fldChar w:fldCharType="end"/>
            </w:r>
          </w:p>
        </w:tc>
      </w:tr>
      <w:tr w:rsidR="00FE6B49" w:rsidRPr="00376C61" w:rsidTr="00D113D0">
        <w:trPr>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Hassan(2017)</w:t>
            </w:r>
          </w:p>
        </w:tc>
        <w:tc>
          <w:tcPr>
            <w:tcW w:w="118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Cairo</w:t>
            </w:r>
          </w:p>
        </w:tc>
        <w:tc>
          <w:tcPr>
            <w:tcW w:w="1103"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67</w:t>
            </w:r>
          </w:p>
        </w:tc>
        <w:tc>
          <w:tcPr>
            <w:tcW w:w="73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17</w:t>
            </w:r>
          </w:p>
        </w:tc>
        <w:tc>
          <w:tcPr>
            <w:tcW w:w="120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disk diffusion</w:t>
            </w:r>
          </w:p>
        </w:tc>
        <w:tc>
          <w:tcPr>
            <w:tcW w:w="784"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852"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9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w:t>
            </w:r>
          </w:p>
        </w:tc>
        <w:tc>
          <w:tcPr>
            <w:tcW w:w="64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w:t>
            </w:r>
          </w:p>
        </w:tc>
        <w:tc>
          <w:tcPr>
            <w:tcW w:w="95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44</w:t>
            </w:r>
          </w:p>
        </w:tc>
        <w:tc>
          <w:tcPr>
            <w:tcW w:w="98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20</w:t>
            </w:r>
          </w:p>
        </w:tc>
        <w:tc>
          <w:tcPr>
            <w:tcW w:w="84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3</w:t>
            </w:r>
          </w:p>
        </w:tc>
        <w:tc>
          <w:tcPr>
            <w:tcW w:w="651"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44</w:t>
            </w:r>
          </w:p>
        </w:tc>
        <w:tc>
          <w:tcPr>
            <w:tcW w:w="70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6</w:t>
            </w:r>
          </w:p>
        </w:tc>
        <w:tc>
          <w:tcPr>
            <w:tcW w:w="73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12</w:t>
            </w:r>
          </w:p>
        </w:tc>
        <w:tc>
          <w:tcPr>
            <w:tcW w:w="120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w:t>
            </w:r>
          </w:p>
        </w:tc>
        <w:tc>
          <w:tcPr>
            <w:tcW w:w="920" w:type="dxa"/>
            <w:vAlign w:val="bottom"/>
          </w:tcPr>
          <w:p w:rsidR="00FE6B49" w:rsidRPr="00376C61" w:rsidRDefault="00FE6B49" w:rsidP="00A453E9">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{"citationItems":[{"id":"ITEM-1","itemData":{"DOI":"10.1016/j.jgar.2017.12.005","ISSN":"22137173","PMID":"29274469","abstract":"Objectives The incidence of reduced susceptibility to tigecycline (TIG) is increasing. This study aimed to analyse the in vitro activity of TIG against Enterococcus spp. isolates recovered from hospitalised patients and to evaluate the effect of omeprazole on the in vitro antimicrobial activity of TIG against several enterococcal species. Methods A total of 67 Enterococcus clinical isolates were identified by MALDI-TOF/MS and multiplex PCR. Minimum inhibitory concentrations (MICs) of TIG alone and in combination with omeprazole (10, 30 and 60 mg/L) were determined by broth microdilution. Antibiotic susceptibility to other antibiotics was determined by disk diffusion. The presence of van, tet(X) and tet(X1) genes was tested by multiplex PCR. Results Of the 67 Enterococcus isolates, 2 (3.0%) were resistant to TIG and 13 (19.4%) were intermediate-resistant according to EUCAST. The frequencies of resistance to norfloxacin (80.6%), doxycycline (80.6%), levofloxacin (74.6%) and ciprofloxacin (71.6%) were highest, whilst that of vancomycin (25.4%) was lowest. The vanA gene was detected in 11 Enterococcus isolates (8 Enterococcus faecalis, 3 Enterococcus faecium), vanB in 3 Enterococcus isolates (2 E. faecium, 1 E. faecalis) and vanC-2/3 in 3 Enterococcus casseliflavus. Nine isolates (13.4%) were positive for tet(X1). TIG resistance occurred both in patients receiving or not TIG and/or omeprazole. Omeprazole increased TIG MICs by 4–128-fold. Conclusions The possibility of selection of TIG-non-susceptible Enterococcus in the gut may occur with long-term use of omeprazole. Omeprazole influenced TIG activity in a concentration-dependent manner. To our knowledge; this is the first report of TIG-non-susceptible Enterococcus spp. in Egypt.","author":[{"dropping-particle":"","family":"Hassan","given":"Reem Mostafa","non-dropping-particle":"","parse-names":false,"suffix":""},{"dropping-particle":"","family":"Ghaith","given":"Doaa Mohammad","non-dropping-particle":"","parse-names":false,"suffix":""},{"dropping-particle":"","family":"Ismail","given":"Dalia Kadry","non-dropping-particle":"","parse-names":false,"suffix":""},{"dropping-particle":"","family":"Zafer","given":"Mai Mahmoud","non-dropping-particle":"","parse-names":false,"suffix":""}],"container-title":"Journal of Global Antimicrobial Resistance","id":"ITEM-1","issued":{"date-parts":[["2018"]]},"page":"68-72","title":"Reduced susceptibility of Enterococcus spp. isolates from Cairo University Hospital to tigecycline: Highlight on the influence of proton pump inhibitors","type":"article-journal","volume":"12"},"uris":["http://www.mendeley.com/documents/?uuid=d2f426d5-c05d-46df-b207-1789aa3fb54b"]}],"mendeley":{"formattedCitation":"&lt;sup&gt;12&lt;/sup&gt;","plainTextFormattedCitation":"12","previouslyFormattedCitation":"[12]"},"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12</w:t>
            </w:r>
            <w:r>
              <w:rPr>
                <w:sz w:val="16"/>
                <w:szCs w:val="16"/>
              </w:rPr>
              <w:fldChar w:fldCharType="end"/>
            </w:r>
          </w:p>
        </w:tc>
      </w:tr>
      <w:tr w:rsidR="00FE6B49" w:rsidRPr="00376C61"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Hassan(2012)</w:t>
            </w:r>
          </w:p>
        </w:tc>
        <w:tc>
          <w:tcPr>
            <w:tcW w:w="118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sohag</w:t>
            </w:r>
          </w:p>
        </w:tc>
        <w:tc>
          <w:tcPr>
            <w:tcW w:w="1103"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73</w:t>
            </w:r>
          </w:p>
        </w:tc>
        <w:tc>
          <w:tcPr>
            <w:tcW w:w="73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48</w:t>
            </w:r>
          </w:p>
        </w:tc>
        <w:tc>
          <w:tcPr>
            <w:tcW w:w="120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E-test</w:t>
            </w:r>
          </w:p>
        </w:tc>
        <w:tc>
          <w:tcPr>
            <w:tcW w:w="784"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11</w:t>
            </w:r>
          </w:p>
        </w:tc>
        <w:tc>
          <w:tcPr>
            <w:tcW w:w="852"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33</w:t>
            </w:r>
          </w:p>
        </w:tc>
        <w:tc>
          <w:tcPr>
            <w:tcW w:w="69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30</w:t>
            </w:r>
          </w:p>
        </w:tc>
        <w:tc>
          <w:tcPr>
            <w:tcW w:w="64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17</w:t>
            </w:r>
          </w:p>
        </w:tc>
        <w:tc>
          <w:tcPr>
            <w:tcW w:w="95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98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p>
        </w:tc>
        <w:tc>
          <w:tcPr>
            <w:tcW w:w="84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51"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N/S*</w:t>
            </w:r>
          </w:p>
        </w:tc>
        <w:tc>
          <w:tcPr>
            <w:tcW w:w="70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73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20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pus</w:t>
            </w:r>
          </w:p>
        </w:tc>
        <w:tc>
          <w:tcPr>
            <w:tcW w:w="920" w:type="dxa"/>
            <w:vAlign w:val="bottom"/>
          </w:tcPr>
          <w:p w:rsidR="00FE6B49" w:rsidRPr="00376C61" w:rsidRDefault="00FE6B49" w:rsidP="00A453E9">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author":[{"dropping-particle":"","family":"Hassan","given":"A","non-dropping-particle":"","parse-names":false,"suffix":""},{"dropping-particle":"","family":"Fattouh","given":"M","non-dropping-particle":"","parse-names":false,"suffix":""},{"dropping-particle":"","family":"El-deen","given":"AN","non-dropping-particle":"","parse-names":false,"suffix":""},{"dropping-particle":"","family":"Maguid</w:instrText>
            </w:r>
            <w:r w:rsidR="00A453E9">
              <w:rPr>
                <w:sz w:val="16"/>
                <w:szCs w:val="16"/>
                <w:rtl/>
              </w:rPr>
              <w:instrText>‏</w:instrText>
            </w:r>
            <w:r w:rsidR="00A453E9">
              <w:rPr>
                <w:sz w:val="16"/>
                <w:szCs w:val="16"/>
              </w:rPr>
              <w:instrText>","given":"SA","non-dropping-particle":"","parse-names":false,"suffix":""}],"container-title":"Egy j Med Lab science","id":"ITEM-1","issued":{"date-parts":[["2012"]]},"title":"Isolation and Characterization of Vancomycin-Resistant Enterococci (Vre) in Surgical Wards of Sohag University Hospital","type":"article-journal"},"uris":["http://www.mendeley.com/documents/?uuid=dc8a2762-c89c-4a03-beb4-eafa68e83f14"]}],"mendeley":{"formattedCitation":"&lt;sup&gt;13&lt;/sup&gt;","plainTextFormattedCitation":"13","previouslyFormattedCitation":"[13]"},"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13</w:t>
            </w:r>
            <w:r>
              <w:rPr>
                <w:sz w:val="16"/>
                <w:szCs w:val="16"/>
              </w:rPr>
              <w:fldChar w:fldCharType="end"/>
            </w:r>
          </w:p>
        </w:tc>
      </w:tr>
      <w:tr w:rsidR="00FE6B49" w:rsidRPr="00376C61" w:rsidTr="00D113D0">
        <w:trPr>
          <w:trHeight w:val="37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Alatrouny(2020)</w:t>
            </w:r>
          </w:p>
        </w:tc>
        <w:tc>
          <w:tcPr>
            <w:tcW w:w="118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Cairo</w:t>
            </w:r>
          </w:p>
        </w:tc>
        <w:tc>
          <w:tcPr>
            <w:tcW w:w="1103"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48</w:t>
            </w:r>
          </w:p>
        </w:tc>
        <w:tc>
          <w:tcPr>
            <w:tcW w:w="73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20</w:t>
            </w:r>
          </w:p>
        </w:tc>
        <w:tc>
          <w:tcPr>
            <w:tcW w:w="120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E-test method</w:t>
            </w:r>
          </w:p>
        </w:tc>
        <w:tc>
          <w:tcPr>
            <w:tcW w:w="784"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8</w:t>
            </w:r>
          </w:p>
        </w:tc>
        <w:tc>
          <w:tcPr>
            <w:tcW w:w="852"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12</w:t>
            </w:r>
          </w:p>
        </w:tc>
        <w:tc>
          <w:tcPr>
            <w:tcW w:w="69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17</w:t>
            </w:r>
          </w:p>
        </w:tc>
        <w:tc>
          <w:tcPr>
            <w:tcW w:w="64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0</w:t>
            </w:r>
          </w:p>
        </w:tc>
        <w:tc>
          <w:tcPr>
            <w:tcW w:w="95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32</w:t>
            </w:r>
          </w:p>
        </w:tc>
        <w:tc>
          <w:tcPr>
            <w:tcW w:w="98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16</w:t>
            </w:r>
          </w:p>
        </w:tc>
        <w:tc>
          <w:tcPr>
            <w:tcW w:w="84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51"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8</w:t>
            </w:r>
          </w:p>
        </w:tc>
        <w:tc>
          <w:tcPr>
            <w:tcW w:w="70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20</w:t>
            </w:r>
          </w:p>
        </w:tc>
        <w:tc>
          <w:tcPr>
            <w:tcW w:w="73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12</w:t>
            </w:r>
          </w:p>
        </w:tc>
        <w:tc>
          <w:tcPr>
            <w:tcW w:w="120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20" w:type="dxa"/>
            <w:vAlign w:val="bottom"/>
          </w:tcPr>
          <w:p w:rsidR="00FE6B49" w:rsidRPr="00376C61" w:rsidRDefault="00FE6B49" w:rsidP="00A453E9">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{"citationItems":[{"id":"ITEM-1","itemData":{"DOI":"10.21608/amj.2020.120651","author":[{"dropping-particle":"","family":"M. Alatrouny","given":"Al-Mahdy","non-dropping-particle":"","parse-names":false,"suffix":""},{"dropping-particle":"","family":"A. Amin","given":"Mohamed","non-dropping-particle":"","parse-names":false,"suffix":""},{"dropping-particle":"","family":"S. Shabana","given":"Hosamalden","non-dropping-particle":"","parse-names":false,"suffix":""}],"container-title":"Al-Azhar Medical Journal","id":"ITEM-1","issue":"4","issued":{"date-parts":[["2020"]]},"page":"1955-1964","title":"Prevalence of Vancomycin Resistant Enterococci Among Patients With Nosocomial Infections in Intensive Care Unit","type":"article-journal","volume":"49"},"uris":["http://www.mendeley.com/documents/?uuid=ec0a1055-59bb-4aad-87ec-56433c38ce76"]}],"mendeley":{"formattedCitation":"&lt;sup&gt;14&lt;/sup&gt;","plainTextFormattedCitation":"14","previouslyFormattedCitation":"[14]"},"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14</w:t>
            </w:r>
            <w:r>
              <w:rPr>
                <w:sz w:val="16"/>
                <w:szCs w:val="16"/>
              </w:rPr>
              <w:fldChar w:fldCharType="end"/>
            </w:r>
          </w:p>
        </w:tc>
      </w:tr>
      <w:tr w:rsidR="00FE6B49" w:rsidRPr="00376C61"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Alm El-Din(2012)</w:t>
            </w:r>
          </w:p>
        </w:tc>
        <w:tc>
          <w:tcPr>
            <w:tcW w:w="118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Tanta</w:t>
            </w:r>
          </w:p>
        </w:tc>
        <w:tc>
          <w:tcPr>
            <w:tcW w:w="1103"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111</w:t>
            </w:r>
          </w:p>
        </w:tc>
        <w:tc>
          <w:tcPr>
            <w:tcW w:w="73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8</w:t>
            </w:r>
          </w:p>
        </w:tc>
        <w:tc>
          <w:tcPr>
            <w:tcW w:w="120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disc-diffusion method</w:t>
            </w:r>
          </w:p>
        </w:tc>
        <w:tc>
          <w:tcPr>
            <w:tcW w:w="784"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5</w:t>
            </w:r>
          </w:p>
        </w:tc>
        <w:tc>
          <w:tcPr>
            <w:tcW w:w="852"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2</w:t>
            </w:r>
          </w:p>
        </w:tc>
        <w:tc>
          <w:tcPr>
            <w:tcW w:w="69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7</w:t>
            </w:r>
          </w:p>
        </w:tc>
        <w:tc>
          <w:tcPr>
            <w:tcW w:w="64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w:t>
            </w:r>
          </w:p>
        </w:tc>
        <w:tc>
          <w:tcPr>
            <w:tcW w:w="95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70</w:t>
            </w:r>
          </w:p>
        </w:tc>
        <w:tc>
          <w:tcPr>
            <w:tcW w:w="98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35</w:t>
            </w:r>
          </w:p>
        </w:tc>
        <w:tc>
          <w:tcPr>
            <w:tcW w:w="84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6</w:t>
            </w:r>
          </w:p>
        </w:tc>
        <w:tc>
          <w:tcPr>
            <w:tcW w:w="651"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70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111</w:t>
            </w:r>
          </w:p>
        </w:tc>
        <w:tc>
          <w:tcPr>
            <w:tcW w:w="73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20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920" w:type="dxa"/>
            <w:vAlign w:val="bottom"/>
          </w:tcPr>
          <w:p w:rsidR="00FE6B49" w:rsidRPr="00376C61" w:rsidRDefault="00FE6B49" w:rsidP="00A453E9">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{"citationItems":[{"id":"ITEM-1","itemData":{"DOI":"10.5897/AJMR12.1144","ISSN":"1996-0808","abstract":"This work aimed at determining the occurrence, species prevalence, antibacterial resistance, and genetic characteristics of vancomycin-resistant enterococci (VRE) isolated from cases of neonatal sepsis at neonatal intensive care unit (NICU). Out of 134 blood samples of neonatal sepsis enterococci were isolated from 111 cases. Of these 111 strains VRE strains were identified and the resistance genotype was determined by polymerase chain reaction (PCR). The results of the study showed that 3 isolates (2.98%) were identified as VRE in cases of early onset sepsis and 5 isolates (4.47%) were identified as VRE in cases of late onset sepsis. The majority of the isolates were resistant to erythromycin (57.7%), ciprofloxacin (45.9%), where all isolates were susceptible to linezolid except one isolate (0.9%) of Enterococcus faecium. This study showed that 4 strains of Enterococcus faecalis, and all of E. faecium and Enterococcus gallinarum strains were positive for VanA genotype. VanB products were detected in three isolates (two strains of E. feacalis and one strain of E. feacium), and PCR of the VanC gene was obtained from two isolates (one E. gallinarum specimen, and one E. feacium specimen). This study showed an emergence of VRE along with increased rate of multidrug-resistant enterococci in cases of neonatal sepsis. Regular surveillance of antimicrobial susceptibilities should be done regularly and the risk factors should be determined.","author":[{"dropping-particle":"","family":"El-din","given":"Rasha A Alm","non-dropping-particle":"","parse-names":false,"suffix":""},{"dropping-particle":"","family":"El-mahdy","given":"Heba Said","non-dropping-particle":"","parse-names":false,"suffix":""}],"container-title":"African Journal of Microbiology Research","id":"ITEM-1","issue":"44","issued":{"date-parts":[["2012"]]},"page":"7206-7211","title":"Molecular characterization of enterococcus strains isolated from cases of neonatal sepsis in neonatal intensive care unit","type":"article-journal","volume":"6"},"uris":["http://www.mendeley.com/documents/?uuid=fbd57491-405d-4617-a98e-26078034684f"]}],"mendeley":{"formattedCitation":"&lt;sup&gt;15&lt;/sup&gt;","plainTextFormattedCitation":"15","previouslyFormattedCitation":"[15]"},"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15</w:t>
            </w:r>
            <w:r>
              <w:rPr>
                <w:sz w:val="16"/>
                <w:szCs w:val="16"/>
              </w:rPr>
              <w:fldChar w:fldCharType="end"/>
            </w:r>
          </w:p>
        </w:tc>
      </w:tr>
      <w:tr w:rsidR="00FE6B49" w:rsidRPr="00376C61" w:rsidTr="00D113D0">
        <w:trPr>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Fahmy(2021)</w:t>
            </w:r>
          </w:p>
        </w:tc>
        <w:tc>
          <w:tcPr>
            <w:tcW w:w="118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Sohag</w:t>
            </w:r>
          </w:p>
        </w:tc>
        <w:tc>
          <w:tcPr>
            <w:tcW w:w="1103"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52</w:t>
            </w:r>
          </w:p>
        </w:tc>
        <w:tc>
          <w:tcPr>
            <w:tcW w:w="73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20</w:t>
            </w:r>
          </w:p>
        </w:tc>
        <w:tc>
          <w:tcPr>
            <w:tcW w:w="120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disk diffusion method</w:t>
            </w:r>
          </w:p>
        </w:tc>
        <w:tc>
          <w:tcPr>
            <w:tcW w:w="784"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12</w:t>
            </w:r>
          </w:p>
        </w:tc>
        <w:tc>
          <w:tcPr>
            <w:tcW w:w="852"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8</w:t>
            </w:r>
          </w:p>
        </w:tc>
        <w:tc>
          <w:tcPr>
            <w:tcW w:w="69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64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p>
        </w:tc>
        <w:tc>
          <w:tcPr>
            <w:tcW w:w="95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30</w:t>
            </w:r>
          </w:p>
        </w:tc>
        <w:tc>
          <w:tcPr>
            <w:tcW w:w="98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22</w:t>
            </w:r>
          </w:p>
        </w:tc>
        <w:tc>
          <w:tcPr>
            <w:tcW w:w="84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51"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N/S*</w:t>
            </w:r>
          </w:p>
        </w:tc>
        <w:tc>
          <w:tcPr>
            <w:tcW w:w="70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N/S*</w:t>
            </w:r>
          </w:p>
        </w:tc>
        <w:tc>
          <w:tcPr>
            <w:tcW w:w="73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20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 xml:space="preserve">Pus </w:t>
            </w:r>
            <w:r w:rsidRPr="00376C61">
              <w:rPr>
                <w:sz w:val="16"/>
                <w:szCs w:val="16"/>
              </w:rPr>
              <w:br/>
              <w:t>and sputum</w:t>
            </w:r>
          </w:p>
        </w:tc>
        <w:tc>
          <w:tcPr>
            <w:tcW w:w="920" w:type="dxa"/>
            <w:vAlign w:val="bottom"/>
          </w:tcPr>
          <w:p w:rsidR="00FE6B49" w:rsidRPr="00376C61" w:rsidRDefault="00FE6B49" w:rsidP="00A453E9">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{"citationItems":[{"id":"ITEM-1","itemData":{"DOI":"10.21608/mid.2021.76391.1158","ISBN":"2021.76391.1158","ISSN":"2682-4132","abstract":"Background:  Enterococci are considered as the third most common cause of nosocomial infections. Enterococci acquire antibiotic resistance by gene transfer. Virulence factors facilitate colonization and evasion from the immune system.  Our objectives were to evaluate the distribution of virulence markers and genes among Enterococci isolated from intensive care unit (ICU) in Sohag University Hospital and to determine the antibiotic resistance pattern of enterococci. Methods: Virulence markers were detected by gelatinase test, caseinase test, slime layer production and modified micro titer plate method. PCR is used for identification of enterococcal species and detection of virulence genes as gel E, asa 1, esp, hyl and cyl A.  Antibiotic sensitivity tests were performed by disc diffusion method by using ampicillin, vancomycin, tetracycline, erythromycin and teichoplanin. Vancomycin minimum inhibitory concentrations (MICs) were measured by E-test. Results: Vancomycin resistant Enterococci (VRE) was detected in 38.4 % of isolates.  There was no significant difference in the distribution of all virulence markers between E. faecalis and E. faecium. The hyl gene was more commonly detected in E. faecalis (p-value= 0.01). Enterococci isolated from cases of surgical site infection (SSI) , pneumonia and sepsis contain multiple virulence genes with the highest percentage. Vancomycin  resistance was higher in gel E positive and asa1 positive E. faecalis than negative E. faecalis. Conclusion:  Multi-drug resistance (MDR) was detected in 57.6% of Enterococci. E. faecalis and E. faecium have the same degree of virulence. An association was noted between the esp &lt; /em&gt; &amp; asa 1 genes and biofilm formation.","author":[{"dropping-particle":"","family":"fahmy","given":"nahed","non-dropping-particle":"","parse-names":false,"suffix":""},{"dropping-particle":"","family":"Abdel-Gawad","given":"Abdelhady","non-dropping-particle":"","parse-names":false,"suffix":""},{"dropping-particle":"","family":"Rezk","given":"Ghada","non-dropping-particle":"","parse-names":false,"suffix":""},{"dropping-particle":"","family":"Mahmoud","given":"Ekram","non-dropping-particle":"","parse-names":false,"suffix":""}],"container-title":"Microbes and Infectious Diseases","id":"ITEM-1","issue":"0","issued":{"date-parts":[["2021","11"]]},"page":"0-0","publisher":"Zagazig University, Faculty of Medicine","title":"Characterization of Enterococci isolated from intensive care unit (ICU); Distribution of virulence markers, virulence genes and antibiotic resistance pattern","type":"article-journal","volume":"0"},"uris":["http://www.mendeley.com/documents/?uuid=e23a19ae-5482-4cfd-985b-f46b44eca2c1"]}],"mendeley":{"formattedCitation":"&lt;sup&gt;16&lt;/sup&gt;","plainTextFormattedCitation":"16","previouslyFormattedCitation":"[16]"},"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16</w:t>
            </w:r>
            <w:r>
              <w:rPr>
                <w:sz w:val="16"/>
                <w:szCs w:val="16"/>
              </w:rPr>
              <w:fldChar w:fldCharType="end"/>
            </w:r>
          </w:p>
        </w:tc>
      </w:tr>
      <w:tr w:rsidR="00FE6B49" w:rsidRPr="00376C61"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Fahim(2021)</w:t>
            </w:r>
          </w:p>
        </w:tc>
        <w:tc>
          <w:tcPr>
            <w:tcW w:w="118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Cairo</w:t>
            </w:r>
          </w:p>
        </w:tc>
        <w:tc>
          <w:tcPr>
            <w:tcW w:w="1103"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151</w:t>
            </w:r>
          </w:p>
        </w:tc>
        <w:tc>
          <w:tcPr>
            <w:tcW w:w="73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10</w:t>
            </w:r>
          </w:p>
        </w:tc>
        <w:tc>
          <w:tcPr>
            <w:tcW w:w="120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Vitek 2/ agar dilution method</w:t>
            </w:r>
          </w:p>
        </w:tc>
        <w:tc>
          <w:tcPr>
            <w:tcW w:w="784"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852"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9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4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95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98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84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51"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74</w:t>
            </w:r>
          </w:p>
        </w:tc>
        <w:tc>
          <w:tcPr>
            <w:tcW w:w="70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64</w:t>
            </w:r>
          </w:p>
        </w:tc>
        <w:tc>
          <w:tcPr>
            <w:tcW w:w="73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13</w:t>
            </w:r>
          </w:p>
        </w:tc>
        <w:tc>
          <w:tcPr>
            <w:tcW w:w="120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920" w:type="dxa"/>
            <w:vAlign w:val="bottom"/>
          </w:tcPr>
          <w:p w:rsidR="00FE6B49" w:rsidRPr="00376C61" w:rsidRDefault="00FE6B49" w:rsidP="00A453E9">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{"citationItems":[{"id":"ITEM-1","itemData":{"DOI":"10.1186/s42506-020-00065-8","ISSN":"2090262X","abstract":"Background: The nightmare of the rising numbers of multidrug-resistant organisms (MDROs) requires the implementation of effective stewardship programs. However, this should be preceeded by making available evidence-based knowledge regarding the local antimicrobial resistance pattern, which is fundamental. The aim of the current study is to determine the prevalence of MDRO among different Ain Shams University Hospitals (ASUHs) intensive care units (ICUs) and detect the resistance profile of the common pathogens. Results: The 1-year records of a total of 1280 pathogens were studied. The highest number of pathogens were isolated from blood cultures (44.84%), followed by urine (41.41%) then wound swabs (13.75%). Gram-negative isolates (57.5%) were more prevalent than gram-positive ones (31.1%). The most frequently isolated pathogens were Klebsiella spp. (22.5%), Escherichia coli (13.4%), and Coagulase-negative Staphylococci (12.5%). The highest percentage of resistance among gram-positive organisms was exhibited by penicillin (89.5%) followed by erythromycin (83.98%) and then cefoxitin (76.52%). None of the isolates showed resistance to linezolid and resistance to vancomycin was minimal (2.62%). Gram-negative isolates exhibited high overall resistance to all used antibiotic classes. The least frequency of resistance was recorded against nitrofurantoin (52.5%), amikacin (58.01%), followed by imipenem (59.78%) and meropenem (61.82%). All isolates of Pseudomonas and Acinetobacter showed 100% susceptibility to colistin. Conclusions: The prevalence of antibiotic resistance in Ain Shams University Hospitals (ASUHs) was high among both gram-negative and gram-positive organisms. This high resistance pattern foreshadows an inevitable catastrophe that requires continuous monitoring and implementation of effective antibiotic stewardship.","author":[{"dropping-particle":"","family":"Fahim","given":"Noha Alaa Eldin","non-dropping-particle":"","parse-names":false,"suffix":""}],"container-title":"Journal of the Egyptian Public Health Association","id":"ITEM-1","issue":"1","issued":{"date-parts":[["2021","12"]]},"publisher":"Springer Science and Business Media Deutschland GmbH","title":"Prevalence and antimicrobial susceptibility profile of multidrug-resistant bacteria among intensive care units patients at Ain Shams University Hospitals in Egypt—a retrospective study","type":"article-journal","volume":"96"},"uris":["http://www.mendeley.com/documents/?uuid=86903b98-2f1e-4f86-a5a9-fc662cd06246"]}],"mendeley":{"formattedCitation":"&lt;sup&gt;17&lt;/sup&gt;","plainTextFormattedCitation":"17","previouslyFormattedCitation":"[17]"},"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17</w:t>
            </w:r>
            <w:r>
              <w:rPr>
                <w:sz w:val="16"/>
                <w:szCs w:val="16"/>
              </w:rPr>
              <w:fldChar w:fldCharType="end"/>
            </w:r>
          </w:p>
        </w:tc>
      </w:tr>
      <w:tr w:rsidR="00FE6B49" w:rsidRPr="00376C61" w:rsidTr="00D113D0">
        <w:trPr>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Abdelkareem(2016)</w:t>
            </w:r>
          </w:p>
        </w:tc>
        <w:tc>
          <w:tcPr>
            <w:tcW w:w="118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Minia</w:t>
            </w:r>
          </w:p>
        </w:tc>
        <w:tc>
          <w:tcPr>
            <w:tcW w:w="1103"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57</w:t>
            </w:r>
          </w:p>
        </w:tc>
        <w:tc>
          <w:tcPr>
            <w:tcW w:w="73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w:t>
            </w:r>
          </w:p>
        </w:tc>
        <w:tc>
          <w:tcPr>
            <w:tcW w:w="120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 xml:space="preserve">disk </w:t>
            </w:r>
            <w:r w:rsidRPr="00376C61">
              <w:rPr>
                <w:sz w:val="16"/>
                <w:szCs w:val="16"/>
              </w:rPr>
              <w:br/>
              <w:t>diffusion method</w:t>
            </w:r>
          </w:p>
        </w:tc>
        <w:tc>
          <w:tcPr>
            <w:tcW w:w="784"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852"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9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4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5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8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84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51"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57</w:t>
            </w:r>
          </w:p>
        </w:tc>
        <w:tc>
          <w:tcPr>
            <w:tcW w:w="70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73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20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20" w:type="dxa"/>
            <w:vAlign w:val="bottom"/>
          </w:tcPr>
          <w:p w:rsidR="00FE6B49" w:rsidRPr="00376C61" w:rsidRDefault="00FE6B49" w:rsidP="00A453E9">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{"citationItems":[{"id":"ITEM-1","itemData":{"DOI":"10.1080/1120009X.2016.1182358","ISSN":"19739478","PMID":"27351108","abstract":"The prevalence of Enterococcus faecalis (E. faecalis) infections among Egyptians with urinary tract infection (UTI), their antimicrobial susceptibility and mechanisms of resistance are under investigated. In this study, 300 urine samples were collected from UTI patients to identify E. faecalis. Antimicrobial susceptibility to 18 antimicrobial agents was tested. The presence of aac(6)-Ie-aph(2)Ia, erm(B) and mef(A/E) genes was examined by PCR. Fifty-seven (19%) isolates were identified as E. faecalis. All isolates were sensitive to teicoplanin and were completely resistant to nalidixic acid, cefotaxime and cefadroxil. Multi-drug-resistant (MDR) was found to be 100% with 45 different antibiotypes. The aac(6)Ia-aph(2)Ia gene was found in 100 and 90% of the isolates resistant to gentamicin at concentrations of 120 and 10 μg, respectively. erm(B) and mef(A/E) genes were present in 92.5% (37/40) and 2.5% (1/40) of erythromycin-resistant isolates, respectively. We conclude that there is a high prevalence of E. faecalis in UTI cases with a 100% MDR rate indicating a serious problem in treating infections by this organism in Egypt.","author":[{"dropping-particle":"","family":"Abdelkareem","given":"Mohammad Z.","non-dropping-particle":"","parse-names":false,"suffix":""},{"dropping-particle":"","family":"Sayed","given":"Mohamed","non-dropping-particle":"","parse-names":false,"suffix":""},{"dropping-particle":"","family":"Hassuna","given":"Noha A.","non-dropping-particle":"","parse-names":false,"suffix":""},{"dropping-particle":"","family":"Mahmoud","given":"Mahmoud S.","non-dropping-particle":"","parse-names":false,"suffix":""},{"dropping-particle":"","family":"Abdelwahab","given":"Sayed F.","non-dropping-particle":"","parse-names":false,"suffix":""}],"container-title":"Journal of Chemotherapy","id":"ITEM-1","issue":"2","issued":{"date-parts":[["2017","3"]]},"page":"74-82","publisher":"Taylor and Francis Ltd.","title":"Multi-drug-resistant Enterococcus faecalis among Egyptian patients with urinary tract infection","type":"article-journal","volume":"29"},"uris":["http://www.mendeley.com/documents/?uuid=5ee0cf7f-63f1-48b1-b15e-2ffc2ac4690c"]}],"mendeley":{"formattedCitation":"&lt;sup&gt;18&lt;/sup&gt;","plainTextFormattedCitation":"18","previouslyFormattedCitation":"[18]"},"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18</w:t>
            </w:r>
            <w:r>
              <w:rPr>
                <w:sz w:val="16"/>
                <w:szCs w:val="16"/>
              </w:rPr>
              <w:fldChar w:fldCharType="end"/>
            </w:r>
          </w:p>
        </w:tc>
      </w:tr>
      <w:tr w:rsidR="00FE6B49" w:rsidRPr="00376C61"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Aladarose(2019)</w:t>
            </w:r>
          </w:p>
        </w:tc>
        <w:tc>
          <w:tcPr>
            <w:tcW w:w="118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Mansoura</w:t>
            </w:r>
          </w:p>
        </w:tc>
        <w:tc>
          <w:tcPr>
            <w:tcW w:w="1103"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70</w:t>
            </w:r>
          </w:p>
        </w:tc>
        <w:tc>
          <w:tcPr>
            <w:tcW w:w="73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6</w:t>
            </w:r>
          </w:p>
        </w:tc>
        <w:tc>
          <w:tcPr>
            <w:tcW w:w="120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 xml:space="preserve">disc </w:t>
            </w:r>
            <w:r w:rsidRPr="00376C61">
              <w:rPr>
                <w:sz w:val="16"/>
                <w:szCs w:val="16"/>
              </w:rPr>
              <w:br/>
              <w:t>diffusion method</w:t>
            </w:r>
          </w:p>
        </w:tc>
        <w:tc>
          <w:tcPr>
            <w:tcW w:w="784"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852"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9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4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95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34</w:t>
            </w:r>
          </w:p>
        </w:tc>
        <w:tc>
          <w:tcPr>
            <w:tcW w:w="98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31</w:t>
            </w:r>
          </w:p>
        </w:tc>
        <w:tc>
          <w:tcPr>
            <w:tcW w:w="84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5</w:t>
            </w:r>
          </w:p>
        </w:tc>
        <w:tc>
          <w:tcPr>
            <w:tcW w:w="651"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33</w:t>
            </w:r>
          </w:p>
        </w:tc>
        <w:tc>
          <w:tcPr>
            <w:tcW w:w="70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12</w:t>
            </w:r>
          </w:p>
        </w:tc>
        <w:tc>
          <w:tcPr>
            <w:tcW w:w="73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10</w:t>
            </w:r>
          </w:p>
        </w:tc>
        <w:tc>
          <w:tcPr>
            <w:tcW w:w="120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15</w:t>
            </w:r>
          </w:p>
        </w:tc>
        <w:tc>
          <w:tcPr>
            <w:tcW w:w="920" w:type="dxa"/>
            <w:vAlign w:val="bottom"/>
          </w:tcPr>
          <w:p w:rsidR="00FE6B49" w:rsidRPr="00376C61" w:rsidRDefault="00FE6B49" w:rsidP="00A453E9">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{"citationItems":[{"id":"ITEM-1","itemData":{"DOI":"10.1089/MDR.2018.0320","ISSN":"19318448","PMID":"30811265","abstract":"Background: Although Enterococci compromise an essential part of normal gut microbiota of both animals and humans, they have emerged as a leading opportunistic pathogen causing infections. The pathogenesis of enterococci is attributed to an array of virulence determinants. Objectives: This study aims to explore the prevalence and characteristics of enterococcal clinical isolates collected from Mansoura University Hospitals, Egypt, assess their ability to form biofilm, and the correlation with virulence determinants and antimicrobial resistance. Materials and Methods: A total of 70 Enterococcal clinical isolates were collected from different clinical sources between June and December 2016. Biofilm formation capacity was assessed, and characterization of virulence factors and antibiotic susceptibility was performed. Clonal relatedness between isolates was assessed using enterobacterial repetitive intergenic consensus-PCR (ERIC-PCR) approach. Results and Conclusion: The molecular analysis demonstrated high genetic diversity among enterococcal clinical isolates. The gelE was the most frequently detected gene (91.4%), followed by asa1 (70%), esp (65.7%), and cylA (17.1%), while hyl was not detected in any isolate. Gelatinase activity was detected in 35.7%, while hemolysin and lipase activity was detected in 12.9% and 78.5%, respectively. Most of the enterococcal isolates were biofilm producers, of which 67.1% were strong/moderate biofilm producers. All linezolid-resistant isolates exhibited strong/moderate biofilm formation capacity. Strong/moderate biofilm formation was more frequently observed among esp-positive (esp+) and gelatinase nonproducing (gelatinase-) enterococcal isolates. Multiple regression analysis denoted that esp (odds ratio [OR] 5.371, p = 0.003) and gelatinase production (OR 0.264, p = 0.015) were associated with strong/moderate biofilm formation capacity. These findings suggest that esp gene positivity and gelatinase production may affect biofilm formation capacity among enterococcal clinical isolates.","author":[{"dropping-particle":"","family":"Aladarose","given":"Basant Elmetwally","non-dropping-particle":"","parse-names":false,"suffix":""},{"dropping-particle":"","family":"Said","given":"Heba Shehta","non-dropping-particle":"","parse-names":false,"suffix":""},{"dropping-particle":"","family":"Abdelmegeed","given":"Eman Salama","non-dropping-particle":"","parse-names":false,"suffix":""}],"container-title":"Microbial Drug Resistance","id":"ITEM-1","issue":"6","issued":{"date-parts":[["2019","7"]]},"page":"880-889","publisher":"Mary Ann Liebert Inc.","title":"Incidence of Virulence Determinants among Enterococcal Clinical Isolates in Egypt and Its Association with Biofilm Formation","type":"article-journal","volume":"25"},"uris":["http://www.mendeley.com/documents/?uuid=c283118c-3d38-453e-9e37-e74d42e13007"]}],"mendeley":{"formattedCitation":"&lt;sup&gt;19&lt;/sup&gt;","plainTextFormattedCitation":"19","previouslyFormattedCitation":"[19]"},"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19</w:t>
            </w:r>
            <w:r>
              <w:rPr>
                <w:sz w:val="16"/>
                <w:szCs w:val="16"/>
              </w:rPr>
              <w:fldChar w:fldCharType="end"/>
            </w:r>
          </w:p>
        </w:tc>
      </w:tr>
      <w:tr w:rsidR="00FE6B49" w:rsidRPr="00376C61" w:rsidTr="00D113D0">
        <w:trPr>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Gaballah(2022)</w:t>
            </w:r>
          </w:p>
        </w:tc>
        <w:tc>
          <w:tcPr>
            <w:tcW w:w="118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Alexandria and</w:t>
            </w:r>
          </w:p>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EL Behira</w:t>
            </w:r>
          </w:p>
        </w:tc>
        <w:tc>
          <w:tcPr>
            <w:tcW w:w="1103"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30</w:t>
            </w:r>
          </w:p>
        </w:tc>
        <w:tc>
          <w:tcPr>
            <w:tcW w:w="73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5</w:t>
            </w:r>
          </w:p>
        </w:tc>
        <w:tc>
          <w:tcPr>
            <w:tcW w:w="120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vitek 2</w:t>
            </w:r>
          </w:p>
        </w:tc>
        <w:tc>
          <w:tcPr>
            <w:tcW w:w="784"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852"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9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4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5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17</w:t>
            </w:r>
          </w:p>
        </w:tc>
        <w:tc>
          <w:tcPr>
            <w:tcW w:w="98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13</w:t>
            </w:r>
          </w:p>
        </w:tc>
        <w:tc>
          <w:tcPr>
            <w:tcW w:w="84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51"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70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30</w:t>
            </w:r>
          </w:p>
        </w:tc>
        <w:tc>
          <w:tcPr>
            <w:tcW w:w="73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20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20" w:type="dxa"/>
            <w:vAlign w:val="bottom"/>
          </w:tcPr>
          <w:p w:rsidR="00FE6B49" w:rsidRPr="00376C61" w:rsidRDefault="00FE6B49" w:rsidP="00A453E9">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{"citationItems":[{"id":"ITEM-1","itemData":{"DOI":"10.21608/mid.2022.129600.1265","abstract":"This is an open access article under the CC BY 4.0 license https://creativecommons.org/licenses/by/4.0/. Introduction Neonatal sepsis is a leading global health problem. The global prevalence is one to ten per one thousand live births. The problem of sepsis is greater in developing countries. The mortality rate of sepsis may reach 50% for untreated newborns. Early onset neonatal sepsis (EOS) is caused by the transmission of pathogens to the fetus from the mother during delivery. Late onset neonatal sepsis (LOS) on the other hand, occurs by transmission of pathogens to the newborn after delivery, such as contact with healthcare workers and Midwives. Neonatal sepsis is manifested with a diversity of systemic signs and symptoms and confirmed by isolation of an infectious agent from the blood [1,2]. Neonatal sepsis is widely classified into EOS and LOS. Early onset sepsis is defined as sepsis within 48-72 hours of birth, it is associated with bacteremia with or without meningitis. The Keywords: Neonatal sepsis Early onset sepsis Late onset sepsis Multi drug resistance BACT/ALERT m A B S T R A C T Background: This study aimed at analyzing the microbiological profile of neonatal sepsis in Egypt and to determine the antibiotic susceptibility patterns of the isolated microorganisms. Methods: Two thousand and four hundred blood samples were collected from neonates showing symptoms suggestive of septicemia, inoculated into BACT/ALERT culture bottles. Positive blood culture samples were identified and tested for antimicrobial susceptibility. Results: Among the neonates included in our study, 457 (19%) neonates were positively diagnosed with sepsis. early onset neonatal sepsis (EOS) was detected in 181 (39.6%), while late-onset neonatal sepsis (LOS) in 276 (60.4%) cases. Klebsiella pneumoniae was the most commonly isolated microorganism. Staphylococcus aureus and Enterococcus spp. were the most common isolated Gram-positive bacteria. Candida spp. was more encountered in LOS. An alarming feature of the present study is the high incidence of multidrug resistant microorganisms (65%). Among Gram negative isolates (56%) of were extended spectrum beta-lactamase (ESBL) producers and (70.5%) were carbapenem resistant. In Gram positive bacteria, resistance to methicillin in S. aureus and coagulase negative staphylococci were detected in (50%) and (41%) of isolates respectively. Additionally, 17% of Enterococcus isolates were vancomycin resistant. Coclusion: Our bacteriologi…","author":[{"dropping-particle":"","family":"Gaballah","given":"Ahmed","non-dropping-particle":"","parse-names":false,"suffix":""},{"dropping-particle":"","family":"Shawky","given":"Sherine","non-dropping-particle":"","parse-names":false,"suffix":""},{"dropping-particle":"","family":"Amer","given":"Ahmed","non-dropping-particle":"","parse-names":false,"suffix":""}],"container-title":"Microbes and Infectious Diseases","id":"ITEM-1","issue":"0","issued":{"date-parts":[["2022"]]},"page":"0-0","publisher":"Aericle-In-Press","title":"Microbiological profiles of neonatal sepsis in northern Egypt","type":"article-journal","volume":"0"},"uris":["http://www.mendeley.com/documents/?uuid=d5e37b73-8132-45f8-a641-7025edfcbea6"]}],"mendeley":{"formattedCitation":"&lt;sup&gt;20&lt;/sup&gt;","plainTextFormattedCitation":"20","previouslyFormattedCitation":"[20]"},"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20</w:t>
            </w:r>
            <w:r>
              <w:rPr>
                <w:sz w:val="16"/>
                <w:szCs w:val="16"/>
              </w:rPr>
              <w:fldChar w:fldCharType="end"/>
            </w:r>
          </w:p>
        </w:tc>
      </w:tr>
      <w:tr w:rsidR="00FE6B49" w:rsidRPr="00376C61" w:rsidTr="00D113D0">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Alzahrani(2020)</w:t>
            </w:r>
          </w:p>
        </w:tc>
        <w:tc>
          <w:tcPr>
            <w:tcW w:w="118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Cairo</w:t>
            </w:r>
          </w:p>
        </w:tc>
        <w:tc>
          <w:tcPr>
            <w:tcW w:w="1103"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59</w:t>
            </w:r>
          </w:p>
        </w:tc>
        <w:tc>
          <w:tcPr>
            <w:tcW w:w="73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20</w:t>
            </w:r>
          </w:p>
        </w:tc>
        <w:tc>
          <w:tcPr>
            <w:tcW w:w="120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disk diffusion</w:t>
            </w:r>
          </w:p>
        </w:tc>
        <w:tc>
          <w:tcPr>
            <w:tcW w:w="784"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15</w:t>
            </w:r>
          </w:p>
        </w:tc>
        <w:tc>
          <w:tcPr>
            <w:tcW w:w="852"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w:t>
            </w:r>
          </w:p>
        </w:tc>
        <w:tc>
          <w:tcPr>
            <w:tcW w:w="69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4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95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35</w:t>
            </w:r>
          </w:p>
        </w:tc>
        <w:tc>
          <w:tcPr>
            <w:tcW w:w="98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15</w:t>
            </w:r>
          </w:p>
        </w:tc>
        <w:tc>
          <w:tcPr>
            <w:tcW w:w="84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9</w:t>
            </w:r>
          </w:p>
        </w:tc>
        <w:tc>
          <w:tcPr>
            <w:tcW w:w="651"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12</w:t>
            </w:r>
          </w:p>
        </w:tc>
        <w:tc>
          <w:tcPr>
            <w:tcW w:w="70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9</w:t>
            </w:r>
          </w:p>
        </w:tc>
        <w:tc>
          <w:tcPr>
            <w:tcW w:w="73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10</w:t>
            </w:r>
          </w:p>
        </w:tc>
        <w:tc>
          <w:tcPr>
            <w:tcW w:w="120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28</w:t>
            </w:r>
          </w:p>
        </w:tc>
        <w:tc>
          <w:tcPr>
            <w:tcW w:w="920" w:type="dxa"/>
            <w:vAlign w:val="bottom"/>
          </w:tcPr>
          <w:p w:rsidR="00FE6B49" w:rsidRPr="00376C61" w:rsidRDefault="00FE6B49" w:rsidP="00A453E9">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{"citationItems":[{"id":"ITEM-1","itemData":{"DOI":"10.29328/journal.abb.1001018","abstract":"Fifty nine isolates belonging to six species of Enterococci namely, Enterococcus faecalis, Enterococcus faecium, Enterococcus raffinosus, Enterococcus durans, Enterococcus mundtiiand Enterococcus avium (n = 35, 15, 4, 3, 1 and 1 isolates, respectively) were obtained from different clinical specimens including urine, pus, blood, wound, sputum and synovial fluid. The highest numbers of Enterococci were recorded from the pus (20 isolates, 33.90%) followed by urine (12 isolates, 20.34%) while the lowest frequency was observed with synovial fluid samples (2 isolates, 3.39%). These isolates showed different multidrug resistant patterns with the lowest resistant for linezolid (n = 5, 8.48%), followed by teicoplanin (n = 14, 23.73%) and vancomycin (n = 20, 33.90%) while they exhibited the highest resistant against penicillin (n = 53, 89.83%), oxacillin (n = 50, 84.75%), erythromycin (n = 49, 83.05%) and streptomycin (n = 47, 79.66 %). On the other hand, a free living marine bacterium under isolation code ESRAA3010 was isolated from seawater samples obtained from the fishing area Masturah, Red Sea, Jeddah, Saudi Arabia. The phenotypic, chemotaxonomic, 16S rRNA gene analyses and phylogenetic data proved that isolate ESRAA3010 is very close to Bacillus subtilis and then it was designated as Bacillus subtilis ESRAA3010. It gave the highest antagonistic activity against all clinical Enterococcus faecalis, Enterococcus faecium, Enterococcus raffinosus, Enterococcus durans, Enterococcus mundtiiand Enterococcus avium isolates under study with minimum inhibitory concentration (MIC) ranged from 4 to 56 µg/mL, 4 to 12 µg/mL, 4 to 8 µg/mL, 4 to 8 µg/mL, 8 µg/mL and 4 µg/mL, respectively as well as minimum bactericidal concentration (MBC) (8 to 64 µg/mL, 4 to 16 µg/mL, 4 to 12 µg/mL, 4 to 16 µg/mL, 12 µg/mL and 8 µg/mL, respectively). Moreover it showed anti-proliferative activity against colon (HCT-116), liver (HepG-2), breast (MCF-7) and lung (A-549) carcinomas with IC50 equal to 39, 50, 75 and 19 µg/mL, respectively which indicates its prospective usage in the upcoming decades.","author":[{"dropping-particle":"","family":"Nourah Hassan","given":"Alzahran","non-dropping-particle":"","parse-names":false,"suffix":""},{"dropping-particle":"","family":"Esraa Ahmed","given":"Mohamed","non-dropping-particle":"","parse-names":false,"suffix":""}],"container-title":"Archives of Biotechnology and Biomedicine","id":"ITEM-1","issue":"1","issued":{"date-parts":[["2020"]]},"page":"018-027","title":"Evaluation of the antibacterial and anticancer activities of marine Bacillus subtilis ESRAA3010 against different multidrug resistant Enterococci (MDRE) and cancer cell lines","type":"article-journal","volume":"4"},"uris":["http://www.mendeley.com/documents/?uuid=aa0a3f5a-cfe4-4e5e-87f4-e5fc3a4cba38"]}],"mendeley":{"formattedCitation":"&lt;sup&gt;21&lt;/sup&gt;","plainTextFormattedCitation":"21","previouslyFormattedCitation":"[21]"},"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21</w:t>
            </w:r>
            <w:r>
              <w:rPr>
                <w:sz w:val="16"/>
                <w:szCs w:val="16"/>
              </w:rPr>
              <w:fldChar w:fldCharType="end"/>
            </w:r>
          </w:p>
        </w:tc>
      </w:tr>
      <w:tr w:rsidR="00FE6B49" w:rsidRPr="00376C61" w:rsidTr="00D113D0">
        <w:trPr>
          <w:trHeight w:val="360"/>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lastRenderedPageBreak/>
              <w:t>Esmail(2019)</w:t>
            </w:r>
          </w:p>
        </w:tc>
        <w:tc>
          <w:tcPr>
            <w:tcW w:w="118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Minia</w:t>
            </w:r>
          </w:p>
        </w:tc>
        <w:tc>
          <w:tcPr>
            <w:tcW w:w="1103"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26</w:t>
            </w:r>
          </w:p>
        </w:tc>
        <w:tc>
          <w:tcPr>
            <w:tcW w:w="73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14</w:t>
            </w:r>
          </w:p>
        </w:tc>
        <w:tc>
          <w:tcPr>
            <w:tcW w:w="120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 xml:space="preserve">disk </w:t>
            </w:r>
            <w:r w:rsidRPr="00376C61">
              <w:rPr>
                <w:sz w:val="16"/>
                <w:szCs w:val="16"/>
              </w:rPr>
              <w:br/>
              <w:t>diffusion method</w:t>
            </w:r>
          </w:p>
        </w:tc>
        <w:tc>
          <w:tcPr>
            <w:tcW w:w="784"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14</w:t>
            </w:r>
          </w:p>
        </w:tc>
        <w:tc>
          <w:tcPr>
            <w:tcW w:w="852"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0</w:t>
            </w:r>
          </w:p>
        </w:tc>
        <w:tc>
          <w:tcPr>
            <w:tcW w:w="69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10</w:t>
            </w:r>
          </w:p>
        </w:tc>
        <w:tc>
          <w:tcPr>
            <w:tcW w:w="64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5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26</w:t>
            </w:r>
          </w:p>
        </w:tc>
        <w:tc>
          <w:tcPr>
            <w:tcW w:w="98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0</w:t>
            </w:r>
          </w:p>
        </w:tc>
        <w:tc>
          <w:tcPr>
            <w:tcW w:w="84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0</w:t>
            </w:r>
          </w:p>
        </w:tc>
        <w:tc>
          <w:tcPr>
            <w:tcW w:w="651"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70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w:t>
            </w:r>
          </w:p>
        </w:tc>
        <w:tc>
          <w:tcPr>
            <w:tcW w:w="73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24</w:t>
            </w:r>
          </w:p>
        </w:tc>
        <w:tc>
          <w:tcPr>
            <w:tcW w:w="120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20" w:type="dxa"/>
            <w:vAlign w:val="bottom"/>
          </w:tcPr>
          <w:p w:rsidR="00FE6B49" w:rsidRPr="00376C61" w:rsidRDefault="00FE6B49" w:rsidP="00A453E9">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{"citationItems":[{"id":"ITEM-1","itemData":{"DOI":"10.1177/1178633719882929","ISSN":"1178-6337","abstract":"Background The study aimed to assess the prevalence of Enterococcus faecalis infections among patients with hospital-acquired surgical wound sepsis and bacteremia in surgical wards and identify the antimicrobial susceptibility in these pathogens. Genetic role of erythromycin, vancomycin, and cephalosporin resistance in these pathogens was also examined. Methods Two hundred samples were collected from surgical wound infections and 100 blood cultures from patients with suggested bacteremia to identify E faecalis by phenotypic and genotypic methods. Antimicrobial susceptibility to 12 antimicrobial agents was tested. The presence of resistance genes was examined by polymerase chain reaction (PCR) assay. Results E faecalis was isolated with a frequency of 24/200 (12%) from surgical wound samples and 2/100 (2%) from blood cultures. All isolates were completely resistant to cefepime, ampicillin, and tetracycline, 96% of isolates were resistant to erythromycin, 53.8% to vancomycin, and 23.1% to linezolid. Multidrug resistance (MDR) was found in 100% of isolates. ere(B) and erm(B) genes were present in 20/25 (80%) and 17/25 (68%) of erythromycin-resistant isolates, respectively, 15 (60%) isolates carry both ere(B) and erm(B) genes. Van A gene was detected in 71.4% of vancomycin-resistant isolates. All isolates were negative for mef(A/E), blaSHV, and blaTEM genes. Conclusion MDR in all isolates (100%) and high-level resistance to gentamicin, erythromycin, and vancomycin were reported in E Faecalis isolates. In the studied isolates, erythromycin resistance mainly related to the presence of ere(B) and erm(B) genes and vancomycin resistance was mainly related to the presence of vanA gene.","author":[{"dropping-particle":"","family":"Esmail","given":"Mona Abdel Monem","non-dropping-particle":"","parse-names":false,"suffix":""},{"dropping-particle":"","family":"Abdulghany","given":"Hend M","non-dropping-particle":"","parse-names":false,"suffix":""},{"dropping-particle":"","family":"Khairy","given":"Rasha MM","non-dropping-particle":"","parse-names":false,"suffix":""}],"container-title":"Infectious Diseases: Research and Treatment","id":"ITEM-1","issued":{"date-parts":[["2019","1"]]},"page":"117863371988292","publisher":"SAGE Publications","title":" Prevalence of Multidrug-Resistant Enterococcus faecalis in Hospital-Acquired Surgical Wound Infections and Bacteremia: Concomitant Analysis of Antimicrobial Resistance Genes ","type":"article-journal","volume":"12"},"uris":["http://www.mendeley.com/documents/?uuid=88525552-2004-40f9-8fe8-9cb11bc76358"]}],"mendeley":{"formattedCitation":"&lt;sup&gt;22&lt;/sup&gt;","plainTextFormattedCitation":"22","previouslyFormattedCitation":"[22]"},"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22</w:t>
            </w:r>
            <w:r>
              <w:rPr>
                <w:sz w:val="16"/>
                <w:szCs w:val="16"/>
              </w:rPr>
              <w:fldChar w:fldCharType="end"/>
            </w:r>
          </w:p>
        </w:tc>
      </w:tr>
      <w:tr w:rsidR="00FE6B49" w:rsidRPr="00376C61" w:rsidTr="00D113D0">
        <w:trPr>
          <w:cnfStyle w:val="000000100000" w:firstRow="0" w:lastRow="0" w:firstColumn="0" w:lastColumn="0" w:oddVBand="0" w:evenVBand="0" w:oddHBand="1" w:evenHBand="0" w:firstRowFirstColumn="0" w:firstRowLastColumn="0" w:lastRowFirstColumn="0" w:lastRowLastColumn="0"/>
          <w:trHeight w:val="55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El-Masry(2015)</w:t>
            </w:r>
          </w:p>
        </w:tc>
        <w:tc>
          <w:tcPr>
            <w:tcW w:w="118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Menofia</w:t>
            </w:r>
          </w:p>
        </w:tc>
        <w:tc>
          <w:tcPr>
            <w:tcW w:w="1103"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34</w:t>
            </w:r>
          </w:p>
        </w:tc>
        <w:tc>
          <w:tcPr>
            <w:tcW w:w="73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22</w:t>
            </w:r>
          </w:p>
        </w:tc>
        <w:tc>
          <w:tcPr>
            <w:tcW w:w="120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broth dilution</w:t>
            </w:r>
          </w:p>
        </w:tc>
        <w:tc>
          <w:tcPr>
            <w:tcW w:w="784"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14</w:t>
            </w:r>
          </w:p>
        </w:tc>
        <w:tc>
          <w:tcPr>
            <w:tcW w:w="852"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8</w:t>
            </w:r>
          </w:p>
        </w:tc>
        <w:tc>
          <w:tcPr>
            <w:tcW w:w="69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12</w:t>
            </w:r>
          </w:p>
        </w:tc>
        <w:tc>
          <w:tcPr>
            <w:tcW w:w="64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6</w:t>
            </w:r>
          </w:p>
        </w:tc>
        <w:tc>
          <w:tcPr>
            <w:tcW w:w="95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22</w:t>
            </w:r>
          </w:p>
        </w:tc>
        <w:tc>
          <w:tcPr>
            <w:tcW w:w="98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12</w:t>
            </w:r>
          </w:p>
        </w:tc>
        <w:tc>
          <w:tcPr>
            <w:tcW w:w="84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0</w:t>
            </w:r>
          </w:p>
        </w:tc>
        <w:tc>
          <w:tcPr>
            <w:tcW w:w="651"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34</w:t>
            </w:r>
          </w:p>
        </w:tc>
        <w:tc>
          <w:tcPr>
            <w:tcW w:w="70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73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20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tl/>
              </w:rPr>
            </w:pPr>
            <w:r>
              <w:rPr>
                <w:sz w:val="16"/>
                <w:szCs w:val="16"/>
              </w:rPr>
              <w:t>-</w:t>
            </w:r>
          </w:p>
        </w:tc>
        <w:tc>
          <w:tcPr>
            <w:tcW w:w="920" w:type="dxa"/>
            <w:vAlign w:val="bottom"/>
          </w:tcPr>
          <w:p w:rsidR="00FE6B49" w:rsidRPr="00376C61" w:rsidRDefault="00FE6B49" w:rsidP="00A453E9">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{"citationItems":[{"id":"ITEM-1","itemData":{"abstract":"Vancomycin resistant Enterococci (VRE) are becoming a major emergence problem concern in urinary tract infection (UTI) at Shpin Elkom Teaching Hospitals, Menofia University. The aim of study to estimate the extent of spread of Enterococcai infection as well as vancomycin-resistant. Enterococci were isolated from 200 UTI patients and identified as E. faecalis by biochemical tests using the API test kit. VRE was determined by agar disc diffusion. The results showed that, 34 (26.5%) Enterococci were isolated from UTI patients. E. faecalis (64.7%) was the most common isolate followed by E. faecium (35.3%) out of 34 UTI patients. Among the UTI 64.7% Enterococci were phenotypically resistant to Vancomycin. Vancomycin resistance genes (vanA, vanB) and biofilm formation (esp gene) were detected by amplifying the respective genes by PCR. This study shows increase prevalence of Enterococci and VRE isolates as a cause of urinary tract infection in our hospitals. It should be still careful of appropriate use of antibiotics such as vancomycin. Detection and containment of VRE, a more targeted, systematic approach is needed among patients.","author":[{"dropping-particle":"","family":"El-Masry","given":"E A","non-dropping-particle":"","parse-names":false,"suffix":""},{"dropping-particle":"","family":"Awad","given":"E T","non-dropping-particle":"","parse-names":false,"suffix":""},{"dropping-particle":"","family":"Yassin","given":"M H","non-dropping-particle":"","parse-names":false,"suffix":""}],"container-title":"Journal of Pure and Applied Microbiology","id":"ITEM-1","issue":"3","issued":{"date-parts":[["2015"]]},"page":"1859-1866","title":"Antibiotic resistance, molecular typing, biofilm formation in Enterococcai isolates causing urinary tract infection","type":"article-journal","volume":"9"},"uris":["http://www.mendeley.com/documents/?uuid=5e34aade-b77e-4ccb-a258-29cf775f101e"]}],"mendeley":{"formattedCitation":"&lt;sup&gt;23&lt;/sup&gt;","plainTextFormattedCitation":"23","previouslyFormattedCitation":"[23]"},"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23</w:t>
            </w:r>
            <w:r>
              <w:rPr>
                <w:sz w:val="16"/>
                <w:szCs w:val="16"/>
              </w:rPr>
              <w:fldChar w:fldCharType="end"/>
            </w:r>
          </w:p>
        </w:tc>
      </w:tr>
      <w:tr w:rsidR="00FE6B49" w:rsidRPr="00376C61" w:rsidTr="00D113D0">
        <w:trPr>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Hassan(2021)</w:t>
            </w:r>
          </w:p>
        </w:tc>
        <w:tc>
          <w:tcPr>
            <w:tcW w:w="118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Mansoura</w:t>
            </w:r>
          </w:p>
        </w:tc>
        <w:tc>
          <w:tcPr>
            <w:tcW w:w="1103"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25</w:t>
            </w:r>
          </w:p>
        </w:tc>
        <w:tc>
          <w:tcPr>
            <w:tcW w:w="73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5</w:t>
            </w:r>
          </w:p>
        </w:tc>
        <w:tc>
          <w:tcPr>
            <w:tcW w:w="1206"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disk diffusion</w:t>
            </w:r>
          </w:p>
        </w:tc>
        <w:tc>
          <w:tcPr>
            <w:tcW w:w="784"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852"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9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4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5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98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84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651"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N/S*</w:t>
            </w:r>
          </w:p>
        </w:tc>
        <w:tc>
          <w:tcPr>
            <w:tcW w:w="705"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N/S*</w:t>
            </w:r>
          </w:p>
        </w:tc>
        <w:tc>
          <w:tcPr>
            <w:tcW w:w="738"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t>-</w:t>
            </w:r>
          </w:p>
        </w:tc>
        <w:tc>
          <w:tcPr>
            <w:tcW w:w="1209" w:type="dxa"/>
            <w:noWrap/>
            <w:vAlign w:val="bottom"/>
            <w:hideMark/>
          </w:tcPr>
          <w:p w:rsidR="00FE6B49" w:rsidRPr="00376C61" w:rsidRDefault="00FE6B49" w:rsidP="00D113D0">
            <w:pPr>
              <w:jc w:val="center"/>
              <w:cnfStyle w:val="000000000000" w:firstRow="0" w:lastRow="0" w:firstColumn="0" w:lastColumn="0" w:oddVBand="0" w:evenVBand="0" w:oddHBand="0" w:evenHBand="0" w:firstRowFirstColumn="0" w:firstRowLastColumn="0" w:lastRowFirstColumn="0" w:lastRowLastColumn="0"/>
              <w:rPr>
                <w:sz w:val="16"/>
                <w:szCs w:val="16"/>
              </w:rPr>
            </w:pPr>
            <w:r w:rsidRPr="00376C61">
              <w:rPr>
                <w:sz w:val="16"/>
                <w:szCs w:val="16"/>
              </w:rPr>
              <w:t xml:space="preserve">surgical </w:t>
            </w:r>
            <w:r w:rsidRPr="00376C61">
              <w:rPr>
                <w:sz w:val="16"/>
                <w:szCs w:val="16"/>
              </w:rPr>
              <w:br/>
              <w:t xml:space="preserve">site </w:t>
            </w:r>
            <w:r w:rsidRPr="00376C61">
              <w:rPr>
                <w:sz w:val="16"/>
                <w:szCs w:val="16"/>
              </w:rPr>
              <w:br/>
              <w:t>swabs, bronchial aspirate</w:t>
            </w:r>
          </w:p>
        </w:tc>
        <w:tc>
          <w:tcPr>
            <w:tcW w:w="920" w:type="dxa"/>
            <w:vAlign w:val="bottom"/>
          </w:tcPr>
          <w:p w:rsidR="00FE6B49" w:rsidRPr="00376C61" w:rsidRDefault="00FE6B49" w:rsidP="00A453E9">
            <w:pPr>
              <w:jc w:val="center"/>
              <w:cnfStyle w:val="000000000000" w:firstRow="0" w:lastRow="0" w:firstColumn="0" w:lastColumn="0" w:oddVBand="0" w:evenVBand="0" w:oddHBand="0"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10.36959/547/645","author":[{"dropping-particle":"","family":"Rania","given":"Hassan","non-dropping-particle":"","parse-names":false,"suffix":""},{"dropping-particle":"","family":"Abdel-Hady","given":"El-Gilany","non-dropping-particle":"","parse-names":false,"suffix":""},{"dropping-particle":"","family":"Amina M Abd","given":"Elaal","non-dropping-particle":"","parse-names":false,"suffix":""},{"dropping-particle":"","family":"Noha","given":"El-Mashad","non-dropping-particle":"","parse-names":false,"suffix":""},{"dropping-particle":"","family":"Dalia","given":"Abdelazim","non-dropping-particle":"","parse-names":false,"suffix":""}],"container-title":"Archives of Community Medicine","id":"ITEM-1","issue":"1","issued":{"date-parts":[["2021"]]},"title":"Antibiotic Resistance Pattern of Bacteria Causing Hospital Acquired Infections in the New Mansoura General Hospital, Egypt","type":"article-journal","volume":"3"},"uris":["http://www.mendeley.com/documents/?uuid=77542270-6a8d-4786-ad4f-62ad599dc1d8"]}],"mendeley":{"formattedCitation":"&lt;sup&gt;24&lt;/sup&gt;","plainTextFormattedCitation":"24","previouslyFormattedCitation":"[24]"},"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24</w:t>
            </w:r>
            <w:r>
              <w:rPr>
                <w:sz w:val="16"/>
                <w:szCs w:val="16"/>
              </w:rPr>
              <w:fldChar w:fldCharType="end"/>
            </w:r>
          </w:p>
        </w:tc>
      </w:tr>
      <w:tr w:rsidR="00FE6B49" w:rsidRPr="00376C61"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507" w:type="dxa"/>
            <w:noWrap/>
            <w:vAlign w:val="bottom"/>
            <w:hideMark/>
          </w:tcPr>
          <w:p w:rsidR="00FE6B49" w:rsidRPr="00376C61" w:rsidRDefault="00FE6B49" w:rsidP="00D113D0">
            <w:pPr>
              <w:rPr>
                <w:b w:val="0"/>
                <w:bCs w:val="0"/>
                <w:sz w:val="16"/>
                <w:szCs w:val="16"/>
              </w:rPr>
            </w:pPr>
            <w:r w:rsidRPr="00376C61">
              <w:rPr>
                <w:b w:val="0"/>
                <w:bCs w:val="0"/>
                <w:sz w:val="16"/>
                <w:szCs w:val="16"/>
              </w:rPr>
              <w:t>Serry(2016)</w:t>
            </w:r>
          </w:p>
        </w:tc>
        <w:tc>
          <w:tcPr>
            <w:tcW w:w="118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Zagazig</w:t>
            </w:r>
          </w:p>
        </w:tc>
        <w:tc>
          <w:tcPr>
            <w:tcW w:w="1103"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127</w:t>
            </w:r>
          </w:p>
        </w:tc>
        <w:tc>
          <w:tcPr>
            <w:tcW w:w="73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13</w:t>
            </w:r>
          </w:p>
        </w:tc>
        <w:tc>
          <w:tcPr>
            <w:tcW w:w="1206"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disc diffusion</w:t>
            </w:r>
          </w:p>
        </w:tc>
        <w:tc>
          <w:tcPr>
            <w:tcW w:w="784"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4</w:t>
            </w:r>
          </w:p>
        </w:tc>
        <w:tc>
          <w:tcPr>
            <w:tcW w:w="852"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9</w:t>
            </w:r>
          </w:p>
        </w:tc>
        <w:tc>
          <w:tcPr>
            <w:tcW w:w="69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64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95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70</w:t>
            </w:r>
          </w:p>
        </w:tc>
        <w:tc>
          <w:tcPr>
            <w:tcW w:w="98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57</w:t>
            </w:r>
          </w:p>
        </w:tc>
        <w:tc>
          <w:tcPr>
            <w:tcW w:w="84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0</w:t>
            </w:r>
          </w:p>
        </w:tc>
        <w:tc>
          <w:tcPr>
            <w:tcW w:w="651"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sidRPr="00376C61">
              <w:rPr>
                <w:sz w:val="16"/>
                <w:szCs w:val="16"/>
              </w:rPr>
              <w:t>127</w:t>
            </w:r>
          </w:p>
        </w:tc>
        <w:tc>
          <w:tcPr>
            <w:tcW w:w="705"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738"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1209" w:type="dxa"/>
            <w:noWrap/>
            <w:vAlign w:val="bottom"/>
            <w:hideMark/>
          </w:tcPr>
          <w:p w:rsidR="00FE6B49" w:rsidRPr="00376C61" w:rsidRDefault="00FE6B49" w:rsidP="00D113D0">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t>-</w:t>
            </w:r>
          </w:p>
        </w:tc>
        <w:tc>
          <w:tcPr>
            <w:tcW w:w="920" w:type="dxa"/>
            <w:vAlign w:val="bottom"/>
          </w:tcPr>
          <w:p w:rsidR="00FE6B49" w:rsidRPr="00376C61" w:rsidRDefault="00FE6B49" w:rsidP="00A453E9">
            <w:pPr>
              <w:jc w:val="center"/>
              <w:cnfStyle w:val="000000100000" w:firstRow="0" w:lastRow="0" w:firstColumn="0" w:lastColumn="0" w:oddVBand="0" w:evenVBand="0" w:oddHBand="1" w:evenHBand="0" w:firstRowFirstColumn="0" w:firstRowLastColumn="0" w:lastRowFirstColumn="0" w:lastRowLastColumn="0"/>
              <w:rPr>
                <w:sz w:val="16"/>
                <w:szCs w:val="16"/>
              </w:rPr>
            </w:pPr>
            <w:r>
              <w:rPr>
                <w:sz w:val="16"/>
                <w:szCs w:val="16"/>
              </w:rPr>
              <w:fldChar w:fldCharType="begin" w:fldLock="1"/>
            </w:r>
            <w:r w:rsidR="00A453E9">
              <w:rPr>
                <w:sz w:val="16"/>
                <w:szCs w:val="16"/>
              </w:rPr>
              <w:instrText>ADDIN CSL_CITATION {"citationItems":[{"id":"ITEM-1","itemData":{"DOI":"10.21608/zjps.2016.38137","abstract":"This study aims to investigate the resistance profile of enterococci to commonly used antibiotics to provide correct treatment of urinary tract infections and to stop the continual emergence of highly resistant species of bacteria. Three hundred and twenty five (325) urine samples were collected from patients in Urinary Tract (UT) Department and Outpatient urinary tract clinic of Zagazig University Hospitals in Zagazig city, Sharkia, Egypt. One hundred and twenty seven enterococcal isolates (39.1%) were isolated from urine samples. Seventy (55.1%) of enterococcal isolates were Enterococcus faecalis and fifty seven (44.9%) of enterococcal isolates were Enterococcus faecium. All the isolates are identified and the sensitivity to a number of antibiotics was determined by disc diffusion method. Using standard breakpoint sensitivity values: the highest percentages of resistance of enterococcal isolates were found for penicillin G, rifampin, erythromycin, doxycycline, ampicillin, lincomycin and amoxicillin. The moderate percentages of resistance were found for ciprofloxacin, azithromycin, clarithromycin and spiramycin, gentamicin and clindamycin, whereas the lowest percentages of resistance were seen for and chloramphenicol, vancomycin, teicoplanin, sulphamethoxazole/trimethoprim and imipenem. These values are seemed to be higher than wide world values. This is probably due to the variation in the bacterial sensitivity pattern over time and between different geographical districts, misusing of antibiotics and not continuing the antibiotic therapy for sufficient period of time. In conclusion, this high resistance rate represents a dangerous alarm that necessitates the search for new therapeutic options. ________________________________________________________________________________","author":[{"dropping-particle":"","family":"Serry","given":"Fathy","non-dropping-particle":"","parse-names":false,"suffix":""},{"dropping-particle":"","family":"Elmasry","given":"Eman","non-dropping-particle":"","parse-names":false,"suffix":""},{"dropping-particle":"","family":"Heagazy","given":"Wael","non-dropping-particle":"","parse-names":false,"suffix":""},{"dropping-particle":"","family":"Abdel-Karim","given":"Safaa","non-dropping-particle":"","parse-names":false,"suffix":""}],"container-title":"Zagazig Journal of Pharmaceutical Sciences","id":"ITEM-1","issue":"1","issued":{"date-parts":[["2016"]]},"page":"30-38","title":"Antibiotic resistance of Enterococcus faecalis and Enterococcus faecium isolated from urinary tract infections in Zagazig University hospitals","type":"article-journal","volume":"25"},"uris":["http://www.mendeley.com/documents/?uuid=872df4c6-b8e9-42e7-8e7d-4c12dca5981d"]}],"mendeley":{"formattedCitation":"&lt;sup&gt;25&lt;/sup&gt;","plainTextFormattedCitation":"25","previouslyFormattedCitation":"[25]"},"properties":{"noteIndex":0},"schema":"https://github.com/citation-style-language/schema/raw/master/csl-citation.json"}</w:instrText>
            </w:r>
            <w:r>
              <w:rPr>
                <w:sz w:val="16"/>
                <w:szCs w:val="16"/>
              </w:rPr>
              <w:fldChar w:fldCharType="separate"/>
            </w:r>
            <w:r w:rsidR="00A453E9" w:rsidRPr="00A453E9">
              <w:rPr>
                <w:noProof/>
                <w:sz w:val="16"/>
                <w:szCs w:val="16"/>
                <w:vertAlign w:val="superscript"/>
              </w:rPr>
              <w:t>25</w:t>
            </w:r>
            <w:r>
              <w:rPr>
                <w:sz w:val="16"/>
                <w:szCs w:val="16"/>
              </w:rPr>
              <w:fldChar w:fldCharType="end"/>
            </w:r>
          </w:p>
        </w:tc>
      </w:tr>
    </w:tbl>
    <w:p w:rsidR="00FE6B49" w:rsidRDefault="00FE6B49" w:rsidP="00FE6B49"/>
    <w:p w:rsidR="00FE6B49" w:rsidRDefault="00FE6B49" w:rsidP="00FE6B49"/>
    <w:p w:rsidR="00FE6B49" w:rsidRPr="009219AA" w:rsidRDefault="00FE6B49" w:rsidP="00FE6B49">
      <w:pPr>
        <w:rPr>
          <w:sz w:val="28"/>
          <w:szCs w:val="28"/>
        </w:rPr>
      </w:pPr>
      <w:r w:rsidRPr="009219AA">
        <w:rPr>
          <w:sz w:val="28"/>
          <w:szCs w:val="28"/>
        </w:rPr>
        <w:br w:type="page"/>
      </w:r>
    </w:p>
    <w:p w:rsidR="00FE6B49" w:rsidRDefault="00FE6B49" w:rsidP="00FE6B49"/>
    <w:p w:rsidR="00FE6B49" w:rsidRDefault="00FE6B49" w:rsidP="00FE6B49"/>
    <w:p w:rsidR="00D30B74" w:rsidRDefault="00D30B74" w:rsidP="001F51A2">
      <w:pPr>
        <w:rPr>
          <w:b/>
          <w:bCs/>
          <w:sz w:val="28"/>
          <w:szCs w:val="28"/>
        </w:rPr>
      </w:pPr>
    </w:p>
    <w:p w:rsidR="00D30B74" w:rsidRPr="00D30B74" w:rsidRDefault="00D30B74" w:rsidP="00D30B74">
      <w:pPr>
        <w:rPr>
          <w:b/>
          <w:bCs/>
          <w:sz w:val="20"/>
          <w:szCs w:val="20"/>
        </w:rPr>
      </w:pPr>
      <w:r w:rsidRPr="00D30B74">
        <w:rPr>
          <w:b/>
          <w:bCs/>
          <w:sz w:val="20"/>
          <w:szCs w:val="20"/>
        </w:rPr>
        <w:t xml:space="preserve">*=Not specified  </w:t>
      </w:r>
    </w:p>
    <w:p w:rsidR="00D30B74" w:rsidRPr="00D30B74" w:rsidRDefault="00D30B74" w:rsidP="00D30B74">
      <w:pPr>
        <w:rPr>
          <w:b/>
          <w:bCs/>
          <w:sz w:val="20"/>
          <w:szCs w:val="20"/>
        </w:rPr>
      </w:pPr>
      <w:r w:rsidRPr="00D30B74">
        <w:rPr>
          <w:b/>
          <w:bCs/>
          <w:sz w:val="20"/>
          <w:szCs w:val="20"/>
        </w:rPr>
        <w:t>£ = both e-test and vitek results gave the same results</w:t>
      </w:r>
    </w:p>
    <w:p w:rsidR="00D30B74" w:rsidRDefault="00D30B74" w:rsidP="001F51A2">
      <w:pPr>
        <w:rPr>
          <w:b/>
          <w:bCs/>
          <w:sz w:val="28"/>
          <w:szCs w:val="28"/>
        </w:rPr>
      </w:pPr>
    </w:p>
    <w:p w:rsidR="00D30B74" w:rsidRDefault="00D30B74" w:rsidP="001F51A2">
      <w:pPr>
        <w:rPr>
          <w:b/>
          <w:bCs/>
          <w:sz w:val="28"/>
          <w:szCs w:val="28"/>
        </w:rPr>
      </w:pPr>
    </w:p>
    <w:p w:rsidR="00D30B74" w:rsidRDefault="00D30B74" w:rsidP="001F51A2">
      <w:pPr>
        <w:rPr>
          <w:b/>
          <w:bCs/>
          <w:sz w:val="28"/>
          <w:szCs w:val="28"/>
        </w:rPr>
      </w:pPr>
    </w:p>
    <w:p w:rsidR="00D30B74" w:rsidRDefault="00D30B74" w:rsidP="001F51A2">
      <w:pPr>
        <w:rPr>
          <w:b/>
          <w:bCs/>
          <w:sz w:val="28"/>
          <w:szCs w:val="28"/>
        </w:rPr>
      </w:pPr>
    </w:p>
    <w:p w:rsidR="00D30B74" w:rsidRDefault="00D30B74" w:rsidP="001F51A2">
      <w:pPr>
        <w:rPr>
          <w:b/>
          <w:bCs/>
          <w:sz w:val="28"/>
          <w:szCs w:val="28"/>
        </w:rPr>
      </w:pPr>
    </w:p>
    <w:p w:rsidR="00D30B74" w:rsidRDefault="00D30B74" w:rsidP="001F51A2">
      <w:pPr>
        <w:rPr>
          <w:b/>
          <w:bCs/>
          <w:sz w:val="28"/>
          <w:szCs w:val="28"/>
        </w:rPr>
      </w:pPr>
    </w:p>
    <w:p w:rsidR="00FE6B49" w:rsidRPr="00A91522" w:rsidRDefault="00FE6B49" w:rsidP="001F51A2">
      <w:pPr>
        <w:rPr>
          <w:b/>
          <w:bCs/>
          <w:sz w:val="28"/>
          <w:szCs w:val="28"/>
          <w:rtl/>
        </w:rPr>
      </w:pPr>
      <w:r w:rsidRPr="00A91522">
        <w:rPr>
          <w:b/>
          <w:bCs/>
          <w:sz w:val="28"/>
          <w:szCs w:val="28"/>
        </w:rPr>
        <w:t xml:space="preserve">Table </w:t>
      </w:r>
      <w:r w:rsidR="001F51A2">
        <w:rPr>
          <w:b/>
          <w:bCs/>
          <w:sz w:val="28"/>
          <w:szCs w:val="28"/>
        </w:rPr>
        <w:t>S</w:t>
      </w:r>
      <w:r w:rsidRPr="00A91522">
        <w:rPr>
          <w:b/>
          <w:bCs/>
          <w:sz w:val="28"/>
          <w:szCs w:val="28"/>
        </w:rPr>
        <w:t>2 the quality of included studies</w:t>
      </w:r>
      <w:r w:rsidR="00406143">
        <w:rPr>
          <w:b/>
          <w:bCs/>
          <w:sz w:val="28"/>
          <w:szCs w:val="28"/>
        </w:rPr>
        <w:t>*</w:t>
      </w:r>
      <w:r w:rsidRPr="00A91522">
        <w:rPr>
          <w:b/>
          <w:bCs/>
          <w:sz w:val="28"/>
          <w:szCs w:val="28"/>
        </w:rPr>
        <w:t xml:space="preserve"> </w:t>
      </w:r>
    </w:p>
    <w:p w:rsidR="00FE6B49" w:rsidRDefault="00FE6B49" w:rsidP="00FE6B49">
      <w:r>
        <w:rPr>
          <w:b/>
          <w:bCs/>
          <w:sz w:val="28"/>
          <w:szCs w:val="28"/>
        </w:rPr>
        <w:fldChar w:fldCharType="begin"/>
      </w:r>
      <w:r>
        <w:rPr>
          <w:b/>
          <w:bCs/>
          <w:sz w:val="28"/>
          <w:szCs w:val="28"/>
        </w:rPr>
        <w:instrText xml:space="preserve"> LINK </w:instrText>
      </w:r>
      <w:r w:rsidR="00406143">
        <w:rPr>
          <w:b/>
          <w:bCs/>
          <w:sz w:val="28"/>
          <w:szCs w:val="28"/>
        </w:rPr>
        <w:instrText xml:space="preserve">Excel.Sheet.12 "C:\\Users\\pc\\Desktop\\vre paper\\quality assessment sheet final.xlsx" Sheet1!R3C2:R28C8 </w:instrText>
      </w:r>
      <w:r>
        <w:rPr>
          <w:b/>
          <w:bCs/>
          <w:sz w:val="28"/>
          <w:szCs w:val="28"/>
        </w:rPr>
        <w:instrText xml:space="preserve">\a \f 5 \h  \* MERGEFORMAT </w:instrText>
      </w:r>
      <w:r>
        <w:rPr>
          <w:b/>
          <w:bCs/>
          <w:sz w:val="28"/>
          <w:szCs w:val="28"/>
        </w:rPr>
        <w:fldChar w:fldCharType="separate"/>
      </w:r>
    </w:p>
    <w:tbl>
      <w:tblPr>
        <w:tblStyle w:val="GridTable2-Accent3"/>
        <w:tblW w:w="14503" w:type="dxa"/>
        <w:tblLook w:val="04A0" w:firstRow="1" w:lastRow="0" w:firstColumn="1" w:lastColumn="0" w:noHBand="0" w:noVBand="1"/>
      </w:tblPr>
      <w:tblGrid>
        <w:gridCol w:w="1862"/>
        <w:gridCol w:w="2784"/>
        <w:gridCol w:w="1951"/>
        <w:gridCol w:w="1829"/>
        <w:gridCol w:w="2399"/>
        <w:gridCol w:w="2231"/>
        <w:gridCol w:w="1514"/>
      </w:tblGrid>
      <w:tr w:rsidR="00FE6B49" w:rsidRPr="00F82F4F" w:rsidTr="00D113D0">
        <w:trPr>
          <w:cnfStyle w:val="100000000000" w:firstRow="1" w:lastRow="0" w:firstColumn="0" w:lastColumn="0" w:oddVBand="0" w:evenVBand="0" w:oddHBand="0"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author and publication year</w:t>
            </w:r>
          </w:p>
        </w:tc>
        <w:tc>
          <w:tcPr>
            <w:tcW w:w="2784" w:type="dxa"/>
            <w:noWrap/>
            <w:hideMark/>
          </w:tcPr>
          <w:p w:rsidR="00FE6B49" w:rsidRPr="00F82F4F" w:rsidRDefault="00FE6B49" w:rsidP="00D113D0">
            <w:pPr>
              <w:cnfStyle w:val="100000000000" w:firstRow="1" w:lastRow="0" w:firstColumn="0" w:lastColumn="0" w:oddVBand="0" w:evenVBand="0" w:oddHBand="0" w:evenHBand="0" w:firstRowFirstColumn="0" w:firstRowLastColumn="0" w:lastRowFirstColumn="0" w:lastRowLastColumn="0"/>
            </w:pPr>
            <w:r w:rsidRPr="00F82F4F">
              <w:rPr>
                <w:sz w:val="20"/>
                <w:szCs w:val="20"/>
              </w:rPr>
              <w:t>Was the research objective clearly described and stated?</w:t>
            </w:r>
          </w:p>
        </w:tc>
        <w:tc>
          <w:tcPr>
            <w:tcW w:w="1951" w:type="dxa"/>
            <w:noWrap/>
            <w:hideMark/>
          </w:tcPr>
          <w:p w:rsidR="00FE6B49" w:rsidRPr="00F82F4F" w:rsidRDefault="00FE6B49" w:rsidP="00D113D0">
            <w:pPr>
              <w:cnfStyle w:val="100000000000" w:firstRow="1" w:lastRow="0" w:firstColumn="0" w:lastColumn="0" w:oddVBand="0" w:evenVBand="0" w:oddHBand="0" w:evenHBand="0" w:firstRowFirstColumn="0" w:firstRowLastColumn="0" w:lastRowFirstColumn="0" w:lastRowLastColumn="0"/>
              <w:rPr>
                <w:sz w:val="20"/>
                <w:szCs w:val="20"/>
              </w:rPr>
            </w:pPr>
            <w:r w:rsidRPr="00F82F4F">
              <w:rPr>
                <w:sz w:val="20"/>
                <w:szCs w:val="20"/>
              </w:rPr>
              <w:t>Was the sampling method described in detail?</w:t>
            </w:r>
          </w:p>
        </w:tc>
        <w:tc>
          <w:tcPr>
            <w:tcW w:w="1829" w:type="dxa"/>
            <w:noWrap/>
            <w:hideMark/>
          </w:tcPr>
          <w:p w:rsidR="00FE6B49" w:rsidRPr="00F82F4F" w:rsidRDefault="00FE6B49" w:rsidP="00D113D0">
            <w:pPr>
              <w:cnfStyle w:val="100000000000" w:firstRow="1" w:lastRow="0" w:firstColumn="0" w:lastColumn="0" w:oddVBand="0" w:evenVBand="0" w:oddHBand="0" w:evenHBand="0" w:firstRowFirstColumn="0" w:firstRowLastColumn="0" w:lastRowFirstColumn="0" w:lastRowLastColumn="0"/>
              <w:rPr>
                <w:sz w:val="20"/>
                <w:szCs w:val="20"/>
              </w:rPr>
            </w:pPr>
            <w:r w:rsidRPr="00F82F4F">
              <w:rPr>
                <w:sz w:val="20"/>
                <w:szCs w:val="20"/>
              </w:rPr>
              <w:t>Was the period and location of the study clearly stated? </w:t>
            </w:r>
          </w:p>
        </w:tc>
        <w:tc>
          <w:tcPr>
            <w:tcW w:w="2399" w:type="dxa"/>
            <w:noWrap/>
            <w:hideMark/>
          </w:tcPr>
          <w:p w:rsidR="00FE6B49" w:rsidRPr="00F82F4F" w:rsidRDefault="00FE6B49" w:rsidP="00D113D0">
            <w:pPr>
              <w:cnfStyle w:val="100000000000" w:firstRow="1" w:lastRow="0" w:firstColumn="0" w:lastColumn="0" w:oddVBand="0" w:evenVBand="0" w:oddHBand="0" w:evenHBand="0" w:firstRowFirstColumn="0" w:firstRowLastColumn="0" w:lastRowFirstColumn="0" w:lastRowLastColumn="0"/>
              <w:rPr>
                <w:sz w:val="20"/>
                <w:szCs w:val="20"/>
              </w:rPr>
            </w:pPr>
            <w:r w:rsidRPr="00F82F4F">
              <w:rPr>
                <w:sz w:val="20"/>
                <w:szCs w:val="20"/>
              </w:rPr>
              <w:t> Were the examination method and procedure for VRE detection clearly pointed out? </w:t>
            </w:r>
          </w:p>
        </w:tc>
        <w:tc>
          <w:tcPr>
            <w:tcW w:w="2231" w:type="dxa"/>
            <w:noWrap/>
            <w:hideMark/>
          </w:tcPr>
          <w:p w:rsidR="00FE6B49" w:rsidRPr="00F82F4F" w:rsidRDefault="00FE6B49" w:rsidP="00D113D0">
            <w:pPr>
              <w:cnfStyle w:val="100000000000" w:firstRow="1" w:lastRow="0" w:firstColumn="0" w:lastColumn="0" w:oddVBand="0" w:evenVBand="0" w:oddHBand="0" w:evenHBand="0" w:firstRowFirstColumn="0" w:firstRowLastColumn="0" w:lastRowFirstColumn="0" w:lastRowLastColumn="0"/>
              <w:rPr>
                <w:sz w:val="20"/>
                <w:szCs w:val="20"/>
              </w:rPr>
            </w:pPr>
            <w:r w:rsidRPr="00F82F4F">
              <w:rPr>
                <w:sz w:val="20"/>
                <w:szCs w:val="20"/>
              </w:rPr>
              <w:t>Were the samples clearly classified into different subgroups?</w:t>
            </w:r>
          </w:p>
        </w:tc>
        <w:tc>
          <w:tcPr>
            <w:tcW w:w="1514" w:type="dxa"/>
            <w:noWrap/>
            <w:hideMark/>
          </w:tcPr>
          <w:p w:rsidR="00FE6B49" w:rsidRPr="00F82F4F" w:rsidRDefault="00997D9B" w:rsidP="00D113D0">
            <w:pPr>
              <w:cnfStyle w:val="100000000000" w:firstRow="1" w:lastRow="0" w:firstColumn="0" w:lastColumn="0" w:oddVBand="0" w:evenVBand="0" w:oddHBand="0" w:evenHBand="0" w:firstRowFirstColumn="0" w:firstRowLastColumn="0" w:lastRowFirstColumn="0" w:lastRowLastColumn="0"/>
              <w:rPr>
                <w:sz w:val="20"/>
                <w:szCs w:val="20"/>
              </w:rPr>
            </w:pPr>
            <w:r w:rsidRPr="00F82F4F">
              <w:rPr>
                <w:sz w:val="20"/>
                <w:szCs w:val="20"/>
              </w:rPr>
              <w:t>Total</w:t>
            </w:r>
            <w:r w:rsidR="00FE6B49" w:rsidRPr="00F82F4F">
              <w:rPr>
                <w:sz w:val="20"/>
                <w:szCs w:val="20"/>
              </w:rPr>
              <w:t xml:space="preserve"> score (%)</w:t>
            </w:r>
          </w:p>
        </w:tc>
      </w:tr>
      <w:tr w:rsidR="00FE6B49" w:rsidRPr="00F82F4F"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El-Kazzaz(2020)</w:t>
            </w:r>
          </w:p>
        </w:tc>
        <w:tc>
          <w:tcPr>
            <w:tcW w:w="2784"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1</w:t>
            </w:r>
          </w:p>
        </w:tc>
        <w:tc>
          <w:tcPr>
            <w:tcW w:w="182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514" w:type="dxa"/>
            <w:noWrap/>
            <w:hideMark/>
          </w:tcPr>
          <w:p w:rsidR="00FE6B49" w:rsidRPr="00F82F4F" w:rsidRDefault="00FE6B49" w:rsidP="00D113D0">
            <w:pPr>
              <w:cnfStyle w:val="000000100000" w:firstRow="0" w:lastRow="0" w:firstColumn="0" w:lastColumn="0" w:oddVBand="0" w:evenVBand="0" w:oddHBand="1" w:evenHBand="0" w:firstRowFirstColumn="0" w:firstRowLastColumn="0" w:lastRowFirstColumn="0" w:lastRowLastColumn="0"/>
              <w:rPr>
                <w:b/>
                <w:bCs/>
                <w:sz w:val="20"/>
                <w:szCs w:val="20"/>
              </w:rPr>
            </w:pPr>
            <w:r w:rsidRPr="00F82F4F">
              <w:rPr>
                <w:b/>
                <w:bCs/>
                <w:sz w:val="20"/>
                <w:szCs w:val="20"/>
              </w:rPr>
              <w:t>90</w:t>
            </w:r>
          </w:p>
        </w:tc>
      </w:tr>
      <w:tr w:rsidR="00FE6B49" w:rsidRPr="00F82F4F" w:rsidTr="00D113D0">
        <w:trPr>
          <w:trHeight w:val="359"/>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Khairy(2019)</w:t>
            </w:r>
          </w:p>
        </w:tc>
        <w:tc>
          <w:tcPr>
            <w:tcW w:w="2784"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1</w:t>
            </w:r>
          </w:p>
        </w:tc>
        <w:tc>
          <w:tcPr>
            <w:tcW w:w="182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514" w:type="dxa"/>
            <w:noWrap/>
            <w:hideMark/>
          </w:tcPr>
          <w:p w:rsidR="00FE6B49" w:rsidRPr="00F82F4F" w:rsidRDefault="00FE6B49" w:rsidP="00D113D0">
            <w:pPr>
              <w:cnfStyle w:val="000000000000" w:firstRow="0" w:lastRow="0" w:firstColumn="0" w:lastColumn="0" w:oddVBand="0" w:evenVBand="0" w:oddHBand="0" w:evenHBand="0" w:firstRowFirstColumn="0" w:firstRowLastColumn="0" w:lastRowFirstColumn="0" w:lastRowLastColumn="0"/>
              <w:rPr>
                <w:b/>
                <w:bCs/>
                <w:sz w:val="20"/>
                <w:szCs w:val="20"/>
              </w:rPr>
            </w:pPr>
            <w:r w:rsidRPr="00F82F4F">
              <w:rPr>
                <w:b/>
                <w:bCs/>
                <w:sz w:val="20"/>
                <w:szCs w:val="20"/>
              </w:rPr>
              <w:t>90</w:t>
            </w:r>
          </w:p>
        </w:tc>
      </w:tr>
      <w:tr w:rsidR="00FE6B49" w:rsidRPr="00F82F4F"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Said(2019)</w:t>
            </w:r>
          </w:p>
        </w:tc>
        <w:tc>
          <w:tcPr>
            <w:tcW w:w="2784"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1</w:t>
            </w:r>
          </w:p>
        </w:tc>
        <w:tc>
          <w:tcPr>
            <w:tcW w:w="182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0</w:t>
            </w:r>
          </w:p>
        </w:tc>
        <w:tc>
          <w:tcPr>
            <w:tcW w:w="1514" w:type="dxa"/>
            <w:noWrap/>
            <w:hideMark/>
          </w:tcPr>
          <w:p w:rsidR="00FE6B49" w:rsidRPr="00F82F4F" w:rsidRDefault="00FE6B49" w:rsidP="00D113D0">
            <w:pPr>
              <w:cnfStyle w:val="000000100000" w:firstRow="0" w:lastRow="0" w:firstColumn="0" w:lastColumn="0" w:oddVBand="0" w:evenVBand="0" w:oddHBand="1" w:evenHBand="0" w:firstRowFirstColumn="0" w:firstRowLastColumn="0" w:lastRowFirstColumn="0" w:lastRowLastColumn="0"/>
              <w:rPr>
                <w:b/>
                <w:bCs/>
                <w:sz w:val="20"/>
                <w:szCs w:val="20"/>
              </w:rPr>
            </w:pPr>
            <w:r w:rsidRPr="00F82F4F">
              <w:rPr>
                <w:b/>
                <w:bCs/>
                <w:sz w:val="20"/>
                <w:szCs w:val="20"/>
              </w:rPr>
              <w:t>70</w:t>
            </w:r>
          </w:p>
        </w:tc>
      </w:tr>
      <w:tr w:rsidR="00FE6B49" w:rsidRPr="00F82F4F" w:rsidTr="00D113D0">
        <w:trPr>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El-Mahdy(2018)</w:t>
            </w:r>
          </w:p>
        </w:tc>
        <w:tc>
          <w:tcPr>
            <w:tcW w:w="2784"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1</w:t>
            </w:r>
          </w:p>
        </w:tc>
        <w:tc>
          <w:tcPr>
            <w:tcW w:w="182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0</w:t>
            </w:r>
          </w:p>
        </w:tc>
        <w:tc>
          <w:tcPr>
            <w:tcW w:w="1514" w:type="dxa"/>
            <w:noWrap/>
            <w:hideMark/>
          </w:tcPr>
          <w:p w:rsidR="00FE6B49" w:rsidRPr="00F82F4F" w:rsidRDefault="00FE6B49" w:rsidP="00D113D0">
            <w:pPr>
              <w:cnfStyle w:val="000000000000" w:firstRow="0" w:lastRow="0" w:firstColumn="0" w:lastColumn="0" w:oddVBand="0" w:evenVBand="0" w:oddHBand="0" w:evenHBand="0" w:firstRowFirstColumn="0" w:firstRowLastColumn="0" w:lastRowFirstColumn="0" w:lastRowLastColumn="0"/>
              <w:rPr>
                <w:b/>
                <w:bCs/>
                <w:sz w:val="20"/>
                <w:szCs w:val="20"/>
              </w:rPr>
            </w:pPr>
            <w:r w:rsidRPr="00F82F4F">
              <w:rPr>
                <w:b/>
                <w:bCs/>
                <w:sz w:val="20"/>
                <w:szCs w:val="20"/>
              </w:rPr>
              <w:t>70</w:t>
            </w:r>
          </w:p>
        </w:tc>
      </w:tr>
      <w:tr w:rsidR="00FE6B49" w:rsidRPr="00F82F4F"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lastRenderedPageBreak/>
              <w:t>Sallam(2016)</w:t>
            </w:r>
          </w:p>
        </w:tc>
        <w:tc>
          <w:tcPr>
            <w:tcW w:w="2784"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1</w:t>
            </w:r>
          </w:p>
        </w:tc>
        <w:tc>
          <w:tcPr>
            <w:tcW w:w="182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0</w:t>
            </w:r>
          </w:p>
        </w:tc>
        <w:tc>
          <w:tcPr>
            <w:tcW w:w="239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514" w:type="dxa"/>
            <w:noWrap/>
            <w:hideMark/>
          </w:tcPr>
          <w:p w:rsidR="00FE6B49" w:rsidRPr="00F82F4F" w:rsidRDefault="00FE6B49" w:rsidP="00D113D0">
            <w:pPr>
              <w:cnfStyle w:val="000000100000" w:firstRow="0" w:lastRow="0" w:firstColumn="0" w:lastColumn="0" w:oddVBand="0" w:evenVBand="0" w:oddHBand="1" w:evenHBand="0" w:firstRowFirstColumn="0" w:firstRowLastColumn="0" w:lastRowFirstColumn="0" w:lastRowLastColumn="0"/>
              <w:rPr>
                <w:b/>
                <w:bCs/>
                <w:sz w:val="20"/>
                <w:szCs w:val="20"/>
              </w:rPr>
            </w:pPr>
            <w:r w:rsidRPr="00F82F4F">
              <w:rPr>
                <w:b/>
                <w:bCs/>
                <w:sz w:val="20"/>
                <w:szCs w:val="20"/>
              </w:rPr>
              <w:t>70</w:t>
            </w:r>
          </w:p>
        </w:tc>
      </w:tr>
      <w:tr w:rsidR="00FE6B49" w:rsidRPr="00F82F4F" w:rsidTr="00D113D0">
        <w:trPr>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Moemen(2014)</w:t>
            </w:r>
          </w:p>
        </w:tc>
        <w:tc>
          <w:tcPr>
            <w:tcW w:w="2784"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82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0</w:t>
            </w:r>
          </w:p>
        </w:tc>
        <w:tc>
          <w:tcPr>
            <w:tcW w:w="1514" w:type="dxa"/>
            <w:noWrap/>
            <w:hideMark/>
          </w:tcPr>
          <w:p w:rsidR="00FE6B49" w:rsidRPr="00F82F4F" w:rsidRDefault="00FE6B49" w:rsidP="00D113D0">
            <w:pPr>
              <w:cnfStyle w:val="000000000000" w:firstRow="0" w:lastRow="0" w:firstColumn="0" w:lastColumn="0" w:oddVBand="0" w:evenVBand="0" w:oddHBand="0" w:evenHBand="0" w:firstRowFirstColumn="0" w:firstRowLastColumn="0" w:lastRowFirstColumn="0" w:lastRowLastColumn="0"/>
              <w:rPr>
                <w:b/>
                <w:bCs/>
                <w:sz w:val="20"/>
                <w:szCs w:val="20"/>
              </w:rPr>
            </w:pPr>
            <w:r w:rsidRPr="00F82F4F">
              <w:rPr>
                <w:b/>
                <w:bCs/>
                <w:sz w:val="20"/>
                <w:szCs w:val="20"/>
              </w:rPr>
              <w:t>80</w:t>
            </w:r>
          </w:p>
        </w:tc>
      </w:tr>
      <w:tr w:rsidR="00FE6B49" w:rsidRPr="00F82F4F"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Shalaby(2016)</w:t>
            </w:r>
          </w:p>
        </w:tc>
        <w:tc>
          <w:tcPr>
            <w:tcW w:w="2784"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82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0</w:t>
            </w:r>
          </w:p>
        </w:tc>
        <w:tc>
          <w:tcPr>
            <w:tcW w:w="239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514" w:type="dxa"/>
            <w:noWrap/>
            <w:hideMark/>
          </w:tcPr>
          <w:p w:rsidR="00FE6B49" w:rsidRPr="00F82F4F" w:rsidRDefault="00FE6B49" w:rsidP="00D113D0">
            <w:pPr>
              <w:cnfStyle w:val="000000100000" w:firstRow="0" w:lastRow="0" w:firstColumn="0" w:lastColumn="0" w:oddVBand="0" w:evenVBand="0" w:oddHBand="1" w:evenHBand="0" w:firstRowFirstColumn="0" w:firstRowLastColumn="0" w:lastRowFirstColumn="0" w:lastRowLastColumn="0"/>
              <w:rPr>
                <w:b/>
                <w:bCs/>
                <w:sz w:val="20"/>
                <w:szCs w:val="20"/>
              </w:rPr>
            </w:pPr>
            <w:r w:rsidRPr="00F82F4F">
              <w:rPr>
                <w:b/>
                <w:bCs/>
                <w:sz w:val="20"/>
                <w:szCs w:val="20"/>
              </w:rPr>
              <w:t>80</w:t>
            </w:r>
          </w:p>
        </w:tc>
      </w:tr>
      <w:tr w:rsidR="00FE6B49" w:rsidRPr="00F82F4F" w:rsidTr="00D113D0">
        <w:trPr>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Hashem(2015)</w:t>
            </w:r>
          </w:p>
        </w:tc>
        <w:tc>
          <w:tcPr>
            <w:tcW w:w="2784"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1</w:t>
            </w:r>
          </w:p>
        </w:tc>
        <w:tc>
          <w:tcPr>
            <w:tcW w:w="182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0</w:t>
            </w:r>
          </w:p>
        </w:tc>
        <w:tc>
          <w:tcPr>
            <w:tcW w:w="239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0</w:t>
            </w:r>
          </w:p>
        </w:tc>
        <w:tc>
          <w:tcPr>
            <w:tcW w:w="1514" w:type="dxa"/>
            <w:noWrap/>
            <w:hideMark/>
          </w:tcPr>
          <w:p w:rsidR="00FE6B49" w:rsidRPr="00F82F4F" w:rsidRDefault="00FE6B49" w:rsidP="00D113D0">
            <w:pPr>
              <w:cnfStyle w:val="000000000000" w:firstRow="0" w:lastRow="0" w:firstColumn="0" w:lastColumn="0" w:oddVBand="0" w:evenVBand="0" w:oddHBand="0" w:evenHBand="0" w:firstRowFirstColumn="0" w:firstRowLastColumn="0" w:lastRowFirstColumn="0" w:lastRowLastColumn="0"/>
              <w:rPr>
                <w:b/>
                <w:bCs/>
                <w:sz w:val="20"/>
                <w:szCs w:val="20"/>
              </w:rPr>
            </w:pPr>
            <w:r w:rsidRPr="00F82F4F">
              <w:rPr>
                <w:b/>
                <w:bCs/>
                <w:sz w:val="20"/>
                <w:szCs w:val="20"/>
              </w:rPr>
              <w:t>50</w:t>
            </w:r>
          </w:p>
        </w:tc>
      </w:tr>
      <w:tr w:rsidR="00FE6B49" w:rsidRPr="00F82F4F"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Kishk(2021)</w:t>
            </w:r>
          </w:p>
        </w:tc>
        <w:tc>
          <w:tcPr>
            <w:tcW w:w="2784"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1</w:t>
            </w:r>
          </w:p>
        </w:tc>
        <w:tc>
          <w:tcPr>
            <w:tcW w:w="182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0</w:t>
            </w:r>
          </w:p>
        </w:tc>
        <w:tc>
          <w:tcPr>
            <w:tcW w:w="239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514" w:type="dxa"/>
            <w:noWrap/>
            <w:hideMark/>
          </w:tcPr>
          <w:p w:rsidR="00FE6B49" w:rsidRPr="00F82F4F" w:rsidRDefault="00FE6B49" w:rsidP="00D113D0">
            <w:pPr>
              <w:cnfStyle w:val="000000100000" w:firstRow="0" w:lastRow="0" w:firstColumn="0" w:lastColumn="0" w:oddVBand="0" w:evenVBand="0" w:oddHBand="1" w:evenHBand="0" w:firstRowFirstColumn="0" w:firstRowLastColumn="0" w:lastRowFirstColumn="0" w:lastRowLastColumn="0"/>
              <w:rPr>
                <w:b/>
                <w:bCs/>
                <w:sz w:val="20"/>
                <w:szCs w:val="20"/>
              </w:rPr>
            </w:pPr>
            <w:r w:rsidRPr="00F82F4F">
              <w:rPr>
                <w:b/>
                <w:bCs/>
                <w:sz w:val="20"/>
                <w:szCs w:val="20"/>
              </w:rPr>
              <w:t>70</w:t>
            </w:r>
          </w:p>
        </w:tc>
      </w:tr>
      <w:tr w:rsidR="00FE6B49" w:rsidRPr="00F82F4F" w:rsidTr="00D113D0">
        <w:trPr>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El Shenawy(2016)</w:t>
            </w:r>
          </w:p>
        </w:tc>
        <w:tc>
          <w:tcPr>
            <w:tcW w:w="2784"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82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0</w:t>
            </w:r>
          </w:p>
        </w:tc>
        <w:tc>
          <w:tcPr>
            <w:tcW w:w="1514" w:type="dxa"/>
            <w:noWrap/>
            <w:hideMark/>
          </w:tcPr>
          <w:p w:rsidR="00FE6B49" w:rsidRPr="00F82F4F" w:rsidRDefault="00FE6B49" w:rsidP="00D113D0">
            <w:pPr>
              <w:cnfStyle w:val="000000000000" w:firstRow="0" w:lastRow="0" w:firstColumn="0" w:lastColumn="0" w:oddVBand="0" w:evenVBand="0" w:oddHBand="0" w:evenHBand="0" w:firstRowFirstColumn="0" w:firstRowLastColumn="0" w:lastRowFirstColumn="0" w:lastRowLastColumn="0"/>
              <w:rPr>
                <w:b/>
                <w:bCs/>
                <w:sz w:val="20"/>
                <w:szCs w:val="20"/>
              </w:rPr>
            </w:pPr>
            <w:r w:rsidRPr="00F82F4F">
              <w:rPr>
                <w:b/>
                <w:bCs/>
                <w:sz w:val="20"/>
                <w:szCs w:val="20"/>
              </w:rPr>
              <w:t>80</w:t>
            </w:r>
          </w:p>
        </w:tc>
      </w:tr>
      <w:tr w:rsidR="00FE6B49" w:rsidRPr="00F82F4F"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Labib(2014)</w:t>
            </w:r>
          </w:p>
        </w:tc>
        <w:tc>
          <w:tcPr>
            <w:tcW w:w="2784"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82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0</w:t>
            </w:r>
          </w:p>
        </w:tc>
        <w:tc>
          <w:tcPr>
            <w:tcW w:w="239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514" w:type="dxa"/>
            <w:noWrap/>
            <w:hideMark/>
          </w:tcPr>
          <w:p w:rsidR="00FE6B49" w:rsidRPr="00F82F4F" w:rsidRDefault="00FE6B49" w:rsidP="00D113D0">
            <w:pPr>
              <w:cnfStyle w:val="000000100000" w:firstRow="0" w:lastRow="0" w:firstColumn="0" w:lastColumn="0" w:oddVBand="0" w:evenVBand="0" w:oddHBand="1" w:evenHBand="0" w:firstRowFirstColumn="0" w:firstRowLastColumn="0" w:lastRowFirstColumn="0" w:lastRowLastColumn="0"/>
              <w:rPr>
                <w:b/>
                <w:bCs/>
                <w:sz w:val="20"/>
                <w:szCs w:val="20"/>
              </w:rPr>
            </w:pPr>
            <w:r w:rsidRPr="00F82F4F">
              <w:rPr>
                <w:b/>
                <w:bCs/>
                <w:sz w:val="20"/>
                <w:szCs w:val="20"/>
              </w:rPr>
              <w:t>80</w:t>
            </w:r>
          </w:p>
        </w:tc>
      </w:tr>
      <w:tr w:rsidR="00FE6B49" w:rsidRPr="00F82F4F" w:rsidTr="00D113D0">
        <w:trPr>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Hassan(2017)</w:t>
            </w:r>
          </w:p>
        </w:tc>
        <w:tc>
          <w:tcPr>
            <w:tcW w:w="2784"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82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0</w:t>
            </w:r>
          </w:p>
        </w:tc>
        <w:tc>
          <w:tcPr>
            <w:tcW w:w="1514" w:type="dxa"/>
            <w:noWrap/>
            <w:hideMark/>
          </w:tcPr>
          <w:p w:rsidR="00FE6B49" w:rsidRPr="00F82F4F" w:rsidRDefault="00FE6B49" w:rsidP="00D113D0">
            <w:pPr>
              <w:cnfStyle w:val="000000000000" w:firstRow="0" w:lastRow="0" w:firstColumn="0" w:lastColumn="0" w:oddVBand="0" w:evenVBand="0" w:oddHBand="0" w:evenHBand="0" w:firstRowFirstColumn="0" w:firstRowLastColumn="0" w:lastRowFirstColumn="0" w:lastRowLastColumn="0"/>
              <w:rPr>
                <w:b/>
                <w:bCs/>
                <w:sz w:val="20"/>
                <w:szCs w:val="20"/>
              </w:rPr>
            </w:pPr>
            <w:r w:rsidRPr="00F82F4F">
              <w:rPr>
                <w:b/>
                <w:bCs/>
                <w:sz w:val="20"/>
                <w:szCs w:val="20"/>
              </w:rPr>
              <w:t>80</w:t>
            </w:r>
          </w:p>
        </w:tc>
      </w:tr>
      <w:tr w:rsidR="00FE6B49" w:rsidRPr="00F82F4F"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Hassan(2012)</w:t>
            </w:r>
          </w:p>
        </w:tc>
        <w:tc>
          <w:tcPr>
            <w:tcW w:w="2784"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82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514" w:type="dxa"/>
            <w:noWrap/>
            <w:hideMark/>
          </w:tcPr>
          <w:p w:rsidR="00FE6B49" w:rsidRPr="00F82F4F" w:rsidRDefault="00FE6B49" w:rsidP="00D113D0">
            <w:pPr>
              <w:cnfStyle w:val="000000100000" w:firstRow="0" w:lastRow="0" w:firstColumn="0" w:lastColumn="0" w:oddVBand="0" w:evenVBand="0" w:oddHBand="1" w:evenHBand="0" w:firstRowFirstColumn="0" w:firstRowLastColumn="0" w:lastRowFirstColumn="0" w:lastRowLastColumn="0"/>
              <w:rPr>
                <w:b/>
                <w:bCs/>
                <w:sz w:val="20"/>
                <w:szCs w:val="20"/>
              </w:rPr>
            </w:pPr>
            <w:r w:rsidRPr="00F82F4F">
              <w:rPr>
                <w:b/>
                <w:bCs/>
                <w:sz w:val="20"/>
                <w:szCs w:val="20"/>
              </w:rPr>
              <w:t>100</w:t>
            </w:r>
          </w:p>
        </w:tc>
      </w:tr>
      <w:tr w:rsidR="00FE6B49" w:rsidRPr="00F82F4F" w:rsidTr="00D113D0">
        <w:trPr>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Alatrouny(2020)</w:t>
            </w:r>
          </w:p>
        </w:tc>
        <w:tc>
          <w:tcPr>
            <w:tcW w:w="2784"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1</w:t>
            </w:r>
          </w:p>
        </w:tc>
        <w:tc>
          <w:tcPr>
            <w:tcW w:w="182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0</w:t>
            </w:r>
          </w:p>
        </w:tc>
        <w:tc>
          <w:tcPr>
            <w:tcW w:w="1514" w:type="dxa"/>
            <w:noWrap/>
            <w:hideMark/>
          </w:tcPr>
          <w:p w:rsidR="00FE6B49" w:rsidRPr="00F82F4F" w:rsidRDefault="00FE6B49" w:rsidP="00D113D0">
            <w:pPr>
              <w:cnfStyle w:val="000000000000" w:firstRow="0" w:lastRow="0" w:firstColumn="0" w:lastColumn="0" w:oddVBand="0" w:evenVBand="0" w:oddHBand="0" w:evenHBand="0" w:firstRowFirstColumn="0" w:firstRowLastColumn="0" w:lastRowFirstColumn="0" w:lastRowLastColumn="0"/>
              <w:rPr>
                <w:b/>
                <w:bCs/>
                <w:sz w:val="20"/>
                <w:szCs w:val="20"/>
              </w:rPr>
            </w:pPr>
            <w:r w:rsidRPr="00F82F4F">
              <w:rPr>
                <w:b/>
                <w:bCs/>
                <w:sz w:val="20"/>
                <w:szCs w:val="20"/>
              </w:rPr>
              <w:t>70</w:t>
            </w:r>
          </w:p>
        </w:tc>
      </w:tr>
      <w:tr w:rsidR="00FE6B49" w:rsidRPr="00F82F4F"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Alm El-Din(2012)</w:t>
            </w:r>
          </w:p>
        </w:tc>
        <w:tc>
          <w:tcPr>
            <w:tcW w:w="2784"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82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514" w:type="dxa"/>
            <w:noWrap/>
            <w:hideMark/>
          </w:tcPr>
          <w:p w:rsidR="00FE6B49" w:rsidRPr="00F82F4F" w:rsidRDefault="00FE6B49" w:rsidP="00D113D0">
            <w:pPr>
              <w:cnfStyle w:val="000000100000" w:firstRow="0" w:lastRow="0" w:firstColumn="0" w:lastColumn="0" w:oddVBand="0" w:evenVBand="0" w:oddHBand="1" w:evenHBand="0" w:firstRowFirstColumn="0" w:firstRowLastColumn="0" w:lastRowFirstColumn="0" w:lastRowLastColumn="0"/>
              <w:rPr>
                <w:b/>
                <w:bCs/>
                <w:sz w:val="20"/>
                <w:szCs w:val="20"/>
              </w:rPr>
            </w:pPr>
            <w:r w:rsidRPr="00F82F4F">
              <w:rPr>
                <w:b/>
                <w:bCs/>
                <w:sz w:val="20"/>
                <w:szCs w:val="20"/>
              </w:rPr>
              <w:t>100</w:t>
            </w:r>
          </w:p>
        </w:tc>
      </w:tr>
      <w:tr w:rsidR="00FE6B49" w:rsidRPr="00F82F4F" w:rsidTr="00D113D0">
        <w:trPr>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Fahmy(2021)</w:t>
            </w:r>
          </w:p>
        </w:tc>
        <w:tc>
          <w:tcPr>
            <w:tcW w:w="2784"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1</w:t>
            </w:r>
          </w:p>
        </w:tc>
        <w:tc>
          <w:tcPr>
            <w:tcW w:w="182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514" w:type="dxa"/>
            <w:noWrap/>
            <w:hideMark/>
          </w:tcPr>
          <w:p w:rsidR="00FE6B49" w:rsidRPr="00F82F4F" w:rsidRDefault="00FE6B49" w:rsidP="00D113D0">
            <w:pPr>
              <w:cnfStyle w:val="000000000000" w:firstRow="0" w:lastRow="0" w:firstColumn="0" w:lastColumn="0" w:oddVBand="0" w:evenVBand="0" w:oddHBand="0" w:evenHBand="0" w:firstRowFirstColumn="0" w:firstRowLastColumn="0" w:lastRowFirstColumn="0" w:lastRowLastColumn="0"/>
              <w:rPr>
                <w:b/>
                <w:bCs/>
                <w:sz w:val="20"/>
                <w:szCs w:val="20"/>
              </w:rPr>
            </w:pPr>
            <w:r w:rsidRPr="00F82F4F">
              <w:rPr>
                <w:b/>
                <w:bCs/>
                <w:sz w:val="20"/>
                <w:szCs w:val="20"/>
              </w:rPr>
              <w:t>90</w:t>
            </w:r>
          </w:p>
        </w:tc>
      </w:tr>
      <w:tr w:rsidR="00FE6B49" w:rsidRPr="00F82F4F"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Fahim(2021)</w:t>
            </w:r>
          </w:p>
        </w:tc>
        <w:tc>
          <w:tcPr>
            <w:tcW w:w="2784"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1</w:t>
            </w:r>
          </w:p>
        </w:tc>
        <w:tc>
          <w:tcPr>
            <w:tcW w:w="182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0</w:t>
            </w:r>
          </w:p>
        </w:tc>
        <w:tc>
          <w:tcPr>
            <w:tcW w:w="1514" w:type="dxa"/>
            <w:noWrap/>
            <w:hideMark/>
          </w:tcPr>
          <w:p w:rsidR="00FE6B49" w:rsidRPr="00F82F4F" w:rsidRDefault="00FE6B49" w:rsidP="00D113D0">
            <w:pPr>
              <w:cnfStyle w:val="000000100000" w:firstRow="0" w:lastRow="0" w:firstColumn="0" w:lastColumn="0" w:oddVBand="0" w:evenVBand="0" w:oddHBand="1" w:evenHBand="0" w:firstRowFirstColumn="0" w:firstRowLastColumn="0" w:lastRowFirstColumn="0" w:lastRowLastColumn="0"/>
              <w:rPr>
                <w:b/>
                <w:bCs/>
                <w:sz w:val="20"/>
                <w:szCs w:val="20"/>
              </w:rPr>
            </w:pPr>
            <w:r w:rsidRPr="00F82F4F">
              <w:rPr>
                <w:b/>
                <w:bCs/>
                <w:sz w:val="20"/>
                <w:szCs w:val="20"/>
              </w:rPr>
              <w:t>70</w:t>
            </w:r>
          </w:p>
        </w:tc>
      </w:tr>
      <w:tr w:rsidR="00FE6B49" w:rsidRPr="00F82F4F" w:rsidTr="00D113D0">
        <w:trPr>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Abdelkareem(2016)</w:t>
            </w:r>
          </w:p>
        </w:tc>
        <w:tc>
          <w:tcPr>
            <w:tcW w:w="2784"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82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514" w:type="dxa"/>
            <w:noWrap/>
            <w:hideMark/>
          </w:tcPr>
          <w:p w:rsidR="00FE6B49" w:rsidRPr="00F82F4F" w:rsidRDefault="00FE6B49" w:rsidP="00D113D0">
            <w:pPr>
              <w:cnfStyle w:val="000000000000" w:firstRow="0" w:lastRow="0" w:firstColumn="0" w:lastColumn="0" w:oddVBand="0" w:evenVBand="0" w:oddHBand="0" w:evenHBand="0" w:firstRowFirstColumn="0" w:firstRowLastColumn="0" w:lastRowFirstColumn="0" w:lastRowLastColumn="0"/>
              <w:rPr>
                <w:b/>
                <w:bCs/>
                <w:sz w:val="20"/>
                <w:szCs w:val="20"/>
              </w:rPr>
            </w:pPr>
            <w:r w:rsidRPr="00F82F4F">
              <w:rPr>
                <w:b/>
                <w:bCs/>
                <w:sz w:val="20"/>
                <w:szCs w:val="20"/>
              </w:rPr>
              <w:t>100</w:t>
            </w:r>
          </w:p>
        </w:tc>
      </w:tr>
      <w:tr w:rsidR="00FE6B49" w:rsidRPr="00F82F4F"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Aladarose(2019)</w:t>
            </w:r>
          </w:p>
        </w:tc>
        <w:tc>
          <w:tcPr>
            <w:tcW w:w="2784"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1</w:t>
            </w:r>
          </w:p>
        </w:tc>
        <w:tc>
          <w:tcPr>
            <w:tcW w:w="182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0</w:t>
            </w:r>
          </w:p>
        </w:tc>
        <w:tc>
          <w:tcPr>
            <w:tcW w:w="1514" w:type="dxa"/>
            <w:noWrap/>
            <w:hideMark/>
          </w:tcPr>
          <w:p w:rsidR="00FE6B49" w:rsidRPr="00F82F4F" w:rsidRDefault="00FE6B49" w:rsidP="00D113D0">
            <w:pPr>
              <w:cnfStyle w:val="000000100000" w:firstRow="0" w:lastRow="0" w:firstColumn="0" w:lastColumn="0" w:oddVBand="0" w:evenVBand="0" w:oddHBand="1" w:evenHBand="0" w:firstRowFirstColumn="0" w:firstRowLastColumn="0" w:lastRowFirstColumn="0" w:lastRowLastColumn="0"/>
              <w:rPr>
                <w:b/>
                <w:bCs/>
                <w:sz w:val="20"/>
                <w:szCs w:val="20"/>
              </w:rPr>
            </w:pPr>
            <w:r w:rsidRPr="00F82F4F">
              <w:rPr>
                <w:b/>
                <w:bCs/>
                <w:sz w:val="20"/>
                <w:szCs w:val="20"/>
              </w:rPr>
              <w:t>70</w:t>
            </w:r>
          </w:p>
        </w:tc>
      </w:tr>
      <w:tr w:rsidR="00FE6B49" w:rsidRPr="00F82F4F" w:rsidTr="00D113D0">
        <w:trPr>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Gaballah(2022)</w:t>
            </w:r>
          </w:p>
        </w:tc>
        <w:tc>
          <w:tcPr>
            <w:tcW w:w="2784"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82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0</w:t>
            </w:r>
          </w:p>
        </w:tc>
        <w:tc>
          <w:tcPr>
            <w:tcW w:w="1514" w:type="dxa"/>
            <w:noWrap/>
            <w:hideMark/>
          </w:tcPr>
          <w:p w:rsidR="00FE6B49" w:rsidRPr="00F82F4F" w:rsidRDefault="00FE6B49" w:rsidP="00D113D0">
            <w:pPr>
              <w:cnfStyle w:val="000000000000" w:firstRow="0" w:lastRow="0" w:firstColumn="0" w:lastColumn="0" w:oddVBand="0" w:evenVBand="0" w:oddHBand="0" w:evenHBand="0" w:firstRowFirstColumn="0" w:firstRowLastColumn="0" w:lastRowFirstColumn="0" w:lastRowLastColumn="0"/>
              <w:rPr>
                <w:b/>
                <w:bCs/>
                <w:sz w:val="20"/>
                <w:szCs w:val="20"/>
              </w:rPr>
            </w:pPr>
            <w:r w:rsidRPr="00F82F4F">
              <w:rPr>
                <w:b/>
                <w:bCs/>
                <w:sz w:val="20"/>
                <w:szCs w:val="20"/>
              </w:rPr>
              <w:t>80</w:t>
            </w:r>
          </w:p>
        </w:tc>
      </w:tr>
      <w:tr w:rsidR="00FE6B49" w:rsidRPr="00F82F4F"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Alzahrani(2020)</w:t>
            </w:r>
          </w:p>
        </w:tc>
        <w:tc>
          <w:tcPr>
            <w:tcW w:w="2784"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82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0</w:t>
            </w:r>
          </w:p>
        </w:tc>
        <w:tc>
          <w:tcPr>
            <w:tcW w:w="239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0</w:t>
            </w:r>
          </w:p>
        </w:tc>
        <w:tc>
          <w:tcPr>
            <w:tcW w:w="1514" w:type="dxa"/>
            <w:noWrap/>
            <w:hideMark/>
          </w:tcPr>
          <w:p w:rsidR="00FE6B49" w:rsidRPr="00F82F4F" w:rsidRDefault="00FE6B49" w:rsidP="00D113D0">
            <w:pPr>
              <w:cnfStyle w:val="000000100000" w:firstRow="0" w:lastRow="0" w:firstColumn="0" w:lastColumn="0" w:oddVBand="0" w:evenVBand="0" w:oddHBand="1" w:evenHBand="0" w:firstRowFirstColumn="0" w:firstRowLastColumn="0" w:lastRowFirstColumn="0" w:lastRowLastColumn="0"/>
              <w:rPr>
                <w:b/>
                <w:bCs/>
                <w:sz w:val="20"/>
                <w:szCs w:val="20"/>
              </w:rPr>
            </w:pPr>
            <w:r w:rsidRPr="00F82F4F">
              <w:rPr>
                <w:b/>
                <w:bCs/>
                <w:sz w:val="20"/>
                <w:szCs w:val="20"/>
              </w:rPr>
              <w:t>60</w:t>
            </w:r>
          </w:p>
        </w:tc>
      </w:tr>
      <w:tr w:rsidR="00FE6B49" w:rsidRPr="00F82F4F" w:rsidTr="00D113D0">
        <w:trPr>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Esmail(2019)</w:t>
            </w:r>
          </w:p>
        </w:tc>
        <w:tc>
          <w:tcPr>
            <w:tcW w:w="2784"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82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514" w:type="dxa"/>
            <w:noWrap/>
            <w:hideMark/>
          </w:tcPr>
          <w:p w:rsidR="00FE6B49" w:rsidRPr="00F82F4F" w:rsidRDefault="00FE6B49" w:rsidP="00D113D0">
            <w:pPr>
              <w:cnfStyle w:val="000000000000" w:firstRow="0" w:lastRow="0" w:firstColumn="0" w:lastColumn="0" w:oddVBand="0" w:evenVBand="0" w:oddHBand="0" w:evenHBand="0" w:firstRowFirstColumn="0" w:firstRowLastColumn="0" w:lastRowFirstColumn="0" w:lastRowLastColumn="0"/>
              <w:rPr>
                <w:b/>
                <w:bCs/>
                <w:sz w:val="20"/>
                <w:szCs w:val="20"/>
              </w:rPr>
            </w:pPr>
            <w:r w:rsidRPr="00F82F4F">
              <w:rPr>
                <w:b/>
                <w:bCs/>
                <w:sz w:val="20"/>
                <w:szCs w:val="20"/>
              </w:rPr>
              <w:t>100</w:t>
            </w:r>
          </w:p>
        </w:tc>
      </w:tr>
      <w:tr w:rsidR="00FE6B49" w:rsidRPr="00F82F4F"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El-Masry(2015)</w:t>
            </w:r>
          </w:p>
        </w:tc>
        <w:tc>
          <w:tcPr>
            <w:tcW w:w="2784"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1</w:t>
            </w:r>
          </w:p>
        </w:tc>
        <w:tc>
          <w:tcPr>
            <w:tcW w:w="182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514" w:type="dxa"/>
            <w:noWrap/>
            <w:hideMark/>
          </w:tcPr>
          <w:p w:rsidR="00FE6B49" w:rsidRPr="00F82F4F" w:rsidRDefault="00FE6B49" w:rsidP="00D113D0">
            <w:pPr>
              <w:cnfStyle w:val="000000100000" w:firstRow="0" w:lastRow="0" w:firstColumn="0" w:lastColumn="0" w:oddVBand="0" w:evenVBand="0" w:oddHBand="1" w:evenHBand="0" w:firstRowFirstColumn="0" w:firstRowLastColumn="0" w:lastRowFirstColumn="0" w:lastRowLastColumn="0"/>
              <w:rPr>
                <w:b/>
                <w:bCs/>
                <w:sz w:val="20"/>
                <w:szCs w:val="20"/>
              </w:rPr>
            </w:pPr>
            <w:r w:rsidRPr="00F82F4F">
              <w:rPr>
                <w:b/>
                <w:bCs/>
                <w:sz w:val="20"/>
                <w:szCs w:val="20"/>
              </w:rPr>
              <w:t>90</w:t>
            </w:r>
          </w:p>
        </w:tc>
      </w:tr>
      <w:tr w:rsidR="00FE6B49" w:rsidRPr="00F82F4F" w:rsidTr="00D113D0">
        <w:trPr>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Hassan(2021)</w:t>
            </w:r>
          </w:p>
        </w:tc>
        <w:tc>
          <w:tcPr>
            <w:tcW w:w="2784"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1</w:t>
            </w:r>
          </w:p>
        </w:tc>
        <w:tc>
          <w:tcPr>
            <w:tcW w:w="182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399"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000000" w:firstRow="0" w:lastRow="0" w:firstColumn="0" w:lastColumn="0" w:oddVBand="0" w:evenVBand="0" w:oddHBand="0" w:evenHBand="0" w:firstRowFirstColumn="0" w:firstRowLastColumn="0" w:lastRowFirstColumn="0" w:lastRowLastColumn="0"/>
              <w:rPr>
                <w:sz w:val="20"/>
                <w:szCs w:val="20"/>
              </w:rPr>
            </w:pPr>
            <w:r w:rsidRPr="00F82F4F">
              <w:rPr>
                <w:sz w:val="20"/>
                <w:szCs w:val="20"/>
              </w:rPr>
              <w:t>0</w:t>
            </w:r>
          </w:p>
        </w:tc>
        <w:tc>
          <w:tcPr>
            <w:tcW w:w="1514" w:type="dxa"/>
            <w:noWrap/>
            <w:hideMark/>
          </w:tcPr>
          <w:p w:rsidR="00FE6B49" w:rsidRPr="00F82F4F" w:rsidRDefault="00FE6B49" w:rsidP="00D113D0">
            <w:pPr>
              <w:cnfStyle w:val="000000000000" w:firstRow="0" w:lastRow="0" w:firstColumn="0" w:lastColumn="0" w:oddVBand="0" w:evenVBand="0" w:oddHBand="0" w:evenHBand="0" w:firstRowFirstColumn="0" w:firstRowLastColumn="0" w:lastRowFirstColumn="0" w:lastRowLastColumn="0"/>
              <w:rPr>
                <w:b/>
                <w:bCs/>
                <w:sz w:val="20"/>
                <w:szCs w:val="20"/>
              </w:rPr>
            </w:pPr>
            <w:r w:rsidRPr="00F82F4F">
              <w:rPr>
                <w:b/>
                <w:bCs/>
                <w:sz w:val="20"/>
                <w:szCs w:val="20"/>
              </w:rPr>
              <w:t>70</w:t>
            </w:r>
          </w:p>
        </w:tc>
      </w:tr>
      <w:tr w:rsidR="00FE6B49" w:rsidRPr="00F82F4F" w:rsidTr="00D113D0">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1795" w:type="dxa"/>
            <w:noWrap/>
            <w:hideMark/>
          </w:tcPr>
          <w:p w:rsidR="00FE6B49" w:rsidRPr="00F82F4F" w:rsidRDefault="00FE6B49" w:rsidP="00D113D0">
            <w:pPr>
              <w:rPr>
                <w:sz w:val="20"/>
                <w:szCs w:val="20"/>
              </w:rPr>
            </w:pPr>
            <w:r w:rsidRPr="00F82F4F">
              <w:rPr>
                <w:sz w:val="20"/>
                <w:szCs w:val="20"/>
              </w:rPr>
              <w:t>Serry(2016)</w:t>
            </w:r>
          </w:p>
        </w:tc>
        <w:tc>
          <w:tcPr>
            <w:tcW w:w="2784"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95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82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0</w:t>
            </w:r>
          </w:p>
        </w:tc>
        <w:tc>
          <w:tcPr>
            <w:tcW w:w="2399"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2231" w:type="dxa"/>
            <w:noWrap/>
            <w:hideMark/>
          </w:tcPr>
          <w:p w:rsidR="00FE6B49" w:rsidRPr="00F82F4F" w:rsidRDefault="00FE6B49" w:rsidP="00D113D0">
            <w:pPr>
              <w:jc w:val="center"/>
              <w:cnfStyle w:val="000000100000" w:firstRow="0" w:lastRow="0" w:firstColumn="0" w:lastColumn="0" w:oddVBand="0" w:evenVBand="0" w:oddHBand="1" w:evenHBand="0" w:firstRowFirstColumn="0" w:firstRowLastColumn="0" w:lastRowFirstColumn="0" w:lastRowLastColumn="0"/>
              <w:rPr>
                <w:sz w:val="20"/>
                <w:szCs w:val="20"/>
              </w:rPr>
            </w:pPr>
            <w:r w:rsidRPr="00F82F4F">
              <w:rPr>
                <w:sz w:val="20"/>
                <w:szCs w:val="20"/>
              </w:rPr>
              <w:t>2</w:t>
            </w:r>
          </w:p>
        </w:tc>
        <w:tc>
          <w:tcPr>
            <w:tcW w:w="1514" w:type="dxa"/>
            <w:noWrap/>
            <w:hideMark/>
          </w:tcPr>
          <w:p w:rsidR="00FE6B49" w:rsidRPr="00F82F4F" w:rsidRDefault="00FE6B49" w:rsidP="00D113D0">
            <w:pPr>
              <w:cnfStyle w:val="000000100000" w:firstRow="0" w:lastRow="0" w:firstColumn="0" w:lastColumn="0" w:oddVBand="0" w:evenVBand="0" w:oddHBand="1" w:evenHBand="0" w:firstRowFirstColumn="0" w:firstRowLastColumn="0" w:lastRowFirstColumn="0" w:lastRowLastColumn="0"/>
              <w:rPr>
                <w:b/>
                <w:bCs/>
                <w:sz w:val="20"/>
                <w:szCs w:val="20"/>
              </w:rPr>
            </w:pPr>
            <w:r w:rsidRPr="00F82F4F">
              <w:rPr>
                <w:b/>
                <w:bCs/>
                <w:sz w:val="20"/>
                <w:szCs w:val="20"/>
              </w:rPr>
              <w:t>80</w:t>
            </w:r>
          </w:p>
        </w:tc>
      </w:tr>
    </w:tbl>
    <w:p w:rsidR="00FE6B49" w:rsidRDefault="00FE6B49" w:rsidP="00FE6B49">
      <w:pPr>
        <w:rPr>
          <w:b/>
          <w:bCs/>
          <w:sz w:val="28"/>
          <w:szCs w:val="28"/>
          <w:rtl/>
        </w:rPr>
      </w:pPr>
      <w:r>
        <w:rPr>
          <w:b/>
          <w:bCs/>
          <w:sz w:val="28"/>
          <w:szCs w:val="28"/>
        </w:rPr>
        <w:fldChar w:fldCharType="end"/>
      </w:r>
    </w:p>
    <w:p w:rsidR="00FE6B49" w:rsidRPr="00A91522" w:rsidRDefault="00406143" w:rsidP="00406143">
      <w:pPr>
        <w:rPr>
          <w:sz w:val="28"/>
          <w:szCs w:val="28"/>
        </w:rPr>
      </w:pPr>
      <w:r>
        <w:rPr>
          <w:sz w:val="28"/>
          <w:szCs w:val="28"/>
        </w:rPr>
        <w:t>*</w:t>
      </w:r>
      <w:r w:rsidRPr="00406143">
        <w:t xml:space="preserve"> </w:t>
      </w:r>
      <w:r w:rsidRPr="00406143">
        <w:rPr>
          <w:sz w:val="28"/>
          <w:szCs w:val="28"/>
        </w:rPr>
        <w:t>The quality of the included studies</w:t>
      </w:r>
      <w:r>
        <w:rPr>
          <w:sz w:val="28"/>
          <w:szCs w:val="28"/>
        </w:rPr>
        <w:t xml:space="preserve"> were evaluated </w:t>
      </w:r>
      <w:r w:rsidRPr="00406143">
        <w:rPr>
          <w:sz w:val="28"/>
          <w:szCs w:val="28"/>
        </w:rPr>
        <w:t>using a checklist derived from Ding et al. (2017</w:t>
      </w:r>
      <w:r>
        <w:rPr>
          <w:sz w:val="28"/>
          <w:szCs w:val="28"/>
        </w:rPr>
        <w:t>).</w:t>
      </w:r>
      <w:r>
        <w:rPr>
          <w:sz w:val="28"/>
          <w:szCs w:val="28"/>
        </w:rPr>
        <w:br/>
      </w:r>
      <w:r w:rsidR="00FE6B49" w:rsidRPr="00A91522">
        <w:rPr>
          <w:sz w:val="28"/>
          <w:szCs w:val="28"/>
        </w:rPr>
        <w:t>The checklist had the following five questions: (1) was the research objective clearly described and stated? (2) Was the sampling method described in detail? (3) Was the period and location of the study clearly stated? (4) Were the examination method and procedure for VRE detection clearly pointed out? (5) Were the samples clearly classified into different subgroups?).</w:t>
      </w:r>
      <w:r w:rsidR="00FE6B49">
        <w:rPr>
          <w:sz w:val="28"/>
          <w:szCs w:val="28"/>
          <w:rtl/>
        </w:rPr>
        <w:br/>
      </w:r>
      <w:r w:rsidR="00FE6B49" w:rsidRPr="00F31ACA">
        <w:rPr>
          <w:sz w:val="28"/>
          <w:szCs w:val="28"/>
        </w:rPr>
        <w:t>Each question was scored using a basic scale method ("2" for yes, "0" for no, and "1" for unsure).</w:t>
      </w:r>
    </w:p>
    <w:p w:rsidR="00FE6B49" w:rsidRDefault="00FE6B49" w:rsidP="00FE6B49">
      <w:pPr>
        <w:rPr>
          <w:b/>
          <w:bCs/>
          <w:sz w:val="28"/>
          <w:szCs w:val="28"/>
          <w:rtl/>
        </w:rPr>
      </w:pPr>
    </w:p>
    <w:p w:rsidR="00FE6B49" w:rsidRDefault="00FE6B49" w:rsidP="00FE6B49">
      <w:pPr>
        <w:rPr>
          <w:b/>
          <w:bCs/>
          <w:sz w:val="28"/>
          <w:szCs w:val="28"/>
          <w:rtl/>
        </w:rPr>
      </w:pPr>
    </w:p>
    <w:p w:rsidR="00D113D0" w:rsidRDefault="00D113D0" w:rsidP="00FE6B49">
      <w:pPr>
        <w:rPr>
          <w:b/>
          <w:bCs/>
          <w:sz w:val="28"/>
          <w:szCs w:val="28"/>
        </w:rPr>
        <w:sectPr w:rsidR="00D113D0" w:rsidSect="00894372">
          <w:pgSz w:w="15840" w:h="12240" w:orient="landscape"/>
          <w:pgMar w:top="720" w:right="720" w:bottom="720" w:left="720" w:header="720" w:footer="720" w:gutter="0"/>
          <w:cols w:space="720"/>
          <w:docGrid w:linePitch="360"/>
        </w:sectPr>
      </w:pPr>
    </w:p>
    <w:p w:rsidR="008550FA" w:rsidRDefault="008550FA" w:rsidP="00FE6B49">
      <w:pPr>
        <w:rPr>
          <w:b/>
          <w:bCs/>
          <w:sz w:val="28"/>
          <w:szCs w:val="28"/>
          <w:rtl/>
        </w:rPr>
      </w:pPr>
      <w:r w:rsidRPr="008550FA">
        <w:rPr>
          <w:b/>
          <w:bCs/>
          <w:sz w:val="28"/>
          <w:szCs w:val="28"/>
        </w:rPr>
        <w:lastRenderedPageBreak/>
        <w:t>Table S3 Characteristics of the antibiotic resistance profile among total Enterococci isolates.</w:t>
      </w:r>
      <w:r>
        <w:rPr>
          <w:b/>
          <w:bCs/>
          <w:sz w:val="28"/>
          <w:szCs w:val="28"/>
        </w:rPr>
        <w:br/>
      </w:r>
    </w:p>
    <w:tbl>
      <w:tblPr>
        <w:tblStyle w:val="GridTable4-Accent3"/>
        <w:tblpPr w:leftFromText="180" w:rightFromText="180" w:vertAnchor="page" w:horzAnchor="margin" w:tblpY="2343"/>
        <w:tblW w:w="0" w:type="auto"/>
        <w:tblLook w:val="04A0" w:firstRow="1" w:lastRow="0" w:firstColumn="1" w:lastColumn="0" w:noHBand="0" w:noVBand="1"/>
      </w:tblPr>
      <w:tblGrid>
        <w:gridCol w:w="2672"/>
        <w:gridCol w:w="1652"/>
        <w:gridCol w:w="915"/>
        <w:gridCol w:w="2358"/>
        <w:gridCol w:w="1022"/>
        <w:gridCol w:w="1075"/>
        <w:gridCol w:w="1096"/>
      </w:tblGrid>
      <w:tr w:rsidR="008550FA" w:rsidRPr="008550FA" w:rsidTr="008550F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val="restart"/>
            <w:noWrap/>
            <w:hideMark/>
          </w:tcPr>
          <w:p w:rsidR="008550FA" w:rsidRPr="008550FA" w:rsidRDefault="008550FA" w:rsidP="008550FA">
            <w:pPr>
              <w:spacing w:after="160" w:line="259" w:lineRule="auto"/>
              <w:rPr>
                <w:sz w:val="20"/>
                <w:szCs w:val="20"/>
              </w:rPr>
            </w:pPr>
            <w:r w:rsidRPr="008550FA">
              <w:rPr>
                <w:sz w:val="20"/>
                <w:szCs w:val="20"/>
              </w:rPr>
              <w:t>first author (publication year)</w:t>
            </w:r>
          </w:p>
        </w:tc>
        <w:tc>
          <w:tcPr>
            <w:tcW w:w="0" w:type="auto"/>
            <w:vMerge w:val="restart"/>
            <w:tcBorders>
              <w:right w:val="single" w:sz="4" w:space="0" w:color="auto"/>
            </w:tcBorders>
          </w:tcPr>
          <w:p w:rsidR="008550FA" w:rsidRPr="008550FA" w:rsidRDefault="008550FA" w:rsidP="008550FA">
            <w:pPr>
              <w:spacing w:after="160" w:line="259" w:lineRule="auto"/>
              <w:cnfStyle w:val="100000000000" w:firstRow="1" w:lastRow="0" w:firstColumn="0" w:lastColumn="0" w:oddVBand="0" w:evenVBand="0" w:oddHBand="0" w:evenHBand="0" w:firstRowFirstColumn="0" w:firstRowLastColumn="0" w:lastRowFirstColumn="0" w:lastRowLastColumn="0"/>
              <w:rPr>
                <w:sz w:val="20"/>
                <w:szCs w:val="20"/>
                <w:rtl/>
              </w:rPr>
            </w:pPr>
            <w:r w:rsidRPr="008550FA">
              <w:rPr>
                <w:sz w:val="20"/>
                <w:szCs w:val="20"/>
              </w:rPr>
              <w:t xml:space="preserve">Total number of enterococci </w:t>
            </w:r>
            <w:r w:rsidRPr="008550FA">
              <w:rPr>
                <w:sz w:val="20"/>
                <w:szCs w:val="20"/>
              </w:rPr>
              <w:br/>
              <w:t>isolates</w:t>
            </w:r>
          </w:p>
        </w:tc>
        <w:tc>
          <w:tcPr>
            <w:tcW w:w="0" w:type="auto"/>
            <w:gridSpan w:val="3"/>
            <w:tcBorders>
              <w:left w:val="single" w:sz="4" w:space="0" w:color="auto"/>
            </w:tcBorders>
            <w:noWrap/>
            <w:hideMark/>
          </w:tcPr>
          <w:p w:rsidR="008550FA" w:rsidRPr="008550FA" w:rsidRDefault="008550FA" w:rsidP="008550FA">
            <w:pPr>
              <w:spacing w:after="160" w:line="259" w:lineRule="auto"/>
              <w:cnfStyle w:val="100000000000" w:firstRow="1" w:lastRow="0" w:firstColumn="0" w:lastColumn="0" w:oddVBand="0" w:evenVBand="0" w:oddHBand="0" w:evenHBand="0" w:firstRowFirstColumn="0" w:firstRowLastColumn="0" w:lastRowFirstColumn="0" w:lastRowLastColumn="0"/>
              <w:rPr>
                <w:sz w:val="20"/>
                <w:szCs w:val="20"/>
              </w:rPr>
            </w:pPr>
            <w:r w:rsidRPr="008550FA">
              <w:rPr>
                <w:sz w:val="20"/>
                <w:szCs w:val="20"/>
                <w:rtl/>
              </w:rPr>
              <w:t xml:space="preserve"> </w:t>
            </w:r>
            <w:r w:rsidRPr="008550FA">
              <w:rPr>
                <w:sz w:val="20"/>
                <w:szCs w:val="20"/>
              </w:rPr>
              <w:t>Number of resistant isolates of enterococci</w:t>
            </w:r>
          </w:p>
        </w:tc>
        <w:tc>
          <w:tcPr>
            <w:tcW w:w="0" w:type="auto"/>
          </w:tcPr>
          <w:p w:rsidR="008550FA" w:rsidRPr="008550FA" w:rsidRDefault="008550FA" w:rsidP="008550FA">
            <w:pPr>
              <w:spacing w:after="160" w:line="259" w:lineRule="auto"/>
              <w:cnfStyle w:val="100000000000" w:firstRow="1" w:lastRow="0" w:firstColumn="0" w:lastColumn="0" w:oddVBand="0" w:evenVBand="0" w:oddHBand="0" w:evenHBand="0" w:firstRowFirstColumn="0" w:firstRowLastColumn="0" w:lastRowFirstColumn="0" w:lastRowLastColumn="0"/>
              <w:rPr>
                <w:sz w:val="20"/>
                <w:szCs w:val="20"/>
              </w:rPr>
            </w:pPr>
          </w:p>
        </w:tc>
        <w:tc>
          <w:tcPr>
            <w:tcW w:w="0" w:type="auto"/>
          </w:tcPr>
          <w:p w:rsidR="008550FA" w:rsidRPr="008550FA" w:rsidRDefault="008550FA" w:rsidP="008550FA">
            <w:pPr>
              <w:spacing w:after="160" w:line="259" w:lineRule="auto"/>
              <w:cnfStyle w:val="100000000000" w:firstRow="1" w:lastRow="0" w:firstColumn="0" w:lastColumn="0" w:oddVBand="0" w:evenVBand="0" w:oddHBand="0" w:evenHBand="0" w:firstRowFirstColumn="0" w:firstRowLastColumn="0" w:lastRowFirstColumn="0" w:lastRowLastColumn="0"/>
              <w:rPr>
                <w:sz w:val="20"/>
                <w:szCs w:val="20"/>
              </w:rPr>
            </w:pPr>
          </w:p>
        </w:tc>
      </w:tr>
      <w:tr w:rsidR="008550FA" w:rsidRPr="008550FA" w:rsidTr="00855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vMerge/>
            <w:hideMark/>
          </w:tcPr>
          <w:p w:rsidR="008550FA" w:rsidRPr="008550FA" w:rsidRDefault="008550FA" w:rsidP="008550FA">
            <w:pPr>
              <w:spacing w:after="160" w:line="259" w:lineRule="auto"/>
              <w:rPr>
                <w:sz w:val="20"/>
                <w:szCs w:val="20"/>
              </w:rPr>
            </w:pPr>
          </w:p>
        </w:tc>
        <w:tc>
          <w:tcPr>
            <w:tcW w:w="0" w:type="auto"/>
            <w:vMerge/>
            <w:tcBorders>
              <w:right w:val="single" w:sz="4" w:space="0" w:color="auto"/>
            </w:tcBorders>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p>
        </w:tc>
        <w:tc>
          <w:tcPr>
            <w:tcW w:w="0" w:type="auto"/>
            <w:tcBorders>
              <w:left w:val="single" w:sz="4" w:space="0" w:color="auto"/>
            </w:tcBorders>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linezolid</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gentamicin (high content)</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ampicillin</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method</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references</w:t>
            </w:r>
          </w:p>
        </w:tc>
      </w:tr>
      <w:tr w:rsidR="008550FA" w:rsidRPr="008550FA" w:rsidTr="008550F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Said(2019)</w:t>
            </w:r>
          </w:p>
        </w:tc>
        <w:tc>
          <w:tcPr>
            <w:tcW w:w="0" w:type="auto"/>
            <w:vAlign w:val="bottom"/>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103</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10</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82</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53</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 xml:space="preserve">disc diffusion </w:t>
            </w:r>
          </w:p>
        </w:tc>
        <w:tc>
          <w:tcPr>
            <w:tcW w:w="0" w:type="auto"/>
          </w:tcPr>
          <w:p w:rsidR="008550FA" w:rsidRPr="008550FA" w:rsidRDefault="008550FA" w:rsidP="00A453E9">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{"citationItems":[{"id":"ITEM-1","itemData":{"DOI":"10.2147/IDR.S189341","ISSN":"11786973","PMID":"31118713","abstract":"Introduction: Enterococci commonly inhabit the gastrointestinal tract of both human and animals; however, they have emerged as a leading cause of several infections with substantial morbidity and mortality. Their ability to acquire resistance combined with intrinsic resistance to various antimicrobials makes treatment of enterococcal infections challenging. Materials and methods: The aim of the study was to evaluate the antimicrobial resistance pattern, and assess the prevalence of multidrug resistance (MDR) and extensive drug resistance (XDR) among enterococcal isolates, collected from different clinical sources, in Mansoura University Hospitals, Egypt. Results: Antibiotic sensitivity testing revealed elevated levels of resistance among enterococcal clinical isolates (N=103). All E. faecium (N=32) and 74.6% of E. faecalis isolates (N=71) were MDR, while two E. faecalis and four E. faecium isolates were XDR. High level gentamicin resistance was detected in 79.6%, most of them carried the aac(6’)-Ie-aph(2’’)-Ia gene. High level streptomycin resistance was seen in 36.9%, of which 52.6% carried the ant(6’)-Ia gene. Resistance to macrolides and lincosamides were mediated by ermB (92.2%) and msrA/B (42.7%). tetK, tetL, and tetM genes were detected among tetracyclines resistant isolates. Resistance to vancomycin was detected in 15.5%, where vanB and vanC1 gene clusters were detected in VRE isolates. Ten isolates (9.7%) were resistant to linezolid, eight of which harbored the optrA gene. Vancomycin and linezolid resistant enterococci were more likely to exhibit strong/moderate biofilm formation than vancomycin and linezolid sensitive ones. Conclusion: Elevated levels of resistance to different classes of antimicrobial agents and emergence of MDR and XDR strains pose a major threat with limited therapeutic options for infections caused by this emerging pathogen.","author":[{"dropping-particle":"","family":"Said","given":"Heba Shehta","non-dropping-particle":"","parse-names":false,"suffix":""},{"dropping-particle":"","family":"Abdelmegeed","given":"Eman Salama","non-dropping-particle":"","parse-names":false,"suffix":""}],"container-title":"Infection and Drug Resistance","id":"ITEM-1","issued":{"date-parts":[["2019"]]},"page":"1113-1125","publisher":"Dove Press","title":"Emergence of multidrug resistance and extensive drug resistance among enterococcal clinical isolates in Egypt","type":"article-journal","volume":"12"},"uris":["http://www.mendeley.com/documents/?uuid=840c8fed-6033-4716-a79a-51b938b573d3"]}],"mendeley":{"formattedCitation":"&lt;sup&gt;3&lt;/sup&gt;","plainTextFormattedCitation":"3","previouslyFormattedCitation":"[3]"},"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3</w:t>
            </w:r>
            <w:r w:rsidRPr="008550FA">
              <w:rPr>
                <w:b/>
                <w:bCs/>
                <w:sz w:val="20"/>
                <w:szCs w:val="20"/>
              </w:rPr>
              <w:fldChar w:fldCharType="end"/>
            </w:r>
          </w:p>
        </w:tc>
      </w:tr>
      <w:tr w:rsidR="008550FA" w:rsidRPr="008550FA" w:rsidTr="008550FA">
        <w:trPr>
          <w:cnfStyle w:val="000000100000" w:firstRow="0" w:lastRow="0" w:firstColumn="0" w:lastColumn="0" w:oddVBand="0" w:evenVBand="0" w:oddHBand="1" w:evenHBand="0" w:firstRowFirstColumn="0" w:firstRowLastColumn="0" w:lastRowFirstColumn="0" w:lastRowLastColumn="0"/>
          <w:trHeight w:val="399"/>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El-Mahdy(2018)</w:t>
            </w:r>
          </w:p>
        </w:tc>
        <w:tc>
          <w:tcPr>
            <w:tcW w:w="0" w:type="auto"/>
            <w:vAlign w:val="bottom"/>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80</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0</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58</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80</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 xml:space="preserve">disc diffusion </w:t>
            </w:r>
          </w:p>
        </w:tc>
        <w:tc>
          <w:tcPr>
            <w:tcW w:w="0" w:type="auto"/>
          </w:tcPr>
          <w:p w:rsidR="008550FA" w:rsidRPr="008550FA" w:rsidRDefault="008550FA" w:rsidP="00A453E9">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{"citationItems":[{"id":"ITEM-1","itemData":{"DOI":"10.18683/germs.2018.1145","ISSN":"22482997","PMID":"30775337","abstract":"Introduction Resistance to different antimicrobial agents is increasing in enterococci and effective treatment represents a major health concern. The aim of this study was to determine the antimicrobial resistance patterns and the frequency of high level aminoglycoside resistance (HLAR) among enterococci. Methods A total of 80 enterococcal isolates, (73 Enterococcus faecalis, 7 Enterococcus faecium) were collected from patients with hospital acquired urinary tract infections (UTI) at Mansoura University hospitals in Egypt. Antimicrobial susceptibility testing was performed via the disc diffusion method. PCR was used for identification of species and detection of aminoglycoside-modifying enzymes genes (AME). Results All enterococcal isolates were sensitive to vancomycin and linezolid. Fifty-three isolates exhibited HLAR. Our results show that HLAR was mediated by the presence of multiple AMEs genes. The aac(6')-Ie-aph(2')-Ia gene was associated with aph(3')-IIIa and ant(6)-Ia gene in 69% of HLAR isolates. Conclusion This study showed that enterococci isolated from hospital acquired UTI were resistant to multiple antibiotics. Furthermore, the frequency of high level gentamicin resistance (HLGR) was higher than high level of streptomycin resistance (HLSR). The most common AME genes were aph(3')-IIIa and ant(6)-Ia followed by aac(6')-Ie-aph(2')-Ia.","author":[{"dropping-particle":"","family":"El-Mahdy","given":"Rasha","non-dropping-particle":"","parse-names":false,"suffix":""},{"dropping-particle":"","family":"Mostafa","given":"Ahmed","non-dropping-particle":"","parse-names":false,"suffix":""},{"dropping-particle":"","family":"El-Kannishy","given":"Ghada","non-dropping-particle":"","parse-names":false,"suffix":""}],"container-title":"Germs","id":"ITEM-1","issue":"4","issued":{"date-parts":[["2018"]]},"page":"186-190","publisher":"European Academy of HIV/AIDS and Infectious Diseases","title":"High level aminoglycoside resistant enterococci in hospital-acquired urinary tract infections in Mansoura, Egypt","type":"article-journal","volume":"8"},"uris":["http://www.mendeley.com/documents/?uuid=aec0bf60-fd19-4534-9687-a67a0868d105"]}],"mendeley":{"formattedCitation":"&lt;sup&gt;4&lt;/sup&gt;","plainTextFormattedCitation":"4","previouslyFormattedCitation":"[4]"},"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4</w:t>
            </w:r>
            <w:r w:rsidRPr="008550FA">
              <w:rPr>
                <w:b/>
                <w:bCs/>
                <w:sz w:val="20"/>
                <w:szCs w:val="20"/>
              </w:rPr>
              <w:fldChar w:fldCharType="end"/>
            </w:r>
          </w:p>
        </w:tc>
      </w:tr>
      <w:tr w:rsidR="008550FA" w:rsidRPr="008550FA" w:rsidTr="008550F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Shalaby(2016)</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32</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 -</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 -</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32</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 xml:space="preserve">disc diffusion </w:t>
            </w:r>
          </w:p>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p>
        </w:tc>
        <w:tc>
          <w:tcPr>
            <w:tcW w:w="0" w:type="auto"/>
          </w:tcPr>
          <w:p w:rsidR="008550FA" w:rsidRPr="008550FA" w:rsidRDefault="008550FA" w:rsidP="00A453E9">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{"citationItems":[{"id":"ITEM-1","itemData":{"DOI":"10.7537/marslsj1301s1608","abstract":"Introduction: Enterococci have become resistant to a wide range of antibiotics which include aminoglycosides and glycopeptides like vancomycin. The rapid increase of vancomycin resistance compromises physicians' ability to treat infections caused by these strains because the therapeutic options for VRE infections are very limited. Methods: The present study included 112 hospitalized patients having nosocomial infections. Selective culture was done on bile esculinazide agar for all suspicious colonies. Enterococcal species were identified using the VITEK-2 system. Antibiotic susceptibility pattern for enterococcal isolates was done using disc diffusion method. Chromogenic medium used for screening VRE, The MIC of vancomycin was determined by E test and PCR was done for detection of vanA gene. Results: Out of 112 patients, 32 enterococci species (28.6%) were isolated. Most commonly isolated species were E. feacalis (53%), followed by E. facium (40.6%), E. avium(3.1%), and E. durans (3.1%). VRE strains were E. facium (83.3%) and E. feacalis (16.7%). By disc diffusion method, 34.4% of isolated enterococci were VRE. The same percentage was detected by Chrome agar. Lower percentage (18.8%) was detected by Vitek2 and E-test. Van A gene could be detected in 18.8% of enterococci. The highest sensitivity and specificity (100%) was proved by both E-test and Vitek2 and specificity (92%), Chrome agar showed 100% sensitivity but 81% specificity. However, disc diffusion method showed 83.3% sensitivity and 77% specificity. Accuracies of VRE detection by disk diffusion method, chrome agar, E-test method, and Vitek 2 system were 78%, 84%, 100%, 100% respectively. Conclusion: PCR assay are in agreement with E-test and Vitek2 automated system employed for identification and test susceptibility of clinical Enterococcus spp. However, disk diffusion method proved to be less reliable for detection of resistance and should be replaced by routine MIC testing.","author":[{"dropping-particle":"","family":"Mostafa Shalaby","given":"Marwa","non-dropping-particle":"","parse-names":false,"suffix":""},{"dropping-particle":"","family":"Ahmed Eshra","given":"Kareman","non-dropping-particle":"","parse-names":false,"suffix":""},{"dropping-particle":"","family":"Salem El-Naghy","given":"Wageih","non-dropping-particle":"","parse-names":false,"suffix":""},{"dropping-particle":"","family":"Mahmoud El-Sharaby","given":"Radwa","non-dropping-particle":"","parse-names":false,"suffix":""}],"container-title":"Life Science Journal","id":"ITEM-1","issue":"1s","issued":{"date-parts":[["2016"]]},"page":"71-78","title":"Comparative study between molecular and non-molecular methods used for detection of Vancomycin Resistant Enterococci in Tanta University Hospitals, Egypt","type":"article-journal","volume":"13"},"uris":["http://www.mendeley.com/documents/?uuid=0592cdfe-ad45-4c8f-93a6-bc64f2f633e3"]}],"mendeley":{"formattedCitation":"&lt;sup&gt;7&lt;/sup&gt;","plainTextFormattedCitation":"7","previouslyFormattedCitation":"[7]"},"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7</w:t>
            </w:r>
            <w:r w:rsidRPr="008550FA">
              <w:rPr>
                <w:b/>
                <w:bCs/>
                <w:sz w:val="20"/>
                <w:szCs w:val="20"/>
              </w:rPr>
              <w:fldChar w:fldCharType="end"/>
            </w:r>
          </w:p>
        </w:tc>
      </w:tr>
      <w:tr w:rsidR="008550FA" w:rsidRPr="008550FA" w:rsidTr="00855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Kishk(2021)</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tl/>
              </w:rPr>
              <w:t>100</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10</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38</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24</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 xml:space="preserve">disc diffusion </w:t>
            </w:r>
          </w:p>
        </w:tc>
        <w:tc>
          <w:tcPr>
            <w:tcW w:w="0" w:type="auto"/>
          </w:tcPr>
          <w:p w:rsidR="008550FA" w:rsidRPr="008550FA" w:rsidRDefault="008550FA" w:rsidP="00A453E9">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10.21608/ejmm.2021.94566.1006","author":[{"dropping-particle":"","family":"Kishk","given":"Rania","non-dropping-particle":"","parse-names":false,"suffix":""},{"dropping-particle":"","family":"Nemr","given":"Nader","non-dropping-particle":"","parse-names":false,"suffix":""},{"dropping-particle":"","family":"Soliman","given":"Nourhan","non-dropping-particle":"","parse-names":false,"suffix":""},{"dropping-particle":"","family":"Riad","given":"Eman","non-dropping-particle":"","parse-names":false,"suffix":""},{"dropping-particle":"","family":"Ahmed","given":"Mona","non-dropping-particle":"","parse-names":false,"suffix":""},{"dropping-particle":"","family":"Soliman","given":"Nahaat","non-dropping-particle":"","parse-names":false,"suffix":""}],"container-title":"Egyptian Journal of Medical Microbiology","id":"ITEM-1","issue":"0","issued":{"date-parts":[["2021"]]},"page":"0-0","title":"High-Level Aminoglycoside and Vancomycin Resistance in Enterococcus spp. Isolated from Hospital Acquired Infections, Ismailia, Egypt.","type":"article-journal","volume":"0"},"uris":["http://www.mendeley.com/documents/?uuid=dfe8c78a-db05-45ab-b61f-6fbdb05a4a5f"]}],"mendeley":{"formattedCitation":"&lt;sup&gt;9&lt;/sup&gt;","plainTextFormattedCitation":"9","previouslyFormattedCitation":"[9]"},"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9</w:t>
            </w:r>
            <w:r w:rsidRPr="008550FA">
              <w:rPr>
                <w:b/>
                <w:bCs/>
                <w:sz w:val="20"/>
                <w:szCs w:val="20"/>
              </w:rPr>
              <w:fldChar w:fldCharType="end"/>
            </w:r>
          </w:p>
        </w:tc>
      </w:tr>
      <w:tr w:rsidR="008550FA" w:rsidRPr="008550FA" w:rsidTr="008550F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El Shenawy(2016)</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162</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 -</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 -</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75</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 xml:space="preserve">disc diffusion </w:t>
            </w:r>
          </w:p>
        </w:tc>
        <w:tc>
          <w:tcPr>
            <w:tcW w:w="0" w:type="auto"/>
          </w:tcPr>
          <w:p w:rsidR="008550FA" w:rsidRPr="008550FA" w:rsidRDefault="008550FA" w:rsidP="00A453E9">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{"citationItems":[{"id":"ITEM-1","itemData":{"DOI":"10.12816/0037103","ISSN":"11102179","author":[{"dropping-particle":"","family":"Shenawy","given":"Gehan A.","non-dropping-particle":"El","parse-names":false,"suffix":""},{"dropping-particle":"","family":"Abdel-Latif","given":"Randa S.","non-dropping-particle":"","parse-names":false,"suffix":""},{"dropping-particle":"","family":"Shedeed","given":"Dina S.","non-dropping-particle":"","parse-names":false,"suffix":""}],"container-title":"The Egyptian Journal of Medical Microbiology","id":"ITEM-1","issue":"1","issued":{"date-parts":[["2016"]]},"page":"141-148","title":"Detection of VanA, VanB and VanC Genes in Vancomycin Resistant Enterococci in Zagazig University Hospitals","type":"article-journal","volume":"25"},"uris":["http://www.mendeley.com/documents/?uuid=a16c4612-b821-4a0e-96e9-71bc920d4590"]}],"mendeley":{"formattedCitation":"&lt;sup&gt;10&lt;/sup&gt;","plainTextFormattedCitation":"10","previouslyFormattedCitation":"[10]"},"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10</w:t>
            </w:r>
            <w:r w:rsidRPr="008550FA">
              <w:rPr>
                <w:b/>
                <w:bCs/>
                <w:sz w:val="20"/>
                <w:szCs w:val="20"/>
              </w:rPr>
              <w:fldChar w:fldCharType="end"/>
            </w:r>
          </w:p>
        </w:tc>
      </w:tr>
      <w:tr w:rsidR="008550FA" w:rsidRPr="008550FA" w:rsidTr="00855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Hassan(2017)</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tl/>
              </w:rPr>
              <w:t>67</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0</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 -</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30</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p>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disc diffusion</w:t>
            </w:r>
          </w:p>
        </w:tc>
        <w:tc>
          <w:tcPr>
            <w:tcW w:w="0" w:type="auto"/>
          </w:tcPr>
          <w:p w:rsidR="008550FA" w:rsidRPr="008550FA" w:rsidRDefault="008550FA" w:rsidP="00A453E9">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{"citationItems":[{"id":"ITEM-1","itemData":{"DOI":"10.1016/j.jgar.2017.12.005","ISSN":"22137173","PMID":"29274469","abstract":"Objectives The incidence of reduced susceptibility to tigecycline (TIG) is increasing. This study aimed to analyse the in vitro activity of TIG against Enterococcus spp. isolates recovered from hospitalised patients and to evaluate the effect of omeprazole on the in vitro antimicrobial activity of TIG against several enterococcal species. Methods A total of 67 Enterococcus clinical isolates were identified by MALDI-TOF/MS and multiplex PCR. Minimum inhibitory concentrations (MICs) of TIG alone and in combination with omeprazole (10, 30 and 60 mg/L) were determined by broth microdilution. Antibiotic susceptibility to other antibiotics was determined by disk diffusion. The presence of van, tet(X) and tet(X1) genes was tested by multiplex PCR. Results Of the 67 Enterococcus isolates, 2 (3.0%) were resistant to TIG and 13 (19.4%) were intermediate-resistant according to EUCAST. The frequencies of resistance to norfloxacin (80.6%), doxycycline (80.6%), levofloxacin (74.6%) and ciprofloxacin (71.6%) were highest, whilst that of vancomycin (25.4%) was lowest. The vanA gene was detected in 11 Enterococcus isolates (8 Enterococcus faecalis, 3 Enterococcus faecium), vanB in 3 Enterococcus isolates (2 E. faecium, 1 E. faecalis) and vanC-2/3 in 3 Enterococcus casseliflavus. Nine isolates (13.4%) were positive for tet(X1). TIG resistance occurred both in patients receiving or not TIG and/or omeprazole. Omeprazole increased TIG MICs by 4–128-fold. Conclusions The possibility of selection of TIG-non-susceptible Enterococcus in the gut may occur with long-term use of omeprazole. Omeprazole influenced TIG activity in a concentration-dependent manner. To our knowledge; this is the first report of TIG-non-susceptible Enterococcus spp. in Egypt.","author":[{"dropping-particle":"","family":"Hassan","given":"Reem Mostafa","non-dropping-particle":"","parse-names":false,"suffix":""},{"dropping-particle":"","family":"Ghaith","given":"Doaa Mohammad","non-dropping-particle":"","parse-names":false,"suffix":""},{"dropping-particle":"","family":"Ismail","given":"Dalia Kadry","non-dropping-particle":"","parse-names":false,"suffix":""},{"dropping-particle":"","family":"Zafer","given":"Mai Mahmoud","non-dropping-particle":"","parse-names":false,"suffix":""}],"container-title":"Journal of Global Antimicrobial Resistance","id":"ITEM-1","issued":{"date-parts":[["2018"]]},"page":"68-72","title":"Reduced susceptibility of Enterococcus spp. isolates from Cairo University Hospital to tigecycline: Highlight on the influence of proton pump inhibitors","type":"article-journal","volume":"12"},"uris":["http://www.mendeley.com/documents/?uuid=d2f426d5-c05d-46df-b207-1789aa3fb54b"]}],"mendeley":{"formattedCitation":"&lt;sup&gt;12&lt;/sup&gt;","plainTextFormattedCitation":"12","previouslyFormattedCitation":"[12]"},"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12</w:t>
            </w:r>
            <w:r w:rsidRPr="008550FA">
              <w:rPr>
                <w:b/>
                <w:bCs/>
                <w:sz w:val="20"/>
                <w:szCs w:val="20"/>
              </w:rPr>
              <w:fldChar w:fldCharType="end"/>
            </w:r>
          </w:p>
        </w:tc>
      </w:tr>
      <w:tr w:rsidR="008550FA" w:rsidRPr="008550FA" w:rsidTr="008550F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Alatrouny(2020)</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48</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1</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28</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32</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disc diffusion</w:t>
            </w:r>
          </w:p>
        </w:tc>
        <w:tc>
          <w:tcPr>
            <w:tcW w:w="0" w:type="auto"/>
          </w:tcPr>
          <w:p w:rsidR="008550FA" w:rsidRPr="008550FA" w:rsidRDefault="008550FA" w:rsidP="00A453E9">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{"citationItems":[{"id":"ITEM-1","itemData":{"DOI":"10.21608/amj.2020.120651","author":[{"dropping-particle":"","family":"M. Alatrouny","given":"Al-Mahdy","non-dropping-particle":"","parse-names":false,"suffix":""},{"dropping-particle":"","family":"A. Amin","given":"Mohamed","non-dropping-particle":"","parse-names":false,"suffix":""},{"dropping-particle":"","family":"S. Shabana","given":"Hosamalden","non-dropping-particle":"","parse-names":false,"suffix":""}],"container-title":"Al-Azhar Medical Journal","id":"ITEM-1","issue":"4","issued":{"date-parts":[["2020"]]},"page":"1955-1964","title":"Prevalence of Vancomycin Resistant Enterococci Among Patients With Nosocomial Infections in Intensive Care Unit","type":"article-journal","volume":"49"},"uris":["http://www.mendeley.com/documents/?uuid=ec0a1055-59bb-4aad-87ec-56433c38ce76"]}],"mendeley":{"formattedCitation":"&lt;sup&gt;14&lt;/sup&gt;","plainTextFormattedCitation":"14","previouslyFormattedCitation":"[14]"},"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14</w:t>
            </w:r>
            <w:r w:rsidRPr="008550FA">
              <w:rPr>
                <w:b/>
                <w:bCs/>
                <w:sz w:val="20"/>
                <w:szCs w:val="20"/>
              </w:rPr>
              <w:fldChar w:fldCharType="end"/>
            </w:r>
          </w:p>
        </w:tc>
      </w:tr>
      <w:tr w:rsidR="008550FA" w:rsidRPr="008550FA" w:rsidTr="00855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Alm El-Din(2012)</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tl/>
              </w:rPr>
              <w:t>111</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1</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 -</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35</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disc diffusion</w:t>
            </w:r>
          </w:p>
        </w:tc>
        <w:tc>
          <w:tcPr>
            <w:tcW w:w="0" w:type="auto"/>
          </w:tcPr>
          <w:p w:rsidR="008550FA" w:rsidRPr="008550FA" w:rsidRDefault="008550FA" w:rsidP="00A453E9">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{"citationItems":[{"id":"ITEM-1","itemData":{"DOI":"10.5897/AJMR12.1144","ISSN":"1996-0808","abstract":"This work aimed at determining the occurrence, species prevalence, antibacterial resistance, and genetic characteristics of vancomycin-resistant enterococci (VRE) isolated from cases of neonatal sepsis at neonatal intensive care unit (NICU). Out of 134 blood samples of neonatal sepsis enterococci were isolated from 111 cases. Of these 111 strains VRE strains were identified and the resistance genotype was determined by polymerase chain reaction (PCR). The results of the study showed that 3 isolates (2.98%) were identified as VRE in cases of early onset sepsis and 5 isolates (4.47%) were identified as VRE in cases of late onset sepsis. The majority of the isolates were resistant to erythromycin (57.7%), ciprofloxacin (45.9%), where all isolates were susceptible to linezolid except one isolate (0.9%) of Enterococcus faecium. This study showed that 4 strains of Enterococcus faecalis, and all of E. faecium and Enterococcus gallinarum strains were positive for VanA genotype. VanB products were detected in three isolates (two strains of E. feacalis and one strain of E. feacium), and PCR of the VanC gene was obtained from two isolates (one E. gallinarum specimen, and one E. feacium specimen). This study showed an emergence of VRE along with increased rate of multidrug-resistant enterococci in cases of neonatal sepsis. Regular surveillance of antimicrobial susceptibilities should be done regularly and the risk factors should be determined.","author":[{"dropping-particle":"","family":"El-din","given":"Rasha A Alm","non-dropping-particle":"","parse-names":false,"suffix":""},{"dropping-particle":"","family":"El-mahdy","given":"Heba Said","non-dropping-particle":"","parse-names":false,"suffix":""}],"container-title":"African Journal of Microbiology Research","id":"ITEM-1","issue":"44","issued":{"date-parts":[["2012"]]},"page":"7206-7211","title":"Molecular characterization of enterococcus strains isolated from cases of neonatal sepsis in neonatal intensive care unit","type":"article-journal","volume":"6"},"uris":["http://www.mendeley.com/documents/?uuid=fbd57491-405d-4617-a98e-26078034684f"]}],"mendeley":{"formattedCitation":"&lt;sup&gt;15&lt;/sup&gt;","plainTextFormattedCitation":"15","previouslyFormattedCitation":"[15]"},"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15</w:t>
            </w:r>
            <w:r w:rsidRPr="008550FA">
              <w:rPr>
                <w:b/>
                <w:bCs/>
                <w:sz w:val="20"/>
                <w:szCs w:val="20"/>
              </w:rPr>
              <w:fldChar w:fldCharType="end"/>
            </w:r>
          </w:p>
        </w:tc>
      </w:tr>
      <w:tr w:rsidR="008550FA" w:rsidRPr="008550FA" w:rsidTr="008550F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Fahmy(2021)</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52</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 -</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 -</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40</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disc diffusion</w:t>
            </w:r>
          </w:p>
        </w:tc>
        <w:tc>
          <w:tcPr>
            <w:tcW w:w="0" w:type="auto"/>
          </w:tcPr>
          <w:p w:rsidR="008550FA" w:rsidRPr="008550FA" w:rsidRDefault="008550FA" w:rsidP="00A453E9">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{"citationItems":[{"id":"ITEM-1","itemData":{"DOI":"10.21608/mid.2021.76391.1158","ISBN":"2021.76391.1158","ISSN":"2682-4132","abstract":"Background:  Enterococci are considered as the third most common cause of nosocomial infections. Enterococci acquire antibiotic resistance by gene transfer. Virulence factors facilitate colonization and evasion from the immune system.  Our objectives were to evaluate the distribution of virulence markers and genes among Enterococci isolated from intensive care unit (ICU) in Sohag University Hospital and to determine the antibiotic resistance pattern of enterococci. Methods: Virulence markers were detected by gelatinase test, caseinase test, slime layer production and modified micro titer plate method. PCR is used for identification of enterococcal species and detection of virulence genes as gel E, asa 1, esp, hyl and cyl A.  Antibiotic sensitivity tests were performed by disc diffusion method by using ampicillin, vancomycin, tetracycline, erythromycin and teichoplanin. Vancomycin minimum inhibitory concentrations (MICs) were measured by E-test. Results: Vancomycin resistant Enterococci (VRE) was detected in 38.4 % of isolates.  There was no significant difference in the distribution of all virulence markers between E. faecalis and E. faecium. The hyl gene was more commonly detected in E. faecalis (p-value= 0.01). Enterococci isolated from cases of surgical site infection (SSI) , pneumonia and sepsis contain multiple virulence genes with the highest percentage. Vancomycin  resistance was higher in gel E positive and asa1 positive E. faecalis than negative E. faecalis. Conclusion:  Multi-drug resistance (MDR) was detected in 57.6% of Enterococci. E. faecalis and E. faecium have the same degree of virulence. An association was noted between the esp &lt; /em&gt; &amp; asa 1 genes and biofilm formation.","author":[{"dropping-particle":"","family":"fahmy","given":"nahed","non-dropping-particle":"","parse-names":false,"suffix":""},{"dropping-particle":"","family":"Abdel-Gawad","given":"Abdelhady","non-dropping-particle":"","parse-names":false,"suffix":""},{"dropping-particle":"","family":"Rezk","given":"Ghada","non-dropping-particle":"","parse-names":false,"suffix":""},{"dropping-particle":"","family":"Mahmoud","given":"Ekram","non-dropping-particle":"","parse-names":false,"suffix":""}],"container-title":"Microbes and Infectious Diseases","id":"ITEM-1","issue":"0","issued":{"date-parts":[["2021","11"]]},"page":"0-0","publisher":"Zagazig University, Faculty of Medicine","title":"Characterization of Enterococci isolated from intensive care unit (ICU); Distribution of virulence markers, virulence genes and antibiotic resistance pattern","type":"article-journal","volume":"0"},"uris":["http://www.mendeley.com/documents/?uuid=e23a19ae-5482-4cfd-985b-f46b44eca2c1"]}],"mendeley":{"formattedCitation":"&lt;sup&gt;16&lt;/sup&gt;","plainTextFormattedCitation":"16","previouslyFormattedCitation":"[16]"},"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16</w:t>
            </w:r>
            <w:r w:rsidRPr="008550FA">
              <w:rPr>
                <w:b/>
                <w:bCs/>
                <w:sz w:val="20"/>
                <w:szCs w:val="20"/>
              </w:rPr>
              <w:fldChar w:fldCharType="end"/>
            </w:r>
          </w:p>
        </w:tc>
      </w:tr>
      <w:tr w:rsidR="008550FA" w:rsidRPr="008550FA" w:rsidTr="00855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Fahim(2021)</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tl/>
              </w:rPr>
              <w:t>151</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0</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95</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98</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disc diffusion</w:t>
            </w:r>
          </w:p>
        </w:tc>
        <w:tc>
          <w:tcPr>
            <w:tcW w:w="0" w:type="auto"/>
          </w:tcPr>
          <w:p w:rsidR="008550FA" w:rsidRPr="008550FA" w:rsidRDefault="008550FA" w:rsidP="00A453E9">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{"citationItems":[{"id":"ITEM-1","itemData":{"DOI":"10.1186/s42506-020-00065-8","ISSN":"2090262X","abstract":"Background: The nightmare of the rising numbers of multidrug-resistant organisms (MDROs) requires the implementation of effective stewardship programs. However, this should be preceeded by making available evidence-based knowledge regarding the local antimicrobial resistance pattern, which is fundamental. The aim of the current study is to determine the prevalence of MDRO among different Ain Shams University Hospitals (ASUHs) intensive care units (ICUs) and detect the resistance profile of the common pathogens. Results: The 1-year records of a total of 1280 pathogens were studied. The highest number of pathogens were isolated from blood cultures (44.84%), followed by urine (41.41%) then wound swabs (13.75%). Gram-negative isolates (57.5%) were more prevalent than gram-positive ones (31.1%). The most frequently isolated pathogens were Klebsiella spp. (22.5%), Escherichia coli (13.4%), and Coagulase-negative Staphylococci (12.5%). The highest percentage of resistance among gram-positive organisms was exhibited by penicillin (89.5%) followed by erythromycin (83.98%) and then cefoxitin (76.52%). None of the isolates showed resistance to linezolid and resistance to vancomycin was minimal (2.62%). Gram-negative isolates exhibited high overall resistance to all used antibiotic classes. The least frequency of resistance was recorded against nitrofurantoin (52.5%), amikacin (58.01%), followed by imipenem (59.78%) and meropenem (61.82%). All isolates of Pseudomonas and Acinetobacter showed 100% susceptibility to colistin. Conclusions: The prevalence of antibiotic resistance in Ain Shams University Hospitals (ASUHs) was high among both gram-negative and gram-positive organisms. This high resistance pattern foreshadows an inevitable catastrophe that requires continuous monitoring and implementation of effective antibiotic stewardship.","author":[{"dropping-particle":"","family":"Fahim","given":"Noha Alaa Eldin","non-dropping-particle":"","parse-names":false,"suffix":""}],"container-title":"Journal of the Egyptian Public Health Association","id":"ITEM-1","issue":"1","issued":{"date-parts":[["2021","12"]]},"publisher":"Springer Science and Business Media Deutschland GmbH","title":"Prevalence and antimicrobial susceptibility profile of multidrug-resistant bacteria among intensive care units patients at Ain Shams University Hospitals in Egypt—a retrospective study","type":"article-journal","volume":"96"},"uris":["http://www.mendeley.com/documents/?uuid=86903b98-2f1e-4f86-a5a9-fc662cd06246"]}],"mendeley":{"formattedCitation":"&lt;sup&gt;17&lt;/sup&gt;","plainTextFormattedCitation":"17","previouslyFormattedCitation":"[17]"},"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17</w:t>
            </w:r>
            <w:r w:rsidRPr="008550FA">
              <w:rPr>
                <w:b/>
                <w:bCs/>
                <w:sz w:val="20"/>
                <w:szCs w:val="20"/>
              </w:rPr>
              <w:fldChar w:fldCharType="end"/>
            </w:r>
          </w:p>
        </w:tc>
      </w:tr>
      <w:tr w:rsidR="008550FA" w:rsidRPr="008550FA" w:rsidTr="008550F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Abdelkareem(2016)</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tl/>
              </w:rPr>
              <w:t>57</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8</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20</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 -</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disc diffusion</w:t>
            </w:r>
          </w:p>
        </w:tc>
        <w:tc>
          <w:tcPr>
            <w:tcW w:w="0" w:type="auto"/>
          </w:tcPr>
          <w:p w:rsidR="008550FA" w:rsidRPr="008550FA" w:rsidRDefault="008550FA" w:rsidP="00A453E9">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vertAlign w:val="superscript"/>
              </w:rPr>
            </w:pPr>
            <w:r w:rsidRPr="008550FA">
              <w:rPr>
                <w:b/>
                <w:bCs/>
                <w:sz w:val="20"/>
                <w:szCs w:val="20"/>
              </w:rPr>
              <w:fldChar w:fldCharType="begin" w:fldLock="1"/>
            </w:r>
            <w:r w:rsidR="00A453E9">
              <w:rPr>
                <w:b/>
                <w:bCs/>
                <w:sz w:val="20"/>
                <w:szCs w:val="20"/>
              </w:rPr>
              <w:instrText>ADDIN CSL_CITATION {"citationItems":[{"id":"ITEM-1","itemData":{"DOI":"10.1080/1120009X.2016.1182358","ISSN":"19739478","PMID":"27351108","abstract":"The prevalence of Enterococcus faecalis (E. faecalis) infections among Egyptians with urinary tract infection (UTI), their antimicrobial susceptibility and mechanisms of resistance are under investigated. In this study, 300 urine samples were collected from UTI patients to identify E. faecalis. Antimicrobial susceptibility to 18 antimicrobial agents was tested. The presence of aac(6)-Ie-aph(2)Ia, erm(B) and mef(A/E) genes was examined by PCR. Fifty-seven (19%) isolates were identified as E. faecalis. All isolates were sensitive to teicoplanin and were completely resistant to nalidixic acid, cefotaxime and cefadroxil. Multi-drug-resistant (MDR) was found to be 100% with 45 different antibiotypes. The aac(6)Ia-aph(2)Ia gene was found in 100 and 90% of the isolates resistant to gentamicin at concentrations of 120 and 10 μg, respectively. erm(B) and mef(A/E) genes were present in 92.5% (37/40) and 2.5% (1/40) of erythromycin-resistant isolates, respectively. We conclude that there is a high prevalence of E. faecalis in UTI cases with a 100% MDR rate indicating a serious problem in treating infections by this organism in Egypt.","author":[{"dropping-particle":"","family":"Abdelkareem","given":"Mohammad Z.","non-dropping-particle":"","parse-names":false,"suffix":""},{"dropping-particle":"","family":"Sayed","given":"Mohamed","non-dropping-particle":"","parse-names":false,"suffix":""},{"dropping-particle":"","family":"Hassuna","given":"Noha A.","non-dropping-particle":"","parse-names":false,"suffix":""},{"dropping-particle":"","family":"Mahmoud","given":"Mahmoud S.","non-dropping-particle":"","parse-names":false,"suffix":""},{"dropping-particle":"","family":"Abdelwahab","given":"Sayed F.","non-dropping-particle":"","parse-names":false,"suffix":""}],"container-title":"Journal of Chemotherapy","id":"ITEM-1","issue":"2","issued":{"date-parts":[["2017","3"]]},"page":"74-82","publisher":"Taylor and Francis Ltd.","title":"Multi-drug-resistant Enterococcus faecalis among Egyptian patients with urinary tract infection","type":"article-journal","volume":"29"},"uris":["http://www.mendeley.com/documents/?uuid=5ee0cf7f-63f1-48b1-b15e-2ffc2ac4690c"]}],"mendeley":{"formattedCitation":"&lt;sup&gt;18&lt;/sup&gt;","plainTextFormattedCitation":"18","previouslyFormattedCitation":"[18]"},"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18</w:t>
            </w:r>
            <w:r w:rsidRPr="008550FA">
              <w:rPr>
                <w:b/>
                <w:bCs/>
                <w:sz w:val="20"/>
                <w:szCs w:val="20"/>
              </w:rPr>
              <w:fldChar w:fldCharType="end"/>
            </w:r>
          </w:p>
        </w:tc>
      </w:tr>
      <w:tr w:rsidR="008550FA" w:rsidRPr="008550FA" w:rsidTr="008550FA">
        <w:trPr>
          <w:cnfStyle w:val="000000100000" w:firstRow="0" w:lastRow="0" w:firstColumn="0" w:lastColumn="0" w:oddVBand="0" w:evenVBand="0" w:oddHBand="1" w:evenHBand="0" w:firstRowFirstColumn="0" w:firstRowLastColumn="0" w:lastRowFirstColumn="0" w:lastRowLastColumn="0"/>
          <w:trHeight w:val="356"/>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Aladarose(2019)</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tl/>
              </w:rPr>
              <w:t>70</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8</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 </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43</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disc diffusion</w:t>
            </w:r>
          </w:p>
        </w:tc>
        <w:tc>
          <w:tcPr>
            <w:tcW w:w="0" w:type="auto"/>
          </w:tcPr>
          <w:p w:rsidR="008550FA" w:rsidRPr="008550FA" w:rsidRDefault="008550FA" w:rsidP="00A453E9">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{"citationItems":[{"id":"ITEM-1","itemData":{"DOI":"10.1089/MDR.2018.0320","ISSN":"19318448","PMID":"30811265","abstract":"Background: Although Enterococci compromise an essential part of normal gut microbiota of both animals and humans, they have emerged as a leading opportunistic pathogen causing infections. The pathogenesis of enterococci is attributed to an array of virulence determinants. Objectives: This study aims to explore the prevalence and characteristics of enterococcal clinical isolates collected from Mansoura University Hospitals, Egypt, assess their ability to form biofilm, and the correlation with virulence determinants and antimicrobial resistance. Materials and Methods: A total of 70 Enterococcal clinical isolates were collected from different clinical sources between June and December 2016. Biofilm formation capacity was assessed, and characterization of virulence factors and antibiotic susceptibility was performed. Clonal relatedness between isolates was assessed using enterobacterial repetitive intergenic consensus-PCR (ERIC-PCR) approach. Results and Conclusion: The molecular analysis demonstrated high genetic diversity among enterococcal clinical isolates. The gelE was the most frequently detected gene (91.4%), followed by asa1 (70%), esp (65.7%), and cylA (17.1%), while hyl was not detected in any isolate. Gelatinase activity was detected in 35.7%, while hemolysin and lipase activity was detected in 12.9% and 78.5%, respectively. Most of the enterococcal isolates were biofilm producers, of which 67.1% were strong/moderate biofilm producers. All linezolid-resistant isolates exhibited strong/moderate biofilm formation capacity. Strong/moderate biofilm formation was more frequently observed among esp-positive (esp+) and gelatinase nonproducing (gelatinase-) enterococcal isolates. Multiple regression analysis denoted that esp (odds ratio [OR] 5.371, p = 0.003) and gelatinase production (OR 0.264, p = 0.015) were associated with strong/moderate biofilm formation capacity. These findings suggest that esp gene positivity and gelatinase production may affect biofilm formation capacity among enterococcal clinical isolates.","author":[{"dropping-particle":"","family":"Aladarose","given":"Basant Elmetwally","non-dropping-particle":"","parse-names":false,"suffix":""},{"dropping-particle":"","family":"Said","given":"Heba Shehta","non-dropping-particle":"","parse-names":false,"suffix":""},{"dropping-particle":"","family":"Abdelmegeed","given":"Eman Salama","non-dropping-particle":"","parse-names":false,"suffix":""}],"container-title":"Microbial Drug Resistance","id":"ITEM-1","issue":"6","issued":{"date-parts":[["2019","7"]]},"page":"880-889","publisher":"Mary Ann Liebert Inc.","title":"Incidence of Virulence Determinants among Enterococcal Clinical Isolates in Egypt and Its Association with Biofilm Formation","type":"article-journal","volume":"25"},"uris":["http://www.mendeley.com/documents/?uuid=c283118c-3d38-453e-9e37-e74d42e13007"]}],"mendeley":{"formattedCitation":"&lt;sup&gt;19&lt;/sup&gt;","plainTextFormattedCitation":"19","previouslyFormattedCitation":"[19]"},"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19</w:t>
            </w:r>
            <w:r w:rsidRPr="008550FA">
              <w:rPr>
                <w:b/>
                <w:bCs/>
                <w:sz w:val="20"/>
                <w:szCs w:val="20"/>
              </w:rPr>
              <w:fldChar w:fldCharType="end"/>
            </w:r>
          </w:p>
        </w:tc>
      </w:tr>
      <w:tr w:rsidR="008550FA" w:rsidRPr="008550FA" w:rsidTr="008550F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Gaballah(2022)</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tl/>
              </w:rPr>
              <w:t>30</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0</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 -</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3</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disc diffusion</w:t>
            </w:r>
          </w:p>
        </w:tc>
        <w:tc>
          <w:tcPr>
            <w:tcW w:w="0" w:type="auto"/>
          </w:tcPr>
          <w:p w:rsidR="008550FA" w:rsidRPr="008550FA" w:rsidRDefault="008550FA" w:rsidP="00A453E9">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{"citationItems":[{"id":"ITEM-1","itemData":{"DOI":"10.21608/mid.2022.129600.1265","abstract":"This is an open access article under the CC BY 4.0 license https://creativecommons.org/licenses/by/4.0/. Introduction Neonatal sepsis is a leading global health problem. The global prevalence is one to ten per one thousand live births. The problem of sepsis is greater in developing countries. The mortality rate of sepsis may reach 50% for untreated newborns. Early onset neonatal sepsis (EOS) is caused by the transmission of pathogens to the fetus from the mother during delivery. Late onset neonatal sepsis (LOS) on the other hand, occurs by transmission of pathogens to the newborn after delivery, such as contact with healthcare workers and Midwives. Neonatal sepsis is manifested with a diversity of systemic signs and symptoms and confirmed by isolation of an infectious agent from the blood [1,2]. Neonatal sepsis is widely classified into EOS and LOS. Early onset sepsis is defined as sepsis within 48-72 hours of birth, it is associated with bacteremia with or without meningitis. The Keywords: Neonatal sepsis Early onset sepsis Late onset sepsis Multi drug resistance BACT/ALERT m A B S T R A C T Background: This study aimed at analyzing the microbiological profile of neonatal sepsis in Egypt and to determine the antibiotic susceptibility patterns of the isolated microorganisms. Methods: Two thousand and four hundred blood samples were collected from neonates showing symptoms suggestive of septicemia, inoculated into BACT/ALERT culture bottles. Positive blood culture samples were identified and tested for antimicrobial susceptibility. Results: Among the neonates included in our study, 457 (19%) neonates were positively diagnosed with sepsis. early onset neonatal sepsis (EOS) was detected in 181 (39.6%), while late-onset neonatal sepsis (LOS) in 276 (60.4%) cases. Klebsiella pneumoniae was the most commonly isolated microorganism. Staphylococcus aureus and Enterococcus spp. were the most common isolated Gram-positive bacteria. Candida spp. was more encountered in LOS. An alarming feature of the present study is the high incidence of multidrug resistant microorganisms (65%). Among Gram negative isolates (56%) of were extended spectrum beta-lactamase (ESBL) producers and (70.5%) were carbapenem resistant. In Gram positive bacteria, resistance to methicillin in S. aureus and coagulase negative staphylococci were detected in (50%) and (41%) of isolates respectively. Additionally, 17% of Enterococcus isolates were vancomycin resistant. Coclusion: Our bacteriologi…","author":[{"dropping-particle":"","family":"Gaballah","given":"Ahmed","non-dropping-particle":"","parse-names":false,"suffix":""},{"dropping-particle":"","family":"Shawky","given":"Sherine","non-dropping-particle":"","parse-names":false,"suffix":""},{"dropping-particle":"","family":"Amer","given":"Ahmed","non-dropping-particle":"","parse-names":false,"suffix":""}],"container-title":"Microbes and Infectious Diseases","id":"ITEM-1","issue":"0","issued":{"date-parts":[["2022"]]},"page":"0-0","publisher":"Aericle-In-Press","title":"Microbiological profiles of neonatal sepsis in northern Egypt","type":"article-journal","volume":"0"},"uris":["http://www.mendeley.com/documents/?uuid=d5e37b73-8132-45f8-a641-7025edfcbea6"]}],"mendeley":{"formattedCitation":"&lt;sup&gt;20&lt;/sup&gt;","plainTextFormattedCitation":"20","previouslyFormattedCitation":"[20]"},"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20</w:t>
            </w:r>
            <w:r w:rsidRPr="008550FA">
              <w:rPr>
                <w:b/>
                <w:bCs/>
                <w:sz w:val="20"/>
                <w:szCs w:val="20"/>
              </w:rPr>
              <w:fldChar w:fldCharType="end"/>
            </w:r>
          </w:p>
        </w:tc>
      </w:tr>
      <w:tr w:rsidR="008550FA" w:rsidRPr="008550FA" w:rsidTr="00855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Alzahrani(2020)</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tl/>
              </w:rPr>
              <w:t>59</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5</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 -</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 -</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disc diffusion</w:t>
            </w:r>
          </w:p>
        </w:tc>
        <w:tc>
          <w:tcPr>
            <w:tcW w:w="0" w:type="auto"/>
          </w:tcPr>
          <w:p w:rsidR="008550FA" w:rsidRPr="008550FA" w:rsidRDefault="008550FA" w:rsidP="00A453E9">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{"citationItems":[{"id":"ITEM-1","itemData":{"DOI":"10.29328/journal.abb.1001018","abstract":"Fifty nine isolates belonging to six species of Enterococci namely, Enterococcus faecalis, Enterococcus faecium, Enterococcus raffinosus, Enterococcus durans, Enterococcus mundtiiand Enterococcus avium (n = 35, 15, 4, 3, 1 and 1 isolates, respectively) were obtained from different clinical specimens including urine, pus, blood, wound, sputum and synovial fluid. The highest numbers of Enterococci were recorded from the pus (20 isolates, 33.90%) followed by urine (12 isolates, 20.34%) while the lowest frequency was observed with synovial fluid samples (2 isolates, 3.39%). These isolates showed different multidrug resistant patterns with the lowest resistant for linezolid (n = 5, 8.48%), followed by teicoplanin (n = 14, 23.73%) and vancomycin (n = 20, 33.90%) while they exhibited the highest resistant against penicillin (n = 53, 89.83%), oxacillin (n = 50, 84.75%), erythromycin (n = 49, 83.05%) and streptomycin (n = 47, 79.66 %). On the other hand, a free living marine bacterium under isolation code ESRAA3010 was isolated from seawater samples obtained from the fishing area Masturah, Red Sea, Jeddah, Saudi Arabia. The phenotypic, chemotaxonomic, 16S rRNA gene analyses and phylogenetic data proved that isolate ESRAA3010 is very close to Bacillus subtilis and then it was designated as Bacillus subtilis ESRAA3010. It gave the highest antagonistic activity against all clinical Enterococcus faecalis, Enterococcus faecium, Enterococcus raffinosus, Enterococcus durans, Enterococcus mundtiiand Enterococcus avium isolates under study with minimum inhibitory concentration (MIC) ranged from 4 to 56 µg/mL, 4 to 12 µg/mL, 4 to 8 µg/mL, 4 to 8 µg/mL, 8 µg/mL and 4 µg/mL, respectively as well as minimum bactericidal concentration (MBC) (8 to 64 µg/mL, 4 to 16 µg/mL, 4 to 12 µg/mL, 4 to 16 µg/mL, 12 µg/mL and 8 µg/mL, respectively). Moreover it showed anti-proliferative activity against colon (HCT-116), liver (HepG-2), breast (MCF-7) and lung (A-549) carcinomas with IC50 equal to 39, 50, 75 and 19 µg/mL, respectively which indicates its prospective usage in the upcoming decades.","author":[{"dropping-particle":"","family":"Nourah Hassan","given":"Alzahran","non-dropping-particle":"","parse-names":false,"suffix":""},{"dropping-particle":"","family":"Esraa Ahmed","given":"Mohamed","non-dropping-particle":"","parse-names":false,"suffix":""}],"container-title":"Archives of Biotechnology and Biomedicine","id":"ITEM-1","issue":"1","issued":{"date-parts":[["2020"]]},"page":"018-027","title":"Evaluation of the antibacterial and anticancer activities of marine Bacillus subtilis ESRAA3010 against different multidrug resistant Enterococci (MDRE) and cancer cell lines","type":"article-journal","volume":"4"},"uris":["http://www.mendeley.com/documents/?uuid=aa0a3f5a-cfe4-4e5e-87f4-e5fc3a4cba38"]}],"mendeley":{"formattedCitation":"&lt;sup&gt;21&lt;/sup&gt;","plainTextFormattedCitation":"21","previouslyFormattedCitation":"[21]"},"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21</w:t>
            </w:r>
            <w:r w:rsidRPr="008550FA">
              <w:rPr>
                <w:b/>
                <w:bCs/>
                <w:sz w:val="20"/>
                <w:szCs w:val="20"/>
              </w:rPr>
              <w:fldChar w:fldCharType="end"/>
            </w:r>
          </w:p>
        </w:tc>
      </w:tr>
      <w:tr w:rsidR="008550FA" w:rsidRPr="008550FA" w:rsidTr="008550F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Esmail(2019)</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tl/>
              </w:rPr>
              <w:t>26</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6</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21</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26</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disc diffusion</w:t>
            </w:r>
          </w:p>
        </w:tc>
        <w:tc>
          <w:tcPr>
            <w:tcW w:w="0" w:type="auto"/>
          </w:tcPr>
          <w:p w:rsidR="008550FA" w:rsidRPr="008550FA" w:rsidRDefault="008550FA" w:rsidP="00A453E9">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{"citationItems":[{"id":"ITEM-1","itemData":{"DOI":"10.1177/1178633719882929","ISSN":"1178-6337","abstract":"Background The study aimed to assess the prevalence of Enterococcus faecalis infections among patients with hospital-acquired surgical wound sepsis and bacteremia in surgical wards and identify the antimicrobial susceptibility in these pathogens. Genetic role of erythromycin, vancomycin, and cephalosporin resistance in these pathogens was also examined. Methods Two hundred samples were collected from surgical wound infections and 100 blood cultures from patients with suggested bacteremia to identify E faecalis by phenotypic and genotypic methods. Antimicrobial susceptibility to 12 antimicrobial agents was tested. The presence of resistance genes was examined by polymerase chain reaction (PCR) assay. Results E faecalis was isolated with a frequency of 24/200 (12%) from surgical wound samples and 2/100 (2%) from blood cultures. All isolates were completely resistant to cefepime, ampicillin, and tetracycline, 96% of isolates were resistant to erythromycin, 53.8% to vancomycin, and 23.1% to linezolid. Multidrug resistance (MDR) was found in 100% of isolates. ere(B) and erm(B) genes were present in 20/25 (80%) and 17/25 (68%) of erythromycin-resistant isolates, respectively, 15 (60%) isolates carry both ere(B) and erm(B) genes. Van A gene was detected in 71.4% of vancomycin-resistant isolates. All isolates were negative for mef(A/E), blaSHV, and blaTEM genes. Conclusion MDR in all isolates (100%) and high-level resistance to gentamicin, erythromycin, and vancomycin were reported in E Faecalis isolates. In the studied isolates, erythromycin resistance mainly related to the presence of ere(B) and erm(B) genes and vancomycin resistance was mainly related to the presence of vanA gene.","author":[{"dropping-particle":"","family":"Esmail","given":"Mona Abdel Monem","non-dropping-particle":"","parse-names":false,"suffix":""},{"dropping-particle":"","family":"Abdulghany","given":"Hend M","non-dropping-particle":"","parse-names":false,"suffix":""},{"dropping-particle":"","family":"Khairy","given":"Rasha MM","non-dropping-particle":"","parse-names":false,"suffix":""}],"container-title":"Infectious Diseases: Research and Treatment","id":"ITEM-1","issued":{"date-parts":[["2019","1"]]},"page":"117863371988292","publisher":"SAGE Publications","title":" Prevalence of Multidrug-Resistant Enterococcus faecalis in Hospital-Acquired Surgical Wound Infections and Bacteremia: Concomitant Analysis of Antimicrobial Resistance Genes ","type":"article-journal","volume":"12"},"uris":["http://www.mendeley.com/documents/?uuid=88525552-2004-40f9-8fe8-9cb11bc76358"]}],"mendeley":{"formattedCitation":"&lt;sup&gt;22&lt;/sup&gt;","plainTextFormattedCitation":"22","previouslyFormattedCitation":"[22]"},"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22</w:t>
            </w:r>
            <w:r w:rsidRPr="008550FA">
              <w:rPr>
                <w:b/>
                <w:bCs/>
                <w:sz w:val="20"/>
                <w:szCs w:val="20"/>
              </w:rPr>
              <w:fldChar w:fldCharType="end"/>
            </w:r>
          </w:p>
        </w:tc>
      </w:tr>
      <w:tr w:rsidR="008550FA" w:rsidRPr="008550FA" w:rsidTr="00855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lastRenderedPageBreak/>
              <w:t>Hassan(2021)</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tl/>
              </w:rPr>
              <w:t>25</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4</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 -</w:t>
            </w:r>
          </w:p>
        </w:tc>
        <w:tc>
          <w:tcPr>
            <w:tcW w:w="0" w:type="auto"/>
            <w:noWrap/>
            <w:hideMark/>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22</w:t>
            </w:r>
          </w:p>
        </w:tc>
        <w:tc>
          <w:tcPr>
            <w:tcW w:w="0" w:type="auto"/>
          </w:tcPr>
          <w:p w:rsidR="008550FA" w:rsidRPr="008550FA" w:rsidRDefault="008550FA" w:rsidP="008550FA">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t>disc diffusion</w:t>
            </w:r>
          </w:p>
        </w:tc>
        <w:tc>
          <w:tcPr>
            <w:tcW w:w="0" w:type="auto"/>
          </w:tcPr>
          <w:p w:rsidR="008550FA" w:rsidRPr="008550FA" w:rsidRDefault="008550FA" w:rsidP="00A453E9">
            <w:pPr>
              <w:spacing w:after="160" w:line="259" w:lineRule="auto"/>
              <w:cnfStyle w:val="000000100000" w:firstRow="0" w:lastRow="0" w:firstColumn="0" w:lastColumn="0" w:oddVBand="0" w:evenVBand="0" w:oddHBand="1"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10.36959/547/645","author":[{"dropping-particle":"","family":"Rania","given":"Hassan","non-dropping-particle":"","parse-names":false,"suffix":""},{"dropping-particle":"","family":"Abdel-Hady","given":"El-Gilany","non-dropping-particle":"","parse-names":false,"suffix":""},{"dropping-particle":"","family":"Amina M Abd","given":"Elaal","non-dropping-particle":"","parse-names":false,"suffix":""},{"dropping-particle":"","family":"Noha","given":"El-Mashad","non-dropping-particle":"","parse-names":false,"suffix":""},{"dropping-particle":"","family":"Dalia","given":"Abdelazim","non-dropping-particle":"","parse-names":false,"suffix":""}],"container-title":"Archives of Community Medicine","id":"ITEM-1","issue":"1","issued":{"date-parts":[["2021"]]},"title":"Antibiotic Resistance Pattern of Bacteria Causing Hospital Acquired Infections in the New Mansoura General Hospital, Egypt","type":"article-journal","volume":"3"},"uris":["http://www.mendeley.com/documents/?uuid=77542270-6a8d-4786-ad4f-62ad599dc1d8"]}],"mendeley":{"formattedCitation":"&lt;sup&gt;24&lt;/sup&gt;","plainTextFormattedCitation":"24","previouslyFormattedCitation":"[24]"},"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24</w:t>
            </w:r>
            <w:r w:rsidRPr="008550FA">
              <w:rPr>
                <w:b/>
                <w:bCs/>
                <w:sz w:val="20"/>
                <w:szCs w:val="20"/>
              </w:rPr>
              <w:fldChar w:fldCharType="end"/>
            </w:r>
          </w:p>
        </w:tc>
      </w:tr>
      <w:tr w:rsidR="008550FA" w:rsidRPr="008550FA" w:rsidTr="008550FA">
        <w:trPr>
          <w:trHeight w:val="300"/>
        </w:trPr>
        <w:tc>
          <w:tcPr>
            <w:cnfStyle w:val="001000000000" w:firstRow="0" w:lastRow="0" w:firstColumn="1" w:lastColumn="0" w:oddVBand="0" w:evenVBand="0" w:oddHBand="0" w:evenHBand="0" w:firstRowFirstColumn="0" w:firstRowLastColumn="0" w:lastRowFirstColumn="0" w:lastRowLastColumn="0"/>
            <w:tcW w:w="0" w:type="auto"/>
            <w:noWrap/>
            <w:hideMark/>
          </w:tcPr>
          <w:p w:rsidR="008550FA" w:rsidRPr="008550FA" w:rsidRDefault="008550FA" w:rsidP="008550FA">
            <w:pPr>
              <w:spacing w:after="160" w:line="259" w:lineRule="auto"/>
              <w:rPr>
                <w:sz w:val="20"/>
                <w:szCs w:val="20"/>
              </w:rPr>
            </w:pPr>
            <w:r w:rsidRPr="008550FA">
              <w:rPr>
                <w:sz w:val="20"/>
                <w:szCs w:val="20"/>
              </w:rPr>
              <w:t>Serry(2016)</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tl/>
              </w:rPr>
              <w:t>127</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 -</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 -</w:t>
            </w:r>
          </w:p>
        </w:tc>
        <w:tc>
          <w:tcPr>
            <w:tcW w:w="0" w:type="auto"/>
            <w:noWrap/>
            <w:hideMark/>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88</w:t>
            </w:r>
          </w:p>
        </w:tc>
        <w:tc>
          <w:tcPr>
            <w:tcW w:w="0" w:type="auto"/>
          </w:tcPr>
          <w:p w:rsidR="008550FA" w:rsidRPr="008550FA" w:rsidRDefault="008550FA" w:rsidP="008550FA">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t>disc diffusion</w:t>
            </w:r>
          </w:p>
        </w:tc>
        <w:tc>
          <w:tcPr>
            <w:tcW w:w="0" w:type="auto"/>
          </w:tcPr>
          <w:p w:rsidR="008550FA" w:rsidRPr="008550FA" w:rsidRDefault="008550FA" w:rsidP="00A453E9">
            <w:pPr>
              <w:spacing w:after="160" w:line="259" w:lineRule="auto"/>
              <w:cnfStyle w:val="000000000000" w:firstRow="0" w:lastRow="0" w:firstColumn="0" w:lastColumn="0" w:oddVBand="0" w:evenVBand="0" w:oddHBand="0" w:evenHBand="0" w:firstRowFirstColumn="0" w:firstRowLastColumn="0" w:lastRowFirstColumn="0" w:lastRowLastColumn="0"/>
              <w:rPr>
                <w:b/>
                <w:bCs/>
                <w:sz w:val="20"/>
                <w:szCs w:val="20"/>
              </w:rPr>
            </w:pPr>
            <w:r w:rsidRPr="008550FA">
              <w:rPr>
                <w:b/>
                <w:bCs/>
                <w:sz w:val="20"/>
                <w:szCs w:val="20"/>
              </w:rPr>
              <w:fldChar w:fldCharType="begin" w:fldLock="1"/>
            </w:r>
            <w:r w:rsidR="00A453E9">
              <w:rPr>
                <w:b/>
                <w:bCs/>
                <w:sz w:val="20"/>
                <w:szCs w:val="20"/>
              </w:rPr>
              <w:instrText>ADDIN CSL_CITATION {"citationItems":[{"id":"ITEM-1","itemData":{"DOI":"10.21608/zjps.2016.38137","abstract":"This study aims to investigate the resistance profile of enterococci to commonly used antibiotics to provide correct treatment of urinary tract infections and to stop the continual emergence of highly resistant species of bacteria. Three hundred and twenty five (325) urine samples were collected from patients in Urinary Tract (UT) Department and Outpatient urinary tract clinic of Zagazig University Hospitals in Zagazig city, Sharkia, Egypt. One hundred and twenty seven enterococcal isolates (39.1%) were isolated from urine samples. Seventy (55.1%) of enterococcal isolates were Enterococcus faecalis and fifty seven (44.9%) of enterococcal isolates were Enterococcus faecium. All the isolates are identified and the sensitivity to a number of antibiotics was determined by disc diffusion method. Using standard breakpoint sensitivity values: the highest percentages of resistance of enterococcal isolates were found for penicillin G, rifampin, erythromycin, doxycycline, ampicillin, lincomycin and amoxicillin. The moderate percentages of resistance were found for ciprofloxacin, azithromycin, clarithromycin and spiramycin, gentamicin and clindamycin, whereas the lowest percentages of resistance were seen for and chloramphenicol, vancomycin, teicoplanin, sulphamethoxazole/trimethoprim and imipenem. These values are seemed to be higher than wide world values. This is probably due to the variation in the bacterial sensitivity pattern over time and between different geographical districts, misusing of antibiotics and not continuing the antibiotic therapy for sufficient period of time. In conclusion, this high resistance rate represents a dangerous alarm that necessitates the search for new therapeutic options. ________________________________________________________________________________","author":[{"dropping-particle":"","family":"Serry","given":"Fathy","non-dropping-particle":"","parse-names":false,"suffix":""},{"dropping-particle":"","family":"Elmasry","given":"Eman","non-dropping-particle":"","parse-names":false,"suffix":""},{"dropping-particle":"","family":"Heagazy","given":"Wael","non-dropping-particle":"","parse-names":false,"suffix":""},{"dropping-particle":"","family":"Abdel-Karim","given":"Safaa","non-dropping-particle":"","parse-names":false,"suffix":""}],"container-title":"Zagazig Journal of Pharmaceutical Sciences","id":"ITEM-1","issue":"1","issued":{"date-parts":[["2016"]]},"page":"30-38","title":"Antibiotic resistance of Enterococcus faecalis and Enterococcus faecium isolated from urinary tract infections in Zagazig University hospitals","type":"article-journal","volume":"25"},"uris":["http://www.mendeley.com/documents/?uuid=872df4c6-b8e9-42e7-8e7d-4c12dca5981d"]}],"mendeley":{"formattedCitation":"&lt;sup&gt;25&lt;/sup&gt;","plainTextFormattedCitation":"25","previouslyFormattedCitation":"[25]"},"properties":{"noteIndex":0},"schema":"https://github.com/citation-style-language/schema/raw/master/csl-citation.json"}</w:instrText>
            </w:r>
            <w:r w:rsidRPr="008550FA">
              <w:rPr>
                <w:b/>
                <w:bCs/>
                <w:sz w:val="20"/>
                <w:szCs w:val="20"/>
              </w:rPr>
              <w:fldChar w:fldCharType="separate"/>
            </w:r>
            <w:r w:rsidR="00A453E9" w:rsidRPr="00A453E9">
              <w:rPr>
                <w:bCs/>
                <w:noProof/>
                <w:sz w:val="20"/>
                <w:szCs w:val="20"/>
                <w:vertAlign w:val="superscript"/>
              </w:rPr>
              <w:t>25</w:t>
            </w:r>
            <w:r w:rsidRPr="008550FA">
              <w:rPr>
                <w:b/>
                <w:bCs/>
                <w:sz w:val="20"/>
                <w:szCs w:val="20"/>
              </w:rPr>
              <w:fldChar w:fldCharType="end"/>
            </w:r>
          </w:p>
        </w:tc>
      </w:tr>
    </w:tbl>
    <w:p w:rsidR="00FE6B49" w:rsidRDefault="00FE6B49" w:rsidP="00FE6B49">
      <w:pPr>
        <w:rPr>
          <w:b/>
          <w:bCs/>
          <w:sz w:val="28"/>
          <w:szCs w:val="28"/>
          <w:rtl/>
        </w:rPr>
      </w:pPr>
    </w:p>
    <w:p w:rsidR="00FE6B49" w:rsidRDefault="00FE6B49" w:rsidP="00FE6B49">
      <w:pPr>
        <w:rPr>
          <w:b/>
          <w:bCs/>
          <w:sz w:val="28"/>
          <w:szCs w:val="28"/>
          <w:rtl/>
        </w:rPr>
      </w:pPr>
    </w:p>
    <w:p w:rsidR="00FE6B49" w:rsidRDefault="00FE6B49" w:rsidP="00FE6B49">
      <w:pPr>
        <w:rPr>
          <w:b/>
          <w:bCs/>
          <w:sz w:val="28"/>
          <w:szCs w:val="28"/>
          <w:rtl/>
        </w:rPr>
      </w:pPr>
    </w:p>
    <w:p w:rsidR="00FE6B49" w:rsidRDefault="00FE6B49" w:rsidP="00FE6B49">
      <w:pPr>
        <w:rPr>
          <w:b/>
          <w:bCs/>
          <w:sz w:val="28"/>
          <w:szCs w:val="28"/>
          <w:rtl/>
        </w:rPr>
      </w:pPr>
    </w:p>
    <w:p w:rsidR="008550FA" w:rsidRPr="008550FA" w:rsidRDefault="008550FA" w:rsidP="008550FA">
      <w:pPr>
        <w:rPr>
          <w:b/>
          <w:bCs/>
          <w:sz w:val="28"/>
          <w:szCs w:val="28"/>
        </w:rPr>
      </w:pPr>
    </w:p>
    <w:p w:rsidR="00FE6B49" w:rsidRDefault="008550FA" w:rsidP="008550FA">
      <w:pPr>
        <w:rPr>
          <w:b/>
          <w:bCs/>
          <w:sz w:val="28"/>
          <w:szCs w:val="28"/>
          <w:rtl/>
        </w:rPr>
      </w:pPr>
      <w:r>
        <w:rPr>
          <w:b/>
          <w:bCs/>
          <w:sz w:val="28"/>
          <w:szCs w:val="28"/>
        </w:rPr>
        <w:t>Table S4:</w:t>
      </w:r>
      <w:r w:rsidRPr="008550FA">
        <w:rPr>
          <w:b/>
          <w:bCs/>
          <w:sz w:val="28"/>
          <w:szCs w:val="28"/>
        </w:rPr>
        <w:t xml:space="preserve"> Characteristics of the antibiotic resistance profile of linezolid and ampicillin among vancomycin-resistant enterococci (VRE).</w:t>
      </w:r>
    </w:p>
    <w:p w:rsidR="00FE6B49" w:rsidRDefault="00FE6B49" w:rsidP="00FE6B49">
      <w:pPr>
        <w:rPr>
          <w:b/>
          <w:bCs/>
        </w:rPr>
      </w:pPr>
    </w:p>
    <w:tbl>
      <w:tblPr>
        <w:tblStyle w:val="GridTable4-Accent31"/>
        <w:tblpPr w:leftFromText="180" w:rightFromText="180" w:vertAnchor="text" w:horzAnchor="margin" w:tblpXSpec="center" w:tblpY="218"/>
        <w:tblW w:w="0" w:type="auto"/>
        <w:tblLook w:val="04A0" w:firstRow="1" w:lastRow="0" w:firstColumn="1" w:lastColumn="0" w:noHBand="0" w:noVBand="1"/>
      </w:tblPr>
      <w:tblGrid>
        <w:gridCol w:w="3415"/>
        <w:gridCol w:w="1674"/>
        <w:gridCol w:w="2065"/>
        <w:gridCol w:w="1243"/>
        <w:gridCol w:w="1124"/>
        <w:gridCol w:w="1269"/>
      </w:tblGrid>
      <w:tr w:rsidR="008550FA" w:rsidRPr="008550FA" w:rsidTr="008550FA">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15" w:type="dxa"/>
            <w:vMerge w:val="restart"/>
            <w:tcBorders>
              <w:right w:val="single" w:sz="4" w:space="0" w:color="auto"/>
            </w:tcBorders>
            <w:noWrap/>
            <w:hideMark/>
          </w:tcPr>
          <w:p w:rsidR="008550FA" w:rsidRPr="008550FA" w:rsidRDefault="008550FA" w:rsidP="008550FA">
            <w:pPr>
              <w:rPr>
                <w:sz w:val="24"/>
                <w:szCs w:val="24"/>
                <w:lang w:eastAsia="en-CA"/>
              </w:rPr>
            </w:pPr>
            <w:r w:rsidRPr="008550FA">
              <w:rPr>
                <w:sz w:val="24"/>
                <w:szCs w:val="24"/>
                <w:lang w:eastAsia="en-CA"/>
              </w:rPr>
              <w:t>first author (publication year)</w:t>
            </w:r>
          </w:p>
        </w:tc>
        <w:tc>
          <w:tcPr>
            <w:tcW w:w="3139" w:type="dxa"/>
            <w:vMerge w:val="restart"/>
            <w:tcBorders>
              <w:top w:val="single" w:sz="4" w:space="0" w:color="auto"/>
              <w:left w:val="single" w:sz="4" w:space="0" w:color="auto"/>
              <w:right w:val="single" w:sz="4" w:space="0" w:color="auto"/>
            </w:tcBorders>
          </w:tcPr>
          <w:p w:rsidR="008550FA" w:rsidRPr="008550FA" w:rsidRDefault="008550FA" w:rsidP="008550FA">
            <w:pPr>
              <w:cnfStyle w:val="100000000000" w:firstRow="1" w:lastRow="0" w:firstColumn="0" w:lastColumn="0" w:oddVBand="0" w:evenVBand="0" w:oddHBand="0" w:evenHBand="0" w:firstRowFirstColumn="0" w:firstRowLastColumn="0" w:lastRowFirstColumn="0" w:lastRowLastColumn="0"/>
              <w:rPr>
                <w:sz w:val="24"/>
                <w:szCs w:val="24"/>
                <w:lang w:eastAsia="en-CA"/>
              </w:rPr>
            </w:pPr>
            <w:r w:rsidRPr="008550FA">
              <w:rPr>
                <w:sz w:val="24"/>
                <w:szCs w:val="24"/>
                <w:lang w:eastAsia="en-CA"/>
              </w:rPr>
              <w:t>Total number of VRE</w:t>
            </w:r>
          </w:p>
        </w:tc>
        <w:tc>
          <w:tcPr>
            <w:tcW w:w="3139" w:type="dxa"/>
            <w:gridSpan w:val="2"/>
            <w:tcBorders>
              <w:left w:val="single" w:sz="4" w:space="0" w:color="auto"/>
            </w:tcBorders>
            <w:noWrap/>
            <w:hideMark/>
          </w:tcPr>
          <w:p w:rsidR="008550FA" w:rsidRPr="008550FA" w:rsidRDefault="008550FA" w:rsidP="008550FA">
            <w:pPr>
              <w:cnfStyle w:val="100000000000" w:firstRow="1" w:lastRow="0" w:firstColumn="0" w:lastColumn="0" w:oddVBand="0" w:evenVBand="0" w:oddHBand="0" w:evenHBand="0" w:firstRowFirstColumn="0" w:firstRowLastColumn="0" w:lastRowFirstColumn="0" w:lastRowLastColumn="0"/>
              <w:rPr>
                <w:sz w:val="24"/>
                <w:szCs w:val="24"/>
                <w:lang w:eastAsia="en-CA"/>
              </w:rPr>
            </w:pPr>
            <w:r w:rsidRPr="008550FA">
              <w:rPr>
                <w:sz w:val="24"/>
                <w:szCs w:val="24"/>
                <w:lang w:eastAsia="en-CA"/>
              </w:rPr>
              <w:t>resistance isolates of VRE</w:t>
            </w:r>
          </w:p>
        </w:tc>
        <w:tc>
          <w:tcPr>
            <w:tcW w:w="1074" w:type="dxa"/>
          </w:tcPr>
          <w:p w:rsidR="008550FA" w:rsidRPr="008550FA" w:rsidRDefault="008550FA" w:rsidP="008550FA">
            <w:pPr>
              <w:cnfStyle w:val="100000000000" w:firstRow="1" w:lastRow="0" w:firstColumn="0" w:lastColumn="0" w:oddVBand="0" w:evenVBand="0" w:oddHBand="0" w:evenHBand="0" w:firstRowFirstColumn="0" w:firstRowLastColumn="0" w:lastRowFirstColumn="0" w:lastRowLastColumn="0"/>
              <w:rPr>
                <w:sz w:val="24"/>
                <w:szCs w:val="24"/>
                <w:lang w:eastAsia="en-CA"/>
              </w:rPr>
            </w:pPr>
          </w:p>
        </w:tc>
        <w:tc>
          <w:tcPr>
            <w:tcW w:w="1170" w:type="dxa"/>
          </w:tcPr>
          <w:p w:rsidR="008550FA" w:rsidRPr="008550FA" w:rsidRDefault="008550FA" w:rsidP="008550FA">
            <w:pPr>
              <w:cnfStyle w:val="100000000000" w:firstRow="1" w:lastRow="0" w:firstColumn="0" w:lastColumn="0" w:oddVBand="0" w:evenVBand="0" w:oddHBand="0" w:evenHBand="0" w:firstRowFirstColumn="0" w:firstRowLastColumn="0" w:lastRowFirstColumn="0" w:lastRowLastColumn="0"/>
              <w:rPr>
                <w:sz w:val="24"/>
                <w:szCs w:val="24"/>
                <w:lang w:eastAsia="en-CA"/>
              </w:rPr>
            </w:pPr>
          </w:p>
        </w:tc>
      </w:tr>
      <w:tr w:rsidR="008550FA" w:rsidRPr="008550FA" w:rsidTr="00855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15" w:type="dxa"/>
            <w:vMerge/>
            <w:tcBorders>
              <w:right w:val="single" w:sz="4" w:space="0" w:color="auto"/>
            </w:tcBorders>
            <w:hideMark/>
          </w:tcPr>
          <w:p w:rsidR="008550FA" w:rsidRPr="008550FA" w:rsidRDefault="008550FA" w:rsidP="008550FA">
            <w:pPr>
              <w:rPr>
                <w:sz w:val="24"/>
                <w:szCs w:val="24"/>
                <w:lang w:eastAsia="en-CA"/>
              </w:rPr>
            </w:pPr>
          </w:p>
        </w:tc>
        <w:tc>
          <w:tcPr>
            <w:tcW w:w="3139" w:type="dxa"/>
            <w:vMerge/>
            <w:tcBorders>
              <w:left w:val="single" w:sz="4" w:space="0" w:color="auto"/>
              <w:right w:val="single" w:sz="4" w:space="0" w:color="auto"/>
            </w:tcBorders>
          </w:tcPr>
          <w:p w:rsidR="008550FA" w:rsidRPr="008550FA" w:rsidRDefault="008550FA" w:rsidP="008550FA">
            <w:pPr>
              <w:cnfStyle w:val="000000100000" w:firstRow="0" w:lastRow="0" w:firstColumn="0" w:lastColumn="0" w:oddVBand="0" w:evenVBand="0" w:oddHBand="1" w:evenHBand="0" w:firstRowFirstColumn="0" w:firstRowLastColumn="0" w:lastRowFirstColumn="0" w:lastRowLastColumn="0"/>
              <w:rPr>
                <w:b/>
                <w:bCs/>
                <w:sz w:val="24"/>
                <w:szCs w:val="24"/>
                <w:lang w:eastAsia="en-CA"/>
              </w:rPr>
            </w:pPr>
          </w:p>
        </w:tc>
        <w:tc>
          <w:tcPr>
            <w:tcW w:w="2065" w:type="dxa"/>
            <w:tcBorders>
              <w:left w:val="single" w:sz="4" w:space="0" w:color="auto"/>
            </w:tcBorders>
            <w:noWrap/>
            <w:hideMark/>
          </w:tcPr>
          <w:p w:rsidR="008550FA" w:rsidRPr="008550FA" w:rsidRDefault="008550FA" w:rsidP="008550FA">
            <w:pPr>
              <w:cnfStyle w:val="000000100000" w:firstRow="0" w:lastRow="0" w:firstColumn="0" w:lastColumn="0" w:oddVBand="0" w:evenVBand="0" w:oddHBand="1" w:evenHBand="0" w:firstRowFirstColumn="0" w:firstRowLastColumn="0" w:lastRowFirstColumn="0" w:lastRowLastColumn="0"/>
              <w:rPr>
                <w:b/>
                <w:bCs/>
                <w:sz w:val="24"/>
                <w:szCs w:val="24"/>
                <w:lang w:eastAsia="en-CA"/>
              </w:rPr>
            </w:pPr>
            <w:r w:rsidRPr="008550FA">
              <w:rPr>
                <w:b/>
                <w:bCs/>
                <w:sz w:val="24"/>
                <w:szCs w:val="24"/>
                <w:lang w:eastAsia="en-CA"/>
              </w:rPr>
              <w:t>linezolid</w:t>
            </w:r>
          </w:p>
        </w:tc>
        <w:tc>
          <w:tcPr>
            <w:tcW w:w="1074" w:type="dxa"/>
            <w:noWrap/>
            <w:hideMark/>
          </w:tcPr>
          <w:p w:rsidR="008550FA" w:rsidRPr="008550FA" w:rsidRDefault="008550FA" w:rsidP="008550FA">
            <w:pPr>
              <w:cnfStyle w:val="000000100000" w:firstRow="0" w:lastRow="0" w:firstColumn="0" w:lastColumn="0" w:oddVBand="0" w:evenVBand="0" w:oddHBand="1" w:evenHBand="0" w:firstRowFirstColumn="0" w:firstRowLastColumn="0" w:lastRowFirstColumn="0" w:lastRowLastColumn="0"/>
              <w:rPr>
                <w:b/>
                <w:bCs/>
                <w:sz w:val="24"/>
                <w:szCs w:val="24"/>
                <w:lang w:eastAsia="en-CA"/>
              </w:rPr>
            </w:pPr>
            <w:r w:rsidRPr="008550FA">
              <w:rPr>
                <w:b/>
                <w:bCs/>
                <w:sz w:val="24"/>
                <w:szCs w:val="24"/>
                <w:lang w:eastAsia="en-CA"/>
              </w:rPr>
              <w:t>ampicillin</w:t>
            </w:r>
          </w:p>
        </w:tc>
        <w:tc>
          <w:tcPr>
            <w:tcW w:w="1074" w:type="dxa"/>
          </w:tcPr>
          <w:p w:rsidR="008550FA" w:rsidRPr="008550FA" w:rsidRDefault="008550FA" w:rsidP="008550FA">
            <w:pPr>
              <w:cnfStyle w:val="000000100000" w:firstRow="0" w:lastRow="0" w:firstColumn="0" w:lastColumn="0" w:oddVBand="0" w:evenVBand="0" w:oddHBand="1" w:evenHBand="0" w:firstRowFirstColumn="0" w:firstRowLastColumn="0" w:lastRowFirstColumn="0" w:lastRowLastColumn="0"/>
              <w:rPr>
                <w:b/>
                <w:bCs/>
                <w:sz w:val="24"/>
                <w:szCs w:val="24"/>
                <w:lang w:eastAsia="en-CA"/>
              </w:rPr>
            </w:pPr>
            <w:r w:rsidRPr="008550FA">
              <w:rPr>
                <w:b/>
                <w:bCs/>
                <w:sz w:val="24"/>
                <w:szCs w:val="24"/>
                <w:lang w:eastAsia="en-CA"/>
              </w:rPr>
              <w:t>method</w:t>
            </w:r>
          </w:p>
        </w:tc>
        <w:tc>
          <w:tcPr>
            <w:tcW w:w="1170" w:type="dxa"/>
          </w:tcPr>
          <w:p w:rsidR="008550FA" w:rsidRPr="008550FA" w:rsidRDefault="008550FA" w:rsidP="008550FA">
            <w:pPr>
              <w:cnfStyle w:val="000000100000" w:firstRow="0" w:lastRow="0" w:firstColumn="0" w:lastColumn="0" w:oddVBand="0" w:evenVBand="0" w:oddHBand="1" w:evenHBand="0" w:firstRowFirstColumn="0" w:firstRowLastColumn="0" w:lastRowFirstColumn="0" w:lastRowLastColumn="0"/>
              <w:rPr>
                <w:b/>
                <w:bCs/>
                <w:sz w:val="24"/>
                <w:szCs w:val="24"/>
                <w:lang w:eastAsia="en-CA"/>
              </w:rPr>
            </w:pPr>
            <w:r w:rsidRPr="008550FA">
              <w:rPr>
                <w:b/>
                <w:bCs/>
                <w:sz w:val="24"/>
                <w:szCs w:val="24"/>
                <w:lang w:eastAsia="en-CA"/>
              </w:rPr>
              <w:t>references</w:t>
            </w:r>
          </w:p>
        </w:tc>
      </w:tr>
      <w:tr w:rsidR="008550FA" w:rsidRPr="008550FA" w:rsidTr="008A0197">
        <w:trPr>
          <w:trHeight w:val="449"/>
        </w:trPr>
        <w:tc>
          <w:tcPr>
            <w:cnfStyle w:val="001000000000" w:firstRow="0" w:lastRow="0" w:firstColumn="1" w:lastColumn="0" w:oddVBand="0" w:evenVBand="0" w:oddHBand="0" w:evenHBand="0" w:firstRowFirstColumn="0" w:firstRowLastColumn="0" w:lastRowFirstColumn="0" w:lastRowLastColumn="0"/>
            <w:tcW w:w="3415" w:type="dxa"/>
            <w:noWrap/>
            <w:hideMark/>
          </w:tcPr>
          <w:p w:rsidR="008550FA" w:rsidRPr="008550FA" w:rsidRDefault="008550FA" w:rsidP="008550FA">
            <w:pPr>
              <w:rPr>
                <w:sz w:val="24"/>
                <w:szCs w:val="24"/>
                <w:lang w:eastAsia="en-CA"/>
              </w:rPr>
            </w:pPr>
            <w:r w:rsidRPr="008550FA">
              <w:rPr>
                <w:sz w:val="24"/>
                <w:szCs w:val="24"/>
                <w:lang w:eastAsia="en-CA"/>
              </w:rPr>
              <w:t xml:space="preserve"> El-Kazzaz(2020)</w:t>
            </w:r>
          </w:p>
        </w:tc>
        <w:tc>
          <w:tcPr>
            <w:tcW w:w="3139" w:type="dxa"/>
          </w:tcPr>
          <w:p w:rsidR="008550FA" w:rsidRPr="008550FA" w:rsidRDefault="008550FA" w:rsidP="008550FA">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rFonts w:hint="cs"/>
                <w:b/>
                <w:bCs/>
                <w:sz w:val="24"/>
                <w:szCs w:val="24"/>
                <w:rtl/>
                <w:lang w:val="en-CA" w:eastAsia="en-CA"/>
              </w:rPr>
              <w:t>23</w:t>
            </w:r>
          </w:p>
        </w:tc>
        <w:tc>
          <w:tcPr>
            <w:tcW w:w="2065" w:type="dxa"/>
            <w:noWrap/>
            <w:hideMark/>
          </w:tcPr>
          <w:p w:rsidR="008550FA" w:rsidRPr="008550FA" w:rsidRDefault="008550FA" w:rsidP="008550FA">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b/>
                <w:bCs/>
                <w:sz w:val="24"/>
                <w:szCs w:val="24"/>
                <w:lang w:eastAsia="en-CA"/>
              </w:rPr>
              <w:t>3</w:t>
            </w:r>
          </w:p>
        </w:tc>
        <w:tc>
          <w:tcPr>
            <w:tcW w:w="1074" w:type="dxa"/>
            <w:noWrap/>
            <w:hideMark/>
          </w:tcPr>
          <w:p w:rsidR="008550FA" w:rsidRPr="008550FA" w:rsidRDefault="008550FA" w:rsidP="008550FA">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b/>
                <w:bCs/>
                <w:sz w:val="24"/>
                <w:szCs w:val="24"/>
                <w:lang w:eastAsia="en-CA"/>
              </w:rPr>
              <w:t>17</w:t>
            </w:r>
          </w:p>
        </w:tc>
        <w:tc>
          <w:tcPr>
            <w:tcW w:w="1074" w:type="dxa"/>
          </w:tcPr>
          <w:p w:rsidR="008550FA" w:rsidRPr="008550FA" w:rsidRDefault="008550FA" w:rsidP="008550FA">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b/>
                <w:bCs/>
                <w:sz w:val="24"/>
                <w:szCs w:val="24"/>
                <w:lang w:eastAsia="en-CA"/>
              </w:rPr>
              <w:t>disc diffusion</w:t>
            </w:r>
          </w:p>
        </w:tc>
        <w:tc>
          <w:tcPr>
            <w:tcW w:w="1170" w:type="dxa"/>
          </w:tcPr>
          <w:p w:rsidR="008550FA" w:rsidRPr="008550FA" w:rsidRDefault="008550FA" w:rsidP="00A453E9">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b/>
                <w:bCs/>
                <w:sz w:val="24"/>
                <w:szCs w:val="24"/>
                <w:lang w:val="en-US" w:eastAsia="en-CA"/>
              </w:rPr>
              <w:fldChar w:fldCharType="begin" w:fldLock="1"/>
            </w:r>
            <w:r w:rsidR="00A453E9">
              <w:rPr>
                <w:b/>
                <w:bCs/>
                <w:sz w:val="24"/>
                <w:szCs w:val="24"/>
                <w:lang w:eastAsia="en-CA"/>
              </w:rPr>
              <w:instrText>ADDIN CSL_CITATION {"citationItems":[{"id":"ITEM-1","itemData":{"DOI":"10.1016/j.jgar.2020.02.031","ISSN":"22137173","PMID":"32169681","abstract":"Objectives: Antibiotic resistance is a serious issue facing clinicians all over the world. Vancomycin-resistant enterococci (VRE) are amongst the most common resistant pathogens that are isolated from patients suffering from infections in our locality. New antimicrobial agents such as the lantibiotic nisin have been previously examined against resistant bacteria as it has strong antibacterial action with no chance of resistance development. This study aimed to explore the effect of nisin in combination with the conventional antibiotics against VRE, with a view to using it as an auxiliary therapy with such antibiotics for combating resistant isolates. Methods: Twenty-three VRE had been examined for the combined effect of nisin with the routine sets of antibiotics using the microplate dilution technique for minimum inhibitory concentration (MIC) and minimum bactericidal concentration (MBC) testing. Checkerboard microbroth assay was conducted for inspection of synergism between nisin and either ampicillin or chloramphenicol. Results: An obvious improvement of inhibitory and bactericidal activities of the tested antibiotics after addition of lantibiotic nisin was observed, with a remarkable reduction in the MIC values of vancomycin against all of the isolates. Nisin recorded a synergistic outcome when combined with either ampicillin or chloramphenicol using the checkerboard assay. Conclusion: Nisin could be effectively considered as a supplementary agent to traditional antibiotics in the management of VRE-associated infections, as it had a synergistic outcome with commonly prescribed antibiotics such as ampicillin and chloramphenicol.","author":[{"dropping-particle":"","family":"El-Kazzaz","given":"Samah Sabry","non-dropping-particle":"","parse-names":false,"suffix":""},{"dropping-particle":"","family":"Abou El-Khier","given":"Noha Tharwat","non-dropping-particle":"","parse-names":false,"suffix":""}],"container-title":"Journal of Global Antimicrobial Resistance","id":"ITEM-1","issued":{"date-parts":[["2020","9"]]},"page":"263-269","publisher":"Elsevier","title":"Effect of the lantibiotic nisin on inhibitory and bactericidal activities of antibiotics used against vancomycin-resistant enterococci","type":"article-journal","volume":"22"},"uris":["http://www.mendeley.com/documents/?uuid=88347b7b-5658-4268-951d-2d38b68cca9d"]}],"mendeley":{"formattedCitation":"&lt;sup&gt;1&lt;/sup&gt;","plainTextFormattedCitation":"1","previouslyFormattedCitation":"[1]"},"properties":{"noteIndex":0},"schema":"https://github.com/citation-style-language/schema/raw/master/csl-citation.json"}</w:instrText>
            </w:r>
            <w:r w:rsidRPr="008550FA">
              <w:rPr>
                <w:b/>
                <w:bCs/>
                <w:sz w:val="24"/>
                <w:szCs w:val="24"/>
                <w:lang w:val="en-US" w:eastAsia="en-CA"/>
              </w:rPr>
              <w:fldChar w:fldCharType="separate"/>
            </w:r>
            <w:r w:rsidR="00A453E9" w:rsidRPr="00A453E9">
              <w:rPr>
                <w:bCs/>
                <w:noProof/>
                <w:sz w:val="24"/>
                <w:szCs w:val="24"/>
                <w:vertAlign w:val="superscript"/>
                <w:lang w:eastAsia="en-CA"/>
              </w:rPr>
              <w:t>1</w:t>
            </w:r>
            <w:r w:rsidRPr="008550FA">
              <w:rPr>
                <w:sz w:val="24"/>
                <w:szCs w:val="24"/>
                <w:lang w:val="en-CA" w:eastAsia="en-CA"/>
              </w:rPr>
              <w:fldChar w:fldCharType="end"/>
            </w:r>
          </w:p>
        </w:tc>
      </w:tr>
      <w:tr w:rsidR="008550FA" w:rsidRPr="008550FA" w:rsidTr="00855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15" w:type="dxa"/>
            <w:noWrap/>
            <w:hideMark/>
          </w:tcPr>
          <w:p w:rsidR="008550FA" w:rsidRPr="008550FA" w:rsidRDefault="008550FA" w:rsidP="008550FA">
            <w:pPr>
              <w:rPr>
                <w:sz w:val="24"/>
                <w:szCs w:val="24"/>
                <w:lang w:eastAsia="en-CA"/>
              </w:rPr>
            </w:pPr>
            <w:r w:rsidRPr="008550FA">
              <w:rPr>
                <w:sz w:val="24"/>
                <w:szCs w:val="24"/>
                <w:lang w:eastAsia="en-CA"/>
              </w:rPr>
              <w:t xml:space="preserve"> Moemen(2014)</w:t>
            </w:r>
          </w:p>
        </w:tc>
        <w:tc>
          <w:tcPr>
            <w:tcW w:w="3139" w:type="dxa"/>
          </w:tcPr>
          <w:p w:rsidR="008550FA" w:rsidRPr="008550FA" w:rsidRDefault="008550FA" w:rsidP="008550FA">
            <w:pPr>
              <w:cnfStyle w:val="000000100000" w:firstRow="0" w:lastRow="0" w:firstColumn="0" w:lastColumn="0" w:oddVBand="0" w:evenVBand="0" w:oddHBand="1" w:evenHBand="0" w:firstRowFirstColumn="0" w:firstRowLastColumn="0" w:lastRowFirstColumn="0" w:lastRowLastColumn="0"/>
              <w:rPr>
                <w:b/>
                <w:bCs/>
                <w:sz w:val="24"/>
                <w:szCs w:val="24"/>
                <w:lang w:eastAsia="en-CA"/>
              </w:rPr>
            </w:pPr>
            <w:r w:rsidRPr="008550FA">
              <w:rPr>
                <w:rFonts w:hint="cs"/>
                <w:b/>
                <w:bCs/>
                <w:sz w:val="24"/>
                <w:szCs w:val="24"/>
                <w:rtl/>
                <w:lang w:val="en-CA" w:eastAsia="en-CA"/>
              </w:rPr>
              <w:t>12</w:t>
            </w:r>
          </w:p>
        </w:tc>
        <w:tc>
          <w:tcPr>
            <w:tcW w:w="2065" w:type="dxa"/>
            <w:noWrap/>
            <w:hideMark/>
          </w:tcPr>
          <w:p w:rsidR="008550FA" w:rsidRPr="008550FA" w:rsidRDefault="008550FA" w:rsidP="008550FA">
            <w:pPr>
              <w:cnfStyle w:val="000000100000" w:firstRow="0" w:lastRow="0" w:firstColumn="0" w:lastColumn="0" w:oddVBand="0" w:evenVBand="0" w:oddHBand="1" w:evenHBand="0" w:firstRowFirstColumn="0" w:firstRowLastColumn="0" w:lastRowFirstColumn="0" w:lastRowLastColumn="0"/>
              <w:rPr>
                <w:b/>
                <w:bCs/>
                <w:sz w:val="24"/>
                <w:szCs w:val="24"/>
                <w:lang w:eastAsia="en-CA"/>
              </w:rPr>
            </w:pPr>
            <w:r w:rsidRPr="008550FA">
              <w:rPr>
                <w:b/>
                <w:bCs/>
                <w:sz w:val="24"/>
                <w:szCs w:val="24"/>
                <w:lang w:eastAsia="en-CA"/>
              </w:rPr>
              <w:t>0</w:t>
            </w:r>
          </w:p>
        </w:tc>
        <w:tc>
          <w:tcPr>
            <w:tcW w:w="1074" w:type="dxa"/>
            <w:noWrap/>
            <w:hideMark/>
          </w:tcPr>
          <w:p w:rsidR="008550FA" w:rsidRPr="008550FA" w:rsidRDefault="008550FA" w:rsidP="008550FA">
            <w:pPr>
              <w:cnfStyle w:val="000000100000" w:firstRow="0" w:lastRow="0" w:firstColumn="0" w:lastColumn="0" w:oddVBand="0" w:evenVBand="0" w:oddHBand="1" w:evenHBand="0" w:firstRowFirstColumn="0" w:firstRowLastColumn="0" w:lastRowFirstColumn="0" w:lastRowLastColumn="0"/>
              <w:rPr>
                <w:b/>
                <w:bCs/>
                <w:sz w:val="24"/>
                <w:szCs w:val="24"/>
                <w:lang w:eastAsia="en-CA"/>
              </w:rPr>
            </w:pPr>
            <w:r w:rsidRPr="008550FA">
              <w:rPr>
                <w:b/>
                <w:bCs/>
                <w:sz w:val="24"/>
                <w:szCs w:val="24"/>
                <w:lang w:eastAsia="en-CA"/>
              </w:rPr>
              <w:t>12</w:t>
            </w:r>
          </w:p>
        </w:tc>
        <w:tc>
          <w:tcPr>
            <w:tcW w:w="1074" w:type="dxa"/>
          </w:tcPr>
          <w:p w:rsidR="008550FA" w:rsidRPr="008550FA" w:rsidRDefault="008550FA" w:rsidP="008550FA">
            <w:pPr>
              <w:cnfStyle w:val="000000100000" w:firstRow="0" w:lastRow="0" w:firstColumn="0" w:lastColumn="0" w:oddVBand="0" w:evenVBand="0" w:oddHBand="1" w:evenHBand="0" w:firstRowFirstColumn="0" w:firstRowLastColumn="0" w:lastRowFirstColumn="0" w:lastRowLastColumn="0"/>
              <w:rPr>
                <w:b/>
                <w:bCs/>
                <w:sz w:val="24"/>
                <w:szCs w:val="24"/>
                <w:lang w:eastAsia="en-CA"/>
              </w:rPr>
            </w:pPr>
            <w:r w:rsidRPr="008550FA">
              <w:rPr>
                <w:b/>
                <w:bCs/>
                <w:sz w:val="24"/>
                <w:szCs w:val="24"/>
                <w:lang w:eastAsia="en-CA"/>
              </w:rPr>
              <w:t>disc diffusion</w:t>
            </w:r>
          </w:p>
        </w:tc>
        <w:tc>
          <w:tcPr>
            <w:tcW w:w="1170" w:type="dxa"/>
          </w:tcPr>
          <w:p w:rsidR="008550FA" w:rsidRPr="008550FA" w:rsidRDefault="008550FA" w:rsidP="00A453E9">
            <w:pPr>
              <w:cnfStyle w:val="000000100000" w:firstRow="0" w:lastRow="0" w:firstColumn="0" w:lastColumn="0" w:oddVBand="0" w:evenVBand="0" w:oddHBand="1" w:evenHBand="0" w:firstRowFirstColumn="0" w:firstRowLastColumn="0" w:lastRowFirstColumn="0" w:lastRowLastColumn="0"/>
              <w:rPr>
                <w:b/>
                <w:bCs/>
                <w:sz w:val="24"/>
                <w:szCs w:val="24"/>
                <w:lang w:eastAsia="en-CA"/>
              </w:rPr>
            </w:pPr>
            <w:r w:rsidRPr="008550FA">
              <w:rPr>
                <w:b/>
                <w:bCs/>
                <w:sz w:val="24"/>
                <w:szCs w:val="24"/>
                <w:lang w:val="en-US" w:eastAsia="en-CA"/>
              </w:rPr>
              <w:fldChar w:fldCharType="begin" w:fldLock="1"/>
            </w:r>
            <w:r w:rsidR="00A453E9">
              <w:rPr>
                <w:b/>
                <w:bCs/>
                <w:sz w:val="24"/>
                <w:szCs w:val="24"/>
                <w:lang w:eastAsia="en-CA"/>
              </w:rPr>
              <w:instrText>ADDIN CSL_CITATION {"citationItems":[{"id":"ITEM-1","itemData":{"DOI":"10.1590/S1517-838246320140403","ISSN":"16784405","PMID":"26413060","abstract":"Vancomycin resistant Enterococcus faecium (VREF) ia an emerging and challenging nosocomial pathogen. This study aimed to determine the prevalence, risk factors and clonal relationships between different VREF isolates in the intensive care units (ICUs) of the university hospitals in our geographic location. This prospective study was conducted from July, 2012 until September, 2013 on 781 patients who were admitted to the ICUs of the Mansoura University Hospitals (MUHs), and fulfilled the healthcare-associated infection (HAI) criteria. Susceptibility testing was determined using the disk diffusion method. The clonal relationships were evaluated with pulsed field gel electrophoresis (PFGE). Out of 52 E. faecium isolates, 12 (23.1%) were vancomycin resistant. The significant risk factors for the VREF infections were: transfer to the ICU from a ward, renal failure, an extended ICU stay and use of third-generation cephalosporins, gentamicin, or ciprofloxacin. PFGE with the 12 isolates showed 9 different patterns; 3 belonged to the same pulsotype and another 2 carried a second pulsotypes. The similar pulsotypes isolates were isolated from ICUs of one hospital (EICUs); however, all of the isolates from the other ICUs had different patterns. Infection control policy, in conjunction with antibiotic stewardship, is important to combat VREF transmission in these high-risk patients.","author":[{"dropping-particle":"","family":"Moemen","given":"Dalia","non-dropping-particle":"","parse-names":false,"suffix":""},{"dropping-particle":"","family":"Tawfeek","given":"Doaa","non-dropping-particle":"","parse-names":false,"suffix":""},{"dropping-particle":"","family":"Badawy","given":"Wafaa","non-dropping-particle":"","parse-names":false,"suffix":""}],"container-title":"Brazilian Journal of Microbiology","id":"ITEM-1","issue":"3","issued":{"date-parts":[["2015","7"]]},"page":"777-783","publisher":"Sociedade Brasileira de Microbiologia","title":"Healthcare-associated vancomycin resistant enterococcus faecium infections in the Mansoura university hospitals intensive care units, Egypt","type":"article-journal","volume":"46"},"uris":["http://www.mendeley.com/documents/?uuid=a2389a73-8545-4ce1-aeaf-16e2ba70f761"]}],"mendeley":{"formattedCitation":"&lt;sup&gt;6&lt;/sup&gt;","plainTextFormattedCitation":"6","previouslyFormattedCitation":"[6]"},"properties":{"noteIndex":0},"schema":"https://github.com/citation-style-language/schema/raw/master/csl-citation.json"}</w:instrText>
            </w:r>
            <w:r w:rsidRPr="008550FA">
              <w:rPr>
                <w:b/>
                <w:bCs/>
                <w:sz w:val="24"/>
                <w:szCs w:val="24"/>
                <w:lang w:val="en-US" w:eastAsia="en-CA"/>
              </w:rPr>
              <w:fldChar w:fldCharType="separate"/>
            </w:r>
            <w:r w:rsidR="00A453E9" w:rsidRPr="00A453E9">
              <w:rPr>
                <w:bCs/>
                <w:noProof/>
                <w:sz w:val="24"/>
                <w:szCs w:val="24"/>
                <w:vertAlign w:val="superscript"/>
                <w:lang w:eastAsia="en-CA"/>
              </w:rPr>
              <w:t>6</w:t>
            </w:r>
            <w:r w:rsidRPr="008550FA">
              <w:rPr>
                <w:sz w:val="24"/>
                <w:szCs w:val="24"/>
                <w:lang w:val="en-CA" w:eastAsia="en-CA"/>
              </w:rPr>
              <w:fldChar w:fldCharType="end"/>
            </w:r>
          </w:p>
        </w:tc>
      </w:tr>
      <w:tr w:rsidR="008550FA" w:rsidRPr="008550FA" w:rsidTr="008A0197">
        <w:trPr>
          <w:trHeight w:val="300"/>
        </w:trPr>
        <w:tc>
          <w:tcPr>
            <w:cnfStyle w:val="001000000000" w:firstRow="0" w:lastRow="0" w:firstColumn="1" w:lastColumn="0" w:oddVBand="0" w:evenVBand="0" w:oddHBand="0" w:evenHBand="0" w:firstRowFirstColumn="0" w:firstRowLastColumn="0" w:lastRowFirstColumn="0" w:lastRowLastColumn="0"/>
            <w:tcW w:w="3415" w:type="dxa"/>
            <w:noWrap/>
            <w:hideMark/>
          </w:tcPr>
          <w:p w:rsidR="008550FA" w:rsidRPr="008550FA" w:rsidRDefault="008550FA" w:rsidP="008550FA">
            <w:pPr>
              <w:rPr>
                <w:sz w:val="24"/>
                <w:szCs w:val="24"/>
                <w:lang w:eastAsia="en-CA"/>
              </w:rPr>
            </w:pPr>
            <w:r w:rsidRPr="008550FA">
              <w:rPr>
                <w:sz w:val="24"/>
                <w:szCs w:val="24"/>
                <w:lang w:eastAsia="en-CA"/>
              </w:rPr>
              <w:t>Shalaby(2016)</w:t>
            </w:r>
          </w:p>
        </w:tc>
        <w:tc>
          <w:tcPr>
            <w:tcW w:w="3139" w:type="dxa"/>
          </w:tcPr>
          <w:p w:rsidR="008550FA" w:rsidRPr="008550FA" w:rsidRDefault="008550FA" w:rsidP="008550FA">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rFonts w:hint="cs"/>
                <w:b/>
                <w:bCs/>
                <w:sz w:val="24"/>
                <w:szCs w:val="24"/>
                <w:rtl/>
                <w:lang w:val="en-CA" w:eastAsia="en-CA"/>
              </w:rPr>
              <w:t>6</w:t>
            </w:r>
          </w:p>
        </w:tc>
        <w:tc>
          <w:tcPr>
            <w:tcW w:w="2065" w:type="dxa"/>
            <w:noWrap/>
            <w:hideMark/>
          </w:tcPr>
          <w:p w:rsidR="008550FA" w:rsidRPr="008550FA" w:rsidRDefault="008550FA" w:rsidP="008550FA">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b/>
                <w:bCs/>
                <w:sz w:val="24"/>
                <w:szCs w:val="24"/>
                <w:lang w:eastAsia="en-CA"/>
              </w:rPr>
              <w:t>0</w:t>
            </w:r>
          </w:p>
        </w:tc>
        <w:tc>
          <w:tcPr>
            <w:tcW w:w="1074" w:type="dxa"/>
            <w:noWrap/>
            <w:hideMark/>
          </w:tcPr>
          <w:p w:rsidR="008550FA" w:rsidRPr="008550FA" w:rsidRDefault="008550FA" w:rsidP="008550FA">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b/>
                <w:bCs/>
                <w:sz w:val="24"/>
                <w:szCs w:val="24"/>
                <w:lang w:eastAsia="en-CA"/>
              </w:rPr>
              <w:t> -</w:t>
            </w:r>
          </w:p>
        </w:tc>
        <w:tc>
          <w:tcPr>
            <w:tcW w:w="1074" w:type="dxa"/>
          </w:tcPr>
          <w:p w:rsidR="008550FA" w:rsidRPr="008550FA" w:rsidRDefault="008550FA" w:rsidP="008550FA">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b/>
                <w:bCs/>
                <w:sz w:val="24"/>
                <w:szCs w:val="24"/>
                <w:lang w:eastAsia="en-CA"/>
              </w:rPr>
              <w:t>disc diffusion</w:t>
            </w:r>
          </w:p>
        </w:tc>
        <w:tc>
          <w:tcPr>
            <w:tcW w:w="1170" w:type="dxa"/>
          </w:tcPr>
          <w:p w:rsidR="008550FA" w:rsidRPr="008550FA" w:rsidRDefault="008550FA" w:rsidP="00A453E9">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b/>
                <w:bCs/>
                <w:sz w:val="24"/>
                <w:szCs w:val="24"/>
                <w:lang w:val="en-US" w:eastAsia="en-CA"/>
              </w:rPr>
              <w:fldChar w:fldCharType="begin" w:fldLock="1"/>
            </w:r>
            <w:r w:rsidR="00A453E9">
              <w:rPr>
                <w:b/>
                <w:bCs/>
                <w:sz w:val="24"/>
                <w:szCs w:val="24"/>
                <w:lang w:eastAsia="en-CA"/>
              </w:rPr>
              <w:instrText>ADDIN CSL_CITATION {"citationItems":[{"id":"ITEM-1","itemData":{"DOI":"10.7537/marslsj1301s1608","abstract":"Introduction: Enterococci have become resistant to a wide range of antibiotics which include aminoglycosides and glycopeptides like vancomycin. The rapid increase of vancomycin resistance compromises physicians' ability to treat infections caused by these strains because the therapeutic options for VRE infections are very limited. Methods: The present study included 112 hospitalized patients having nosocomial infections. Selective culture was done on bile esculinazide agar for all suspicious colonies. Enterococcal species were identified using the VITEK-2 system. Antibiotic susceptibility pattern for enterococcal isolates was done using disc diffusion method. Chromogenic medium used for screening VRE, The MIC of vancomycin was determined by E test and PCR was done for detection of vanA gene. Results: Out of 112 patients, 32 enterococci species (28.6%) were isolated. Most commonly isolated species were E. feacalis (53%), followed by E. facium (40.6%), E. avium(3.1%), and E. durans (3.1%). VRE strains were E. facium (83.3%) and E. feacalis (16.7%). By disc diffusion method, 34.4% of isolated enterococci were VRE. The same percentage was detected by Chrome agar. Lower percentage (18.8%) was detected by Vitek2 and E-test. Van A gene could be detected in 18.8% of enterococci. The highest sensitivity and specificity (100%) was proved by both E-test and Vitek2 and specificity (92%), Chrome agar showed 100% sensitivity but 81% specificity. However, disc diffusion method showed 83.3% sensitivity and 77% specificity. Accuracies of VRE detection by disk diffusion method, chrome agar, E-test method, and Vitek 2 system were 78%, 84%, 100%, 100% respectively. Conclusion: PCR assay are in agreement with E-test and Vitek2 automated system employed for identification and test susceptibility of clinical Enterococcus spp. However, disk diffusion method proved to be less reliable for detection of resistance and should be replaced by routine MIC testing.","author":[{"dropping-particle":"","family":"Mostafa Shalaby","given":"Marwa","non-dropping-particle":"","parse-names":false,"suffix":""},{"dropping-particle":"","family":"Ahmed Eshra","given":"Kareman","non-dropping-particle":"","parse-names":false,"suffix":""},{"dropping-particle":"","family":"Salem El-Naghy","given":"Wageih","non-dropping-particle":"","parse-names":false,"suffix":""},{"dropping-particle":"","family":"Mahmoud El-Sharaby","given":"Radwa","non-dropping-particle":"","parse-names":false,"suffix":""}],"container-title":"Life Science Journal","id":"ITEM-1","issue":"1s","issued":{"date-parts":[["2016"]]},"page":"71-78","title":"Comparative study between molecular and non-molecular methods used for detection of Vancomycin Resistant Enterococci in Tanta University Hospitals, Egypt","type":"article-journal","volume":"13"},"uris":["http://www.mendeley.com/documents/?uuid=0592cdfe-ad45-4c8f-93a6-bc64f2f633e3"]}],"mendeley":{"formattedCitation":"&lt;sup&gt;7&lt;/sup&gt;","plainTextFormattedCitation":"7","previouslyFormattedCitation":"[7]"},"properties":{"noteIndex":0},"schema":"https://github.com/citation-style-language/schema/raw/master/csl-citation.json"}</w:instrText>
            </w:r>
            <w:r w:rsidRPr="008550FA">
              <w:rPr>
                <w:b/>
                <w:bCs/>
                <w:sz w:val="24"/>
                <w:szCs w:val="24"/>
                <w:lang w:val="en-US" w:eastAsia="en-CA"/>
              </w:rPr>
              <w:fldChar w:fldCharType="separate"/>
            </w:r>
            <w:r w:rsidR="00A453E9" w:rsidRPr="00A453E9">
              <w:rPr>
                <w:bCs/>
                <w:noProof/>
                <w:sz w:val="24"/>
                <w:szCs w:val="24"/>
                <w:vertAlign w:val="superscript"/>
                <w:lang w:eastAsia="en-CA"/>
              </w:rPr>
              <w:t>7</w:t>
            </w:r>
            <w:r w:rsidRPr="008550FA">
              <w:rPr>
                <w:sz w:val="24"/>
                <w:szCs w:val="24"/>
                <w:lang w:val="en-CA" w:eastAsia="en-CA"/>
              </w:rPr>
              <w:fldChar w:fldCharType="end"/>
            </w:r>
          </w:p>
        </w:tc>
      </w:tr>
      <w:tr w:rsidR="008550FA" w:rsidRPr="008550FA" w:rsidTr="008550FA">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3415" w:type="dxa"/>
            <w:noWrap/>
            <w:hideMark/>
          </w:tcPr>
          <w:p w:rsidR="008550FA" w:rsidRPr="008550FA" w:rsidRDefault="008550FA" w:rsidP="008550FA">
            <w:pPr>
              <w:rPr>
                <w:sz w:val="24"/>
                <w:szCs w:val="24"/>
                <w:lang w:eastAsia="en-CA"/>
              </w:rPr>
            </w:pPr>
            <w:r w:rsidRPr="008550FA">
              <w:rPr>
                <w:sz w:val="24"/>
                <w:szCs w:val="24"/>
                <w:lang w:eastAsia="en-CA"/>
              </w:rPr>
              <w:t>El Shenawy(2016)</w:t>
            </w:r>
          </w:p>
        </w:tc>
        <w:tc>
          <w:tcPr>
            <w:tcW w:w="3139" w:type="dxa"/>
          </w:tcPr>
          <w:p w:rsidR="008550FA" w:rsidRPr="008550FA" w:rsidRDefault="008550FA" w:rsidP="008550FA">
            <w:pPr>
              <w:cnfStyle w:val="000000100000" w:firstRow="0" w:lastRow="0" w:firstColumn="0" w:lastColumn="0" w:oddVBand="0" w:evenVBand="0" w:oddHBand="1" w:evenHBand="0" w:firstRowFirstColumn="0" w:firstRowLastColumn="0" w:lastRowFirstColumn="0" w:lastRowLastColumn="0"/>
              <w:rPr>
                <w:b/>
                <w:bCs/>
                <w:sz w:val="24"/>
                <w:szCs w:val="24"/>
                <w:lang w:eastAsia="en-CA"/>
              </w:rPr>
            </w:pPr>
            <w:r w:rsidRPr="008550FA">
              <w:rPr>
                <w:rFonts w:hint="cs"/>
                <w:b/>
                <w:bCs/>
                <w:sz w:val="24"/>
                <w:szCs w:val="24"/>
                <w:rtl/>
                <w:lang w:val="en-CA" w:eastAsia="en-CA"/>
              </w:rPr>
              <w:t>57</w:t>
            </w:r>
          </w:p>
        </w:tc>
        <w:tc>
          <w:tcPr>
            <w:tcW w:w="2065" w:type="dxa"/>
            <w:noWrap/>
            <w:hideMark/>
          </w:tcPr>
          <w:p w:rsidR="008550FA" w:rsidRPr="008550FA" w:rsidRDefault="008550FA" w:rsidP="008550FA">
            <w:pPr>
              <w:cnfStyle w:val="000000100000" w:firstRow="0" w:lastRow="0" w:firstColumn="0" w:lastColumn="0" w:oddVBand="0" w:evenVBand="0" w:oddHBand="1" w:evenHBand="0" w:firstRowFirstColumn="0" w:firstRowLastColumn="0" w:lastRowFirstColumn="0" w:lastRowLastColumn="0"/>
              <w:rPr>
                <w:b/>
                <w:bCs/>
                <w:sz w:val="24"/>
                <w:szCs w:val="24"/>
                <w:lang w:eastAsia="en-CA"/>
              </w:rPr>
            </w:pPr>
            <w:r w:rsidRPr="008550FA">
              <w:rPr>
                <w:b/>
                <w:bCs/>
                <w:sz w:val="24"/>
                <w:szCs w:val="24"/>
                <w:lang w:eastAsia="en-CA"/>
              </w:rPr>
              <w:t>-</w:t>
            </w:r>
          </w:p>
        </w:tc>
        <w:tc>
          <w:tcPr>
            <w:tcW w:w="1074" w:type="dxa"/>
            <w:noWrap/>
            <w:hideMark/>
          </w:tcPr>
          <w:p w:rsidR="008550FA" w:rsidRPr="008550FA" w:rsidRDefault="008550FA" w:rsidP="008550FA">
            <w:pPr>
              <w:cnfStyle w:val="000000100000" w:firstRow="0" w:lastRow="0" w:firstColumn="0" w:lastColumn="0" w:oddVBand="0" w:evenVBand="0" w:oddHBand="1" w:evenHBand="0" w:firstRowFirstColumn="0" w:firstRowLastColumn="0" w:lastRowFirstColumn="0" w:lastRowLastColumn="0"/>
              <w:rPr>
                <w:b/>
                <w:bCs/>
                <w:sz w:val="24"/>
                <w:szCs w:val="24"/>
                <w:lang w:eastAsia="en-CA"/>
              </w:rPr>
            </w:pPr>
            <w:r w:rsidRPr="008550FA">
              <w:rPr>
                <w:b/>
                <w:bCs/>
                <w:sz w:val="24"/>
                <w:szCs w:val="24"/>
                <w:lang w:eastAsia="en-CA"/>
              </w:rPr>
              <w:t>27</w:t>
            </w:r>
          </w:p>
        </w:tc>
        <w:tc>
          <w:tcPr>
            <w:tcW w:w="1074" w:type="dxa"/>
          </w:tcPr>
          <w:p w:rsidR="008550FA" w:rsidRPr="008550FA" w:rsidRDefault="008550FA" w:rsidP="008550FA">
            <w:pPr>
              <w:cnfStyle w:val="000000100000" w:firstRow="0" w:lastRow="0" w:firstColumn="0" w:lastColumn="0" w:oddVBand="0" w:evenVBand="0" w:oddHBand="1" w:evenHBand="0" w:firstRowFirstColumn="0" w:firstRowLastColumn="0" w:lastRowFirstColumn="0" w:lastRowLastColumn="0"/>
              <w:rPr>
                <w:b/>
                <w:bCs/>
                <w:sz w:val="24"/>
                <w:szCs w:val="24"/>
                <w:lang w:eastAsia="en-CA"/>
              </w:rPr>
            </w:pPr>
            <w:r w:rsidRPr="008550FA">
              <w:rPr>
                <w:b/>
                <w:bCs/>
                <w:sz w:val="24"/>
                <w:szCs w:val="24"/>
                <w:lang w:eastAsia="en-CA"/>
              </w:rPr>
              <w:t>disc diffusion</w:t>
            </w:r>
          </w:p>
        </w:tc>
        <w:tc>
          <w:tcPr>
            <w:tcW w:w="1170" w:type="dxa"/>
          </w:tcPr>
          <w:p w:rsidR="008550FA" w:rsidRPr="008550FA" w:rsidRDefault="008550FA" w:rsidP="00A453E9">
            <w:pPr>
              <w:cnfStyle w:val="000000100000" w:firstRow="0" w:lastRow="0" w:firstColumn="0" w:lastColumn="0" w:oddVBand="0" w:evenVBand="0" w:oddHBand="1" w:evenHBand="0" w:firstRowFirstColumn="0" w:firstRowLastColumn="0" w:lastRowFirstColumn="0" w:lastRowLastColumn="0"/>
              <w:rPr>
                <w:b/>
                <w:bCs/>
                <w:sz w:val="24"/>
                <w:szCs w:val="24"/>
                <w:lang w:eastAsia="en-CA"/>
              </w:rPr>
            </w:pPr>
            <w:r w:rsidRPr="008550FA">
              <w:rPr>
                <w:b/>
                <w:bCs/>
                <w:sz w:val="24"/>
                <w:szCs w:val="24"/>
                <w:lang w:val="en-US" w:eastAsia="en-CA"/>
              </w:rPr>
              <w:fldChar w:fldCharType="begin" w:fldLock="1"/>
            </w:r>
            <w:r w:rsidR="00A453E9">
              <w:rPr>
                <w:b/>
                <w:bCs/>
                <w:sz w:val="24"/>
                <w:szCs w:val="24"/>
                <w:lang w:eastAsia="en-CA"/>
              </w:rPr>
              <w:instrText>ADDIN CSL_CITATION {"citationItems":[{"id":"ITEM-1","itemData":{"DOI":"10.12816/0037103","ISSN":"11102179","author":[{"dropping-particle":"","family":"Shenawy","given":"Gehan A.","non-dropping-particle":"El","parse-names":false,"suffix":""},{"dropping-particle":"","family":"Abdel-Latif","given":"Randa S.","non-dropping-particle":"","parse-names":false,"suffix":""},{"dropping-particle":"","family":"Shedeed","given":"Dina S.","non-dropping-particle":"","parse-names":false,"suffix":""}],"container-title":"The Egyptian Journal of Medical Microbiology","id":"ITEM-1","issue":"1","issued":{"date-parts":[["2016"]]},"page":"141-148","title":"Detection of VanA, VanB and VanC Genes in Vancomycin Resistant Enterococci in Zagazig University Hospitals","type":"article-journal","volume":"25"},"uris":["http://www.mendeley.com/documents/?uuid=a16c4612-b821-4a0e-96e9-71bc920d4590"]}],"mendeley":{"formattedCitation":"&lt;sup&gt;10&lt;/sup&gt;","plainTextFormattedCitation":"10","previouslyFormattedCitation":"[10]"},"properties":{"noteIndex":0},"schema":"https://github.com/citation-style-language/schema/raw/master/csl-citation.json"}</w:instrText>
            </w:r>
            <w:r w:rsidRPr="008550FA">
              <w:rPr>
                <w:b/>
                <w:bCs/>
                <w:sz w:val="24"/>
                <w:szCs w:val="24"/>
                <w:lang w:val="en-US" w:eastAsia="en-CA"/>
              </w:rPr>
              <w:fldChar w:fldCharType="separate"/>
            </w:r>
            <w:r w:rsidR="00A453E9" w:rsidRPr="00A453E9">
              <w:rPr>
                <w:bCs/>
                <w:noProof/>
                <w:sz w:val="24"/>
                <w:szCs w:val="24"/>
                <w:vertAlign w:val="superscript"/>
                <w:lang w:eastAsia="en-CA"/>
              </w:rPr>
              <w:t>10</w:t>
            </w:r>
            <w:r w:rsidRPr="008550FA">
              <w:rPr>
                <w:sz w:val="24"/>
                <w:szCs w:val="24"/>
                <w:lang w:val="en-CA" w:eastAsia="en-CA"/>
              </w:rPr>
              <w:fldChar w:fldCharType="end"/>
            </w:r>
          </w:p>
        </w:tc>
      </w:tr>
      <w:tr w:rsidR="008550FA" w:rsidRPr="008550FA" w:rsidTr="008A0197">
        <w:trPr>
          <w:trHeight w:val="300"/>
        </w:trPr>
        <w:tc>
          <w:tcPr>
            <w:cnfStyle w:val="001000000000" w:firstRow="0" w:lastRow="0" w:firstColumn="1" w:lastColumn="0" w:oddVBand="0" w:evenVBand="0" w:oddHBand="0" w:evenHBand="0" w:firstRowFirstColumn="0" w:firstRowLastColumn="0" w:lastRowFirstColumn="0" w:lastRowLastColumn="0"/>
            <w:tcW w:w="3415" w:type="dxa"/>
            <w:noWrap/>
            <w:hideMark/>
          </w:tcPr>
          <w:p w:rsidR="008550FA" w:rsidRPr="008550FA" w:rsidRDefault="008550FA" w:rsidP="008550FA">
            <w:pPr>
              <w:rPr>
                <w:sz w:val="24"/>
                <w:szCs w:val="24"/>
                <w:lang w:eastAsia="en-CA"/>
              </w:rPr>
            </w:pPr>
            <w:r w:rsidRPr="008550FA">
              <w:rPr>
                <w:sz w:val="24"/>
                <w:szCs w:val="24"/>
                <w:lang w:eastAsia="en-CA"/>
              </w:rPr>
              <w:t>Hassan(2012)</w:t>
            </w:r>
          </w:p>
        </w:tc>
        <w:tc>
          <w:tcPr>
            <w:tcW w:w="3139" w:type="dxa"/>
          </w:tcPr>
          <w:p w:rsidR="008550FA" w:rsidRPr="008550FA" w:rsidRDefault="008550FA" w:rsidP="008550FA">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rFonts w:hint="cs"/>
                <w:b/>
                <w:bCs/>
                <w:sz w:val="24"/>
                <w:szCs w:val="24"/>
                <w:rtl/>
                <w:lang w:val="en-CA" w:eastAsia="en-CA"/>
              </w:rPr>
              <w:t>48</w:t>
            </w:r>
          </w:p>
        </w:tc>
        <w:tc>
          <w:tcPr>
            <w:tcW w:w="2065" w:type="dxa"/>
            <w:noWrap/>
            <w:hideMark/>
          </w:tcPr>
          <w:p w:rsidR="008550FA" w:rsidRPr="008550FA" w:rsidRDefault="008550FA" w:rsidP="008550FA">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b/>
                <w:bCs/>
                <w:sz w:val="24"/>
                <w:szCs w:val="24"/>
                <w:lang w:eastAsia="en-CA"/>
              </w:rPr>
              <w:t>1</w:t>
            </w:r>
          </w:p>
        </w:tc>
        <w:tc>
          <w:tcPr>
            <w:tcW w:w="1074" w:type="dxa"/>
            <w:noWrap/>
            <w:hideMark/>
          </w:tcPr>
          <w:p w:rsidR="008550FA" w:rsidRPr="008550FA" w:rsidRDefault="008550FA" w:rsidP="008550FA">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b/>
                <w:bCs/>
                <w:sz w:val="24"/>
                <w:szCs w:val="24"/>
                <w:lang w:eastAsia="en-CA"/>
              </w:rPr>
              <w:t>48</w:t>
            </w:r>
          </w:p>
        </w:tc>
        <w:tc>
          <w:tcPr>
            <w:tcW w:w="1074" w:type="dxa"/>
          </w:tcPr>
          <w:p w:rsidR="008550FA" w:rsidRPr="008550FA" w:rsidRDefault="008550FA" w:rsidP="008550FA">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b/>
                <w:bCs/>
                <w:sz w:val="24"/>
                <w:szCs w:val="24"/>
                <w:lang w:eastAsia="en-CA"/>
              </w:rPr>
              <w:t>disc diffusion</w:t>
            </w:r>
          </w:p>
        </w:tc>
        <w:tc>
          <w:tcPr>
            <w:tcW w:w="1170" w:type="dxa"/>
          </w:tcPr>
          <w:p w:rsidR="008550FA" w:rsidRPr="008550FA" w:rsidRDefault="008550FA" w:rsidP="00A453E9">
            <w:pPr>
              <w:cnfStyle w:val="000000000000" w:firstRow="0" w:lastRow="0" w:firstColumn="0" w:lastColumn="0" w:oddVBand="0" w:evenVBand="0" w:oddHBand="0" w:evenHBand="0" w:firstRowFirstColumn="0" w:firstRowLastColumn="0" w:lastRowFirstColumn="0" w:lastRowLastColumn="0"/>
              <w:rPr>
                <w:b/>
                <w:bCs/>
                <w:sz w:val="24"/>
                <w:szCs w:val="24"/>
                <w:lang w:eastAsia="en-CA"/>
              </w:rPr>
            </w:pPr>
            <w:r w:rsidRPr="008550FA">
              <w:rPr>
                <w:b/>
                <w:bCs/>
                <w:sz w:val="24"/>
                <w:szCs w:val="24"/>
                <w:lang w:val="en-US" w:eastAsia="en-CA"/>
              </w:rPr>
              <w:fldChar w:fldCharType="begin" w:fldLock="1"/>
            </w:r>
            <w:r w:rsidR="00A453E9">
              <w:rPr>
                <w:b/>
                <w:bCs/>
                <w:sz w:val="24"/>
                <w:szCs w:val="24"/>
                <w:lang w:eastAsia="en-CA"/>
              </w:rPr>
              <w:instrText>ADDIN CSL_CITATION {"citationItems":[{"id":"ITEM-1","itemData":{"author":[{"dropping-particle":"","family":"Hassan","given":"A","non-dropping-particle":"","parse-names":false,"suffix":""},{"dropping-particle":"","family":"Fattouh","given":"M","non-dropping-particle":"","parse-names":false,"suffix":""},{"dropping-particle":"","family":"El-deen","given":"AN","non-dropping-particle":"","parse-names":false,"suffix":""},{"dropping-particle":"","family":"Maguid</w:instrText>
            </w:r>
            <w:r w:rsidR="00A453E9">
              <w:rPr>
                <w:b/>
                <w:bCs/>
                <w:sz w:val="24"/>
                <w:szCs w:val="24"/>
                <w:rtl/>
                <w:lang w:eastAsia="en-CA"/>
              </w:rPr>
              <w:instrText>‏</w:instrText>
            </w:r>
            <w:r w:rsidR="00A453E9">
              <w:rPr>
                <w:b/>
                <w:bCs/>
                <w:sz w:val="24"/>
                <w:szCs w:val="24"/>
                <w:lang w:eastAsia="en-CA"/>
              </w:rPr>
              <w:instrText>","given":"SA","non-dropping-particle":"","parse-names":false,"suffix":""}],"container-title":"Egy j Med Lab science","id":"ITEM-1","issued":{"date-parts":[["2012"]]},"title":"Isolation and Characterization of Vancomycin-Resistant Enterococci (Vre) in Surgical Wards of Sohag University Hospital","type":"article-journal"},"uris":["http://www.mendeley.com/documents/?uuid=dc8a2762-c89c-4a03-beb4-eafa68e83f14"]}],"mendeley":{"formattedCitation":"&lt;sup&gt;13&lt;/sup&gt;","plainTextFormattedCitation":"13","previouslyFormattedCitation":"[13]"},"properties":{"noteIndex":0},"schema":"https://github.com/citation-style-language/schema/raw/master/csl-citation.json"}</w:instrText>
            </w:r>
            <w:r w:rsidRPr="008550FA">
              <w:rPr>
                <w:b/>
                <w:bCs/>
                <w:sz w:val="24"/>
                <w:szCs w:val="24"/>
                <w:lang w:val="en-US" w:eastAsia="en-CA"/>
              </w:rPr>
              <w:fldChar w:fldCharType="separate"/>
            </w:r>
            <w:r w:rsidR="00A453E9" w:rsidRPr="00A453E9">
              <w:rPr>
                <w:bCs/>
                <w:noProof/>
                <w:sz w:val="24"/>
                <w:szCs w:val="24"/>
                <w:vertAlign w:val="superscript"/>
                <w:lang w:eastAsia="en-CA"/>
              </w:rPr>
              <w:t>13</w:t>
            </w:r>
            <w:r w:rsidRPr="008550FA">
              <w:rPr>
                <w:sz w:val="24"/>
                <w:szCs w:val="24"/>
                <w:lang w:val="en-CA" w:eastAsia="en-CA"/>
              </w:rPr>
              <w:fldChar w:fldCharType="end"/>
            </w:r>
          </w:p>
        </w:tc>
      </w:tr>
    </w:tbl>
    <w:p w:rsidR="00FE6B49" w:rsidRDefault="00FE6B49" w:rsidP="00FE6B49">
      <w:pPr>
        <w:rPr>
          <w:b/>
          <w:bCs/>
        </w:rPr>
      </w:pPr>
    </w:p>
    <w:p w:rsidR="00997D9B" w:rsidRDefault="00997D9B" w:rsidP="00FE6B49">
      <w:pPr>
        <w:rPr>
          <w:b/>
          <w:bCs/>
        </w:rPr>
      </w:pPr>
    </w:p>
    <w:p w:rsidR="00997D9B" w:rsidRDefault="00997D9B" w:rsidP="00FE6B49">
      <w:pPr>
        <w:rPr>
          <w:b/>
          <w:bCs/>
        </w:rPr>
      </w:pPr>
    </w:p>
    <w:p w:rsidR="008550FA" w:rsidRDefault="008550FA" w:rsidP="00FE6B49">
      <w:pPr>
        <w:rPr>
          <w:b/>
          <w:bCs/>
        </w:rPr>
      </w:pPr>
    </w:p>
    <w:p w:rsidR="008550FA" w:rsidRDefault="008550FA" w:rsidP="00FE6B49">
      <w:pPr>
        <w:rPr>
          <w:b/>
          <w:bCs/>
        </w:rPr>
      </w:pPr>
    </w:p>
    <w:p w:rsidR="008550FA" w:rsidRDefault="008550FA" w:rsidP="00FE6B49">
      <w:pPr>
        <w:rPr>
          <w:b/>
          <w:bCs/>
        </w:rPr>
      </w:pPr>
    </w:p>
    <w:p w:rsidR="008550FA" w:rsidRDefault="008550FA" w:rsidP="00FE6B49">
      <w:pPr>
        <w:rPr>
          <w:b/>
          <w:bCs/>
        </w:rPr>
      </w:pPr>
    </w:p>
    <w:p w:rsidR="008550FA" w:rsidRDefault="008550FA" w:rsidP="00FE6B49">
      <w:pPr>
        <w:rPr>
          <w:b/>
          <w:bCs/>
        </w:rPr>
      </w:pPr>
    </w:p>
    <w:p w:rsidR="008550FA" w:rsidRDefault="008550FA" w:rsidP="00FE6B49">
      <w:pPr>
        <w:rPr>
          <w:b/>
          <w:bCs/>
        </w:rPr>
      </w:pPr>
    </w:p>
    <w:p w:rsidR="008550FA" w:rsidRDefault="008550FA" w:rsidP="00FE6B49">
      <w:pPr>
        <w:rPr>
          <w:b/>
          <w:bCs/>
        </w:rPr>
      </w:pPr>
    </w:p>
    <w:p w:rsidR="008550FA" w:rsidRDefault="008550FA" w:rsidP="00FE6B49">
      <w:pPr>
        <w:rPr>
          <w:b/>
          <w:bCs/>
        </w:rPr>
      </w:pPr>
    </w:p>
    <w:p w:rsidR="008550FA" w:rsidRDefault="008550FA" w:rsidP="00FE6B49">
      <w:pPr>
        <w:rPr>
          <w:b/>
          <w:bCs/>
        </w:rPr>
      </w:pPr>
    </w:p>
    <w:p w:rsidR="008550FA" w:rsidRDefault="008550FA" w:rsidP="00FE6B49">
      <w:pPr>
        <w:rPr>
          <w:b/>
          <w:bCs/>
        </w:rPr>
      </w:pPr>
    </w:p>
    <w:p w:rsidR="008550FA" w:rsidRDefault="008550FA" w:rsidP="00FE6B49">
      <w:pPr>
        <w:rPr>
          <w:b/>
          <w:bCs/>
        </w:rPr>
      </w:pPr>
    </w:p>
    <w:p w:rsidR="008550FA" w:rsidRDefault="008550FA" w:rsidP="00FE6B49">
      <w:pPr>
        <w:rPr>
          <w:b/>
          <w:bCs/>
        </w:rPr>
      </w:pPr>
    </w:p>
    <w:p w:rsidR="00FE6B49" w:rsidRPr="00166452" w:rsidRDefault="00997D9B" w:rsidP="0048572B">
      <w:pPr>
        <w:rPr>
          <w:b/>
          <w:bCs/>
          <w:sz w:val="24"/>
          <w:szCs w:val="24"/>
        </w:rPr>
      </w:pPr>
      <w:r>
        <w:rPr>
          <w:b/>
          <w:bCs/>
          <w:sz w:val="24"/>
          <w:szCs w:val="24"/>
        </w:rPr>
        <w:br/>
      </w:r>
      <w:r w:rsidR="0048572B">
        <w:rPr>
          <w:b/>
          <w:bCs/>
          <w:sz w:val="24"/>
          <w:szCs w:val="24"/>
        </w:rPr>
        <w:br/>
      </w:r>
      <w:r w:rsidR="0048572B">
        <w:rPr>
          <w:b/>
          <w:bCs/>
          <w:sz w:val="24"/>
          <w:szCs w:val="24"/>
        </w:rPr>
        <w:br/>
      </w:r>
      <w:r w:rsidR="00FE6B49" w:rsidRPr="00166452">
        <w:rPr>
          <w:b/>
          <w:bCs/>
          <w:sz w:val="24"/>
          <w:szCs w:val="24"/>
        </w:rPr>
        <w:t xml:space="preserve"> </w:t>
      </w:r>
      <w:r w:rsidR="001A2BFC">
        <w:rPr>
          <w:b/>
          <w:bCs/>
          <w:sz w:val="24"/>
          <w:szCs w:val="24"/>
        </w:rPr>
        <w:t>Fig.S2</w:t>
      </w:r>
    </w:p>
    <w:p w:rsidR="00FE6B49" w:rsidRPr="00166452" w:rsidRDefault="00FE6B49" w:rsidP="00FE6B49">
      <w:pPr>
        <w:rPr>
          <w:sz w:val="24"/>
          <w:szCs w:val="24"/>
        </w:rPr>
      </w:pPr>
      <w:r w:rsidRPr="00166452">
        <w:rPr>
          <w:noProof/>
          <w:sz w:val="24"/>
          <w:szCs w:val="24"/>
        </w:rPr>
        <w:drawing>
          <wp:inline distT="0" distB="0" distL="0" distR="0" wp14:anchorId="2F4FDCCC" wp14:editId="25D64F7C">
            <wp:extent cx="5718810" cy="42856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8810" cy="4285615"/>
                    </a:xfrm>
                    <a:prstGeom prst="rect">
                      <a:avLst/>
                    </a:prstGeom>
                    <a:noFill/>
                  </pic:spPr>
                </pic:pic>
              </a:graphicData>
            </a:graphic>
          </wp:inline>
        </w:drawing>
      </w:r>
    </w:p>
    <w:p w:rsidR="00FE6B49" w:rsidRPr="00166452" w:rsidRDefault="00FE6B49" w:rsidP="00FE6B49">
      <w:pPr>
        <w:rPr>
          <w:sz w:val="24"/>
          <w:szCs w:val="24"/>
        </w:rPr>
      </w:pPr>
    </w:p>
    <w:p w:rsidR="00FE6B49" w:rsidRPr="00166452" w:rsidRDefault="00FE6B49" w:rsidP="00FE6B49">
      <w:pPr>
        <w:rPr>
          <w:sz w:val="24"/>
          <w:szCs w:val="24"/>
        </w:rPr>
      </w:pPr>
      <w:r w:rsidRPr="00166452">
        <w:rPr>
          <w:sz w:val="24"/>
          <w:szCs w:val="24"/>
        </w:rPr>
        <w:t xml:space="preserve">                    </w:t>
      </w:r>
      <w:r>
        <w:rPr>
          <w:sz w:val="24"/>
          <w:szCs w:val="24"/>
        </w:rPr>
        <w:t xml:space="preserve">         </w:t>
      </w:r>
      <w:r w:rsidRPr="00166452">
        <w:rPr>
          <w:sz w:val="24"/>
          <w:szCs w:val="24"/>
        </w:rPr>
        <w:t xml:space="preserve">           Forest plot of VRE among total enterococci by disc diffusion method</w:t>
      </w:r>
    </w:p>
    <w:p w:rsidR="00FE6B49" w:rsidRPr="00166452" w:rsidRDefault="00FE6B49" w:rsidP="00FE6B49">
      <w:pPr>
        <w:rPr>
          <w:sz w:val="24"/>
          <w:szCs w:val="24"/>
        </w:rPr>
      </w:pPr>
    </w:p>
    <w:p w:rsidR="00FE6B49" w:rsidRPr="00166452" w:rsidRDefault="00FE6B49" w:rsidP="00FE6B49">
      <w:pPr>
        <w:rPr>
          <w:sz w:val="24"/>
          <w:szCs w:val="24"/>
        </w:rPr>
      </w:pPr>
    </w:p>
    <w:p w:rsidR="00FE6B49" w:rsidRPr="00166452" w:rsidRDefault="00FE6B49" w:rsidP="00FE6B49">
      <w:pPr>
        <w:rPr>
          <w:sz w:val="24"/>
          <w:szCs w:val="24"/>
        </w:rPr>
      </w:pPr>
    </w:p>
    <w:p w:rsidR="00354B8D" w:rsidRDefault="00354B8D" w:rsidP="00FE6B49">
      <w:pPr>
        <w:rPr>
          <w:b/>
          <w:bCs/>
          <w:sz w:val="24"/>
          <w:szCs w:val="24"/>
        </w:rPr>
      </w:pPr>
    </w:p>
    <w:p w:rsidR="008550FA" w:rsidRDefault="008550FA" w:rsidP="00FE6B49">
      <w:pPr>
        <w:rPr>
          <w:b/>
          <w:bCs/>
          <w:sz w:val="24"/>
          <w:szCs w:val="24"/>
        </w:rPr>
      </w:pPr>
    </w:p>
    <w:p w:rsidR="008550FA" w:rsidRDefault="008550FA" w:rsidP="00FE6B49">
      <w:pPr>
        <w:rPr>
          <w:b/>
          <w:bCs/>
          <w:sz w:val="24"/>
          <w:szCs w:val="24"/>
        </w:rPr>
      </w:pPr>
    </w:p>
    <w:p w:rsidR="008550FA" w:rsidRDefault="008550FA" w:rsidP="00FE6B49">
      <w:pPr>
        <w:rPr>
          <w:b/>
          <w:bCs/>
          <w:sz w:val="24"/>
          <w:szCs w:val="24"/>
        </w:rPr>
      </w:pPr>
    </w:p>
    <w:p w:rsidR="008550FA" w:rsidRDefault="008550FA" w:rsidP="00FE6B49">
      <w:pPr>
        <w:rPr>
          <w:b/>
          <w:bCs/>
          <w:sz w:val="24"/>
          <w:szCs w:val="24"/>
        </w:rPr>
      </w:pPr>
    </w:p>
    <w:p w:rsidR="008550FA" w:rsidRDefault="008550FA" w:rsidP="00FE6B49">
      <w:pPr>
        <w:rPr>
          <w:b/>
          <w:bCs/>
          <w:sz w:val="24"/>
          <w:szCs w:val="24"/>
        </w:rPr>
      </w:pPr>
    </w:p>
    <w:p w:rsidR="008550FA" w:rsidRDefault="008550FA" w:rsidP="00FE6B49">
      <w:pPr>
        <w:rPr>
          <w:b/>
          <w:bCs/>
          <w:sz w:val="24"/>
          <w:szCs w:val="24"/>
        </w:rPr>
      </w:pPr>
    </w:p>
    <w:p w:rsidR="00354B8D" w:rsidRDefault="00354B8D" w:rsidP="00FE6B49">
      <w:pPr>
        <w:rPr>
          <w:b/>
          <w:bCs/>
          <w:sz w:val="24"/>
          <w:szCs w:val="24"/>
        </w:rPr>
      </w:pPr>
    </w:p>
    <w:p w:rsidR="00FE6B49" w:rsidRPr="00166452" w:rsidRDefault="001A2BFC" w:rsidP="00FE6B49">
      <w:pPr>
        <w:rPr>
          <w:b/>
          <w:bCs/>
          <w:sz w:val="24"/>
          <w:szCs w:val="24"/>
        </w:rPr>
      </w:pPr>
      <w:r>
        <w:rPr>
          <w:b/>
          <w:bCs/>
          <w:sz w:val="24"/>
          <w:szCs w:val="24"/>
        </w:rPr>
        <w:t>Fig. S3</w:t>
      </w:r>
    </w:p>
    <w:p w:rsidR="00FE6B49" w:rsidRPr="00166452" w:rsidRDefault="00FE6B49" w:rsidP="00FE6B49">
      <w:pPr>
        <w:rPr>
          <w:sz w:val="24"/>
          <w:szCs w:val="24"/>
        </w:rPr>
      </w:pPr>
    </w:p>
    <w:p w:rsidR="00FE6B49" w:rsidRPr="00166452" w:rsidRDefault="00FE6B49" w:rsidP="00FE6B49">
      <w:pPr>
        <w:rPr>
          <w:sz w:val="24"/>
          <w:szCs w:val="24"/>
        </w:rPr>
      </w:pPr>
      <w:r w:rsidRPr="00166452">
        <w:rPr>
          <w:noProof/>
          <w:sz w:val="24"/>
          <w:szCs w:val="24"/>
        </w:rPr>
        <w:drawing>
          <wp:inline distT="0" distB="0" distL="0" distR="0" wp14:anchorId="29B40591" wp14:editId="7A464405">
            <wp:extent cx="5718810" cy="42856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8810" cy="4285615"/>
                    </a:xfrm>
                    <a:prstGeom prst="rect">
                      <a:avLst/>
                    </a:prstGeom>
                    <a:noFill/>
                  </pic:spPr>
                </pic:pic>
              </a:graphicData>
            </a:graphic>
          </wp:inline>
        </w:drawing>
      </w:r>
    </w:p>
    <w:p w:rsidR="00FE6B49" w:rsidRPr="00166452" w:rsidRDefault="00FE6B49" w:rsidP="00FE6B49">
      <w:pPr>
        <w:rPr>
          <w:sz w:val="24"/>
          <w:szCs w:val="24"/>
        </w:rPr>
      </w:pPr>
    </w:p>
    <w:p w:rsidR="00FE6B49" w:rsidRPr="00166452" w:rsidRDefault="00FE6B49" w:rsidP="00FE6B49">
      <w:pPr>
        <w:rPr>
          <w:sz w:val="24"/>
          <w:szCs w:val="24"/>
        </w:rPr>
      </w:pPr>
      <w:r w:rsidRPr="00166452">
        <w:rPr>
          <w:sz w:val="24"/>
          <w:szCs w:val="24"/>
        </w:rPr>
        <w:t xml:space="preserve">                                   Funnel plot of VRE among total enterococci by disc diffusion method </w:t>
      </w:r>
    </w:p>
    <w:p w:rsidR="00FE6B49" w:rsidRPr="00166452" w:rsidRDefault="00FE6B49" w:rsidP="00FE6B49">
      <w:pPr>
        <w:rPr>
          <w:sz w:val="24"/>
          <w:szCs w:val="24"/>
        </w:rPr>
      </w:pPr>
    </w:p>
    <w:p w:rsidR="00FE6B49" w:rsidRPr="00166452" w:rsidRDefault="00FE6B49" w:rsidP="00FE6B49">
      <w:pPr>
        <w:rPr>
          <w:sz w:val="24"/>
          <w:szCs w:val="24"/>
        </w:rPr>
      </w:pPr>
    </w:p>
    <w:p w:rsidR="00FE6B49" w:rsidRPr="00166452" w:rsidRDefault="00FE6B49" w:rsidP="00FE6B49">
      <w:pPr>
        <w:rPr>
          <w:sz w:val="24"/>
          <w:szCs w:val="24"/>
        </w:rPr>
      </w:pPr>
    </w:p>
    <w:p w:rsidR="00FE6B49" w:rsidRPr="00166452" w:rsidRDefault="00FE6B49" w:rsidP="00FE6B49">
      <w:pPr>
        <w:rPr>
          <w:noProof/>
          <w:sz w:val="24"/>
          <w:szCs w:val="24"/>
        </w:rPr>
      </w:pPr>
    </w:p>
    <w:p w:rsidR="00FE6B49" w:rsidRDefault="00FE6B49" w:rsidP="00FE6B49">
      <w:pPr>
        <w:rPr>
          <w:noProof/>
          <w:sz w:val="24"/>
          <w:szCs w:val="24"/>
        </w:rPr>
      </w:pPr>
    </w:p>
    <w:p w:rsidR="008550FA" w:rsidRDefault="008550FA" w:rsidP="00FE6B49">
      <w:pPr>
        <w:rPr>
          <w:noProof/>
          <w:sz w:val="24"/>
          <w:szCs w:val="24"/>
        </w:rPr>
      </w:pPr>
    </w:p>
    <w:p w:rsidR="008550FA" w:rsidRDefault="008550FA" w:rsidP="00FE6B49">
      <w:pPr>
        <w:rPr>
          <w:noProof/>
          <w:sz w:val="24"/>
          <w:szCs w:val="24"/>
        </w:rPr>
      </w:pPr>
    </w:p>
    <w:p w:rsidR="008550FA" w:rsidRDefault="008550FA" w:rsidP="00FE6B49">
      <w:pPr>
        <w:rPr>
          <w:noProof/>
          <w:sz w:val="24"/>
          <w:szCs w:val="24"/>
        </w:rPr>
      </w:pPr>
    </w:p>
    <w:p w:rsidR="008550FA" w:rsidRDefault="008550FA" w:rsidP="00FE6B49">
      <w:pPr>
        <w:rPr>
          <w:noProof/>
          <w:sz w:val="24"/>
          <w:szCs w:val="24"/>
        </w:rPr>
      </w:pPr>
    </w:p>
    <w:p w:rsidR="008550FA" w:rsidRDefault="008550FA" w:rsidP="00FE6B49">
      <w:pPr>
        <w:rPr>
          <w:noProof/>
          <w:sz w:val="24"/>
          <w:szCs w:val="24"/>
        </w:rPr>
      </w:pPr>
    </w:p>
    <w:p w:rsidR="008550FA" w:rsidRDefault="008550FA" w:rsidP="00FE6B49">
      <w:pPr>
        <w:rPr>
          <w:noProof/>
          <w:sz w:val="24"/>
          <w:szCs w:val="24"/>
        </w:rPr>
      </w:pPr>
    </w:p>
    <w:p w:rsidR="008550FA" w:rsidRPr="00166452" w:rsidRDefault="008550FA" w:rsidP="00FE6B49">
      <w:pPr>
        <w:rPr>
          <w:noProof/>
          <w:sz w:val="24"/>
          <w:szCs w:val="24"/>
        </w:rPr>
      </w:pPr>
    </w:p>
    <w:p w:rsidR="00FE6B49" w:rsidRPr="00166452" w:rsidRDefault="001A2BFC" w:rsidP="00FE6B49">
      <w:pPr>
        <w:rPr>
          <w:b/>
          <w:bCs/>
          <w:noProof/>
          <w:sz w:val="24"/>
          <w:szCs w:val="24"/>
        </w:rPr>
      </w:pPr>
      <w:r>
        <w:rPr>
          <w:b/>
          <w:bCs/>
          <w:noProof/>
          <w:sz w:val="24"/>
          <w:szCs w:val="24"/>
        </w:rPr>
        <w:t>Fig. S4</w:t>
      </w:r>
    </w:p>
    <w:p w:rsidR="00FE6B49" w:rsidRPr="00166452" w:rsidRDefault="00FE6B49" w:rsidP="00FE6B49">
      <w:pPr>
        <w:rPr>
          <w:noProof/>
          <w:sz w:val="24"/>
          <w:szCs w:val="24"/>
        </w:rPr>
      </w:pPr>
      <w:r w:rsidRPr="00166452">
        <w:rPr>
          <w:noProof/>
          <w:sz w:val="24"/>
          <w:szCs w:val="24"/>
        </w:rPr>
        <w:drawing>
          <wp:inline distT="0" distB="0" distL="0" distR="0" wp14:anchorId="74AC646E" wp14:editId="1495D077">
            <wp:extent cx="5715000" cy="42862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FE6B49" w:rsidRPr="00166452" w:rsidRDefault="00FE6B49" w:rsidP="00FE6B49">
      <w:pPr>
        <w:rPr>
          <w:noProof/>
          <w:sz w:val="24"/>
          <w:szCs w:val="24"/>
        </w:rPr>
      </w:pPr>
    </w:p>
    <w:p w:rsidR="00FE6B49" w:rsidRPr="00166452" w:rsidRDefault="00FE6B49" w:rsidP="00FE6B49">
      <w:pPr>
        <w:rPr>
          <w:noProof/>
          <w:sz w:val="24"/>
          <w:szCs w:val="24"/>
        </w:rPr>
      </w:pPr>
    </w:p>
    <w:p w:rsidR="00FE6B49" w:rsidRPr="00166452" w:rsidRDefault="00FE6B49" w:rsidP="00FE6B49">
      <w:pPr>
        <w:rPr>
          <w:noProof/>
          <w:sz w:val="24"/>
          <w:szCs w:val="24"/>
        </w:rPr>
      </w:pPr>
      <w:r w:rsidRPr="00166452">
        <w:rPr>
          <w:noProof/>
          <w:sz w:val="24"/>
          <w:szCs w:val="24"/>
        </w:rPr>
        <w:t xml:space="preserve">                               Forest plot of VRE among total enterococci by MIC-based methods </w:t>
      </w:r>
    </w:p>
    <w:p w:rsidR="00FE6B49" w:rsidRPr="00166452" w:rsidRDefault="00FE6B49" w:rsidP="00FE6B49">
      <w:pPr>
        <w:rPr>
          <w:noProof/>
          <w:sz w:val="24"/>
          <w:szCs w:val="24"/>
        </w:rPr>
      </w:pPr>
    </w:p>
    <w:p w:rsidR="00FE6B49" w:rsidRPr="00166452" w:rsidRDefault="00FE6B49" w:rsidP="00FE6B49">
      <w:pPr>
        <w:rPr>
          <w:noProof/>
          <w:sz w:val="24"/>
          <w:szCs w:val="24"/>
        </w:rPr>
      </w:pPr>
    </w:p>
    <w:p w:rsidR="00FE6B49" w:rsidRPr="00166452" w:rsidRDefault="00FE6B49" w:rsidP="00FE6B49">
      <w:pPr>
        <w:rPr>
          <w:noProof/>
          <w:sz w:val="24"/>
          <w:szCs w:val="24"/>
        </w:rPr>
      </w:pPr>
    </w:p>
    <w:p w:rsidR="00FE6B49" w:rsidRPr="00166452" w:rsidRDefault="00FE6B49" w:rsidP="00FE6B49">
      <w:pPr>
        <w:rPr>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FE6B49" w:rsidRPr="00166452" w:rsidRDefault="00FE6B49" w:rsidP="00FE6B49">
      <w:pPr>
        <w:rPr>
          <w:b/>
          <w:bCs/>
          <w:noProof/>
          <w:sz w:val="24"/>
          <w:szCs w:val="24"/>
        </w:rPr>
      </w:pPr>
      <w:r w:rsidRPr="00166452">
        <w:rPr>
          <w:b/>
          <w:bCs/>
          <w:noProof/>
          <w:sz w:val="24"/>
          <w:szCs w:val="24"/>
        </w:rPr>
        <w:t xml:space="preserve">Fig. </w:t>
      </w:r>
      <w:r w:rsidR="001A2BFC">
        <w:rPr>
          <w:b/>
          <w:bCs/>
          <w:noProof/>
          <w:sz w:val="24"/>
          <w:szCs w:val="24"/>
        </w:rPr>
        <w:t>S5</w:t>
      </w:r>
    </w:p>
    <w:p w:rsidR="00FE6B49" w:rsidRPr="00166452" w:rsidRDefault="00FE6B49" w:rsidP="00FE6B49">
      <w:pPr>
        <w:rPr>
          <w:noProof/>
          <w:sz w:val="24"/>
          <w:szCs w:val="24"/>
        </w:rPr>
      </w:pPr>
      <w:r w:rsidRPr="00166452">
        <w:rPr>
          <w:noProof/>
          <w:sz w:val="24"/>
          <w:szCs w:val="24"/>
        </w:rPr>
        <w:drawing>
          <wp:inline distT="0" distB="0" distL="0" distR="0" wp14:anchorId="526B2C7D" wp14:editId="74968748">
            <wp:extent cx="5715000" cy="4286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FE6B49" w:rsidRPr="00166452" w:rsidRDefault="00FE6B49" w:rsidP="00FE6B49">
      <w:pPr>
        <w:rPr>
          <w:noProof/>
          <w:sz w:val="24"/>
          <w:szCs w:val="24"/>
        </w:rPr>
      </w:pPr>
      <w:r w:rsidRPr="00166452">
        <w:rPr>
          <w:noProof/>
          <w:sz w:val="24"/>
          <w:szCs w:val="24"/>
        </w:rPr>
        <w:t xml:space="preserve">                       Funnel plot of VRE among total enterococci by MIC-based methods </w:t>
      </w:r>
    </w:p>
    <w:p w:rsidR="00FE6B49" w:rsidRPr="00166452" w:rsidRDefault="00FE6B49" w:rsidP="00FE6B49">
      <w:pPr>
        <w:rPr>
          <w:noProof/>
          <w:sz w:val="24"/>
          <w:szCs w:val="24"/>
        </w:rPr>
      </w:pPr>
    </w:p>
    <w:p w:rsidR="00FE6B49" w:rsidRPr="00166452" w:rsidRDefault="00FE6B49" w:rsidP="00FE6B49">
      <w:pPr>
        <w:rPr>
          <w:noProof/>
          <w:sz w:val="24"/>
          <w:szCs w:val="24"/>
        </w:rPr>
      </w:pPr>
    </w:p>
    <w:p w:rsidR="00FE6B49" w:rsidRPr="00166452" w:rsidRDefault="00FE6B49" w:rsidP="00FE6B49">
      <w:pPr>
        <w:rPr>
          <w:noProof/>
          <w:sz w:val="24"/>
          <w:szCs w:val="24"/>
        </w:rPr>
      </w:pPr>
    </w:p>
    <w:p w:rsidR="00FE6B49" w:rsidRPr="00166452" w:rsidRDefault="00FE6B49" w:rsidP="00FE6B49">
      <w:pPr>
        <w:rPr>
          <w:noProof/>
          <w:sz w:val="24"/>
          <w:szCs w:val="24"/>
        </w:rPr>
      </w:pPr>
    </w:p>
    <w:p w:rsidR="00FE6B49" w:rsidRPr="00166452" w:rsidRDefault="00FE6B49" w:rsidP="00FE6B49">
      <w:pPr>
        <w:rPr>
          <w:noProof/>
          <w:sz w:val="24"/>
          <w:szCs w:val="24"/>
        </w:rPr>
      </w:pPr>
    </w:p>
    <w:p w:rsidR="00FE6B49" w:rsidRPr="00166452" w:rsidRDefault="00FE6B49" w:rsidP="00FE6B49">
      <w:pPr>
        <w:rPr>
          <w:noProof/>
          <w:sz w:val="24"/>
          <w:szCs w:val="24"/>
        </w:rPr>
      </w:pPr>
    </w:p>
    <w:p w:rsidR="00FE6B49" w:rsidRPr="00166452" w:rsidRDefault="00FE6B49" w:rsidP="00FE6B49">
      <w:pPr>
        <w:rPr>
          <w:noProof/>
          <w:sz w:val="24"/>
          <w:szCs w:val="24"/>
        </w:rPr>
      </w:pPr>
      <w:r w:rsidRPr="00166452">
        <w:rPr>
          <w:b/>
          <w:bCs/>
          <w:noProof/>
          <w:sz w:val="24"/>
          <w:szCs w:val="24"/>
        </w:rPr>
        <w:lastRenderedPageBreak/>
        <w:t xml:space="preserve">Fig. </w:t>
      </w:r>
      <w:r w:rsidR="001A2BFC">
        <w:rPr>
          <w:b/>
          <w:bCs/>
          <w:noProof/>
          <w:sz w:val="24"/>
          <w:szCs w:val="24"/>
        </w:rPr>
        <w:t>S6</w:t>
      </w:r>
      <w:r w:rsidRPr="00166452">
        <w:rPr>
          <w:noProof/>
          <w:sz w:val="24"/>
          <w:szCs w:val="24"/>
        </w:rPr>
        <w:br/>
      </w:r>
      <w:r w:rsidRPr="00166452">
        <w:rPr>
          <w:noProof/>
          <w:sz w:val="24"/>
          <w:szCs w:val="24"/>
        </w:rPr>
        <w:drawing>
          <wp:inline distT="0" distB="0" distL="0" distR="0" wp14:anchorId="4DD0C71F" wp14:editId="5D73D4BD">
            <wp:extent cx="5715000" cy="42862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FE6B49" w:rsidRPr="00166452" w:rsidRDefault="00FE6B49" w:rsidP="00FE6B49">
      <w:pPr>
        <w:rPr>
          <w:noProof/>
          <w:sz w:val="24"/>
          <w:szCs w:val="24"/>
        </w:rPr>
      </w:pPr>
    </w:p>
    <w:p w:rsidR="00FE6B49" w:rsidRPr="00166452" w:rsidRDefault="00FE6B49" w:rsidP="00FE6B49">
      <w:pPr>
        <w:rPr>
          <w:noProof/>
          <w:sz w:val="24"/>
          <w:szCs w:val="24"/>
        </w:rPr>
      </w:pPr>
      <w:r w:rsidRPr="00166452">
        <w:rPr>
          <w:noProof/>
          <w:sz w:val="24"/>
          <w:szCs w:val="24"/>
        </w:rPr>
        <w:t xml:space="preserve">                             forest plot of VRE among total enterococci by broth Microdilution</w:t>
      </w:r>
    </w:p>
    <w:p w:rsidR="00FE6B49" w:rsidRPr="00166452" w:rsidRDefault="00FE6B49" w:rsidP="00FE6B49">
      <w:pPr>
        <w:rPr>
          <w:noProof/>
          <w:sz w:val="24"/>
          <w:szCs w:val="24"/>
        </w:rPr>
      </w:pPr>
    </w:p>
    <w:p w:rsidR="00FE6B49" w:rsidRDefault="00FE6B49" w:rsidP="00FE6B49">
      <w:pPr>
        <w:rPr>
          <w:noProof/>
          <w:sz w:val="24"/>
          <w:szCs w:val="24"/>
        </w:rPr>
      </w:pPr>
    </w:p>
    <w:p w:rsidR="00354B8D" w:rsidRPr="00166452" w:rsidRDefault="00354B8D" w:rsidP="00FE6B49">
      <w:pPr>
        <w:rPr>
          <w:noProof/>
          <w:sz w:val="24"/>
          <w:szCs w:val="24"/>
        </w:rPr>
      </w:pPr>
    </w:p>
    <w:p w:rsidR="00FE6B49" w:rsidRPr="00166452" w:rsidRDefault="00FE6B49" w:rsidP="00FE6B49">
      <w:pPr>
        <w:rPr>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FE6B49" w:rsidRPr="00166452" w:rsidRDefault="00FE6B49" w:rsidP="00FE6B49">
      <w:pPr>
        <w:rPr>
          <w:b/>
          <w:bCs/>
          <w:noProof/>
          <w:sz w:val="24"/>
          <w:szCs w:val="24"/>
        </w:rPr>
      </w:pPr>
      <w:r w:rsidRPr="00166452">
        <w:rPr>
          <w:b/>
          <w:bCs/>
          <w:noProof/>
          <w:sz w:val="24"/>
          <w:szCs w:val="24"/>
        </w:rPr>
        <w:lastRenderedPageBreak/>
        <w:t xml:space="preserve">Fig. </w:t>
      </w:r>
      <w:r w:rsidR="001A2BFC">
        <w:rPr>
          <w:b/>
          <w:bCs/>
          <w:noProof/>
          <w:sz w:val="24"/>
          <w:szCs w:val="24"/>
        </w:rPr>
        <w:t>S7</w:t>
      </w:r>
    </w:p>
    <w:p w:rsidR="00FE6B49" w:rsidRPr="00166452" w:rsidRDefault="00FE6B49" w:rsidP="00FE6B49">
      <w:pPr>
        <w:rPr>
          <w:noProof/>
          <w:sz w:val="24"/>
          <w:szCs w:val="24"/>
        </w:rPr>
      </w:pPr>
      <w:r w:rsidRPr="00166452">
        <w:rPr>
          <w:noProof/>
          <w:sz w:val="24"/>
          <w:szCs w:val="24"/>
        </w:rPr>
        <w:drawing>
          <wp:inline distT="0" distB="0" distL="0" distR="0" wp14:anchorId="3FB546C1" wp14:editId="286829C4">
            <wp:extent cx="5715000" cy="42862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FE6B49" w:rsidRPr="00166452" w:rsidRDefault="00FE6B49" w:rsidP="00FE6B49">
      <w:pPr>
        <w:rPr>
          <w:noProof/>
          <w:sz w:val="24"/>
          <w:szCs w:val="24"/>
        </w:rPr>
      </w:pPr>
    </w:p>
    <w:p w:rsidR="00FE6B49" w:rsidRPr="00166452" w:rsidRDefault="00FE6B49" w:rsidP="00FE6B49">
      <w:pPr>
        <w:rPr>
          <w:noProof/>
          <w:sz w:val="24"/>
          <w:szCs w:val="24"/>
        </w:rPr>
      </w:pPr>
    </w:p>
    <w:p w:rsidR="00FE6B49" w:rsidRPr="00166452" w:rsidRDefault="00FE6B49" w:rsidP="00FE6B49">
      <w:pPr>
        <w:rPr>
          <w:noProof/>
          <w:sz w:val="24"/>
          <w:szCs w:val="24"/>
        </w:rPr>
      </w:pPr>
      <w:r w:rsidRPr="00166452">
        <w:rPr>
          <w:noProof/>
          <w:sz w:val="24"/>
          <w:szCs w:val="24"/>
        </w:rPr>
        <w:t xml:space="preserve">                             forest plot of VRE among total enterococci by viteck 2 automated system</w:t>
      </w:r>
    </w:p>
    <w:p w:rsidR="00FE6B49" w:rsidRPr="00166452" w:rsidRDefault="00FE6B49" w:rsidP="00FE6B49">
      <w:pPr>
        <w:rPr>
          <w:noProof/>
          <w:sz w:val="24"/>
          <w:szCs w:val="24"/>
        </w:rPr>
      </w:pPr>
    </w:p>
    <w:p w:rsidR="00FE6B49" w:rsidRPr="00166452" w:rsidRDefault="00FE6B49" w:rsidP="00FE6B49">
      <w:pPr>
        <w:rPr>
          <w:noProof/>
          <w:sz w:val="24"/>
          <w:szCs w:val="24"/>
        </w:rPr>
      </w:pPr>
      <w:r w:rsidRPr="00166452">
        <w:rPr>
          <w:noProof/>
          <w:sz w:val="24"/>
          <w:szCs w:val="24"/>
        </w:rPr>
        <w:br/>
      </w:r>
      <w:r w:rsidRPr="00166452">
        <w:rPr>
          <w:noProof/>
          <w:sz w:val="24"/>
          <w:szCs w:val="24"/>
        </w:rPr>
        <w:br/>
      </w:r>
      <w:r w:rsidRPr="00166452">
        <w:rPr>
          <w:noProof/>
          <w:sz w:val="24"/>
          <w:szCs w:val="24"/>
        </w:rPr>
        <w:br/>
      </w:r>
      <w:r w:rsidRPr="00166452">
        <w:rPr>
          <w:noProof/>
          <w:sz w:val="24"/>
          <w:szCs w:val="24"/>
        </w:rPr>
        <w:br/>
      </w:r>
      <w:r w:rsidRPr="00166452">
        <w:rPr>
          <w:b/>
          <w:bCs/>
          <w:noProof/>
          <w:sz w:val="24"/>
          <w:szCs w:val="24"/>
        </w:rPr>
        <w:lastRenderedPageBreak/>
        <w:t xml:space="preserve">Fig. </w:t>
      </w:r>
      <w:r w:rsidR="001A2BFC">
        <w:rPr>
          <w:b/>
          <w:bCs/>
          <w:noProof/>
          <w:sz w:val="24"/>
          <w:szCs w:val="24"/>
        </w:rPr>
        <w:t>S8</w:t>
      </w:r>
      <w:r w:rsidRPr="00166452">
        <w:rPr>
          <w:noProof/>
          <w:sz w:val="24"/>
          <w:szCs w:val="24"/>
        </w:rPr>
        <w:br/>
      </w:r>
      <w:r w:rsidRPr="00166452">
        <w:rPr>
          <w:noProof/>
          <w:sz w:val="24"/>
          <w:szCs w:val="24"/>
        </w:rPr>
        <w:drawing>
          <wp:inline distT="0" distB="0" distL="0" distR="0" wp14:anchorId="3F16FAE7" wp14:editId="6FA43A52">
            <wp:extent cx="5718810" cy="4285615"/>
            <wp:effectExtent l="0" t="0" r="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18810" cy="4285615"/>
                    </a:xfrm>
                    <a:prstGeom prst="rect">
                      <a:avLst/>
                    </a:prstGeom>
                    <a:noFill/>
                  </pic:spPr>
                </pic:pic>
              </a:graphicData>
            </a:graphic>
          </wp:inline>
        </w:drawing>
      </w:r>
    </w:p>
    <w:p w:rsidR="00FE6B49" w:rsidRPr="00166452" w:rsidRDefault="00FE6B49" w:rsidP="00FE6B49">
      <w:pPr>
        <w:rPr>
          <w:noProof/>
          <w:sz w:val="24"/>
          <w:szCs w:val="24"/>
        </w:rPr>
      </w:pPr>
    </w:p>
    <w:p w:rsidR="00FE6B49" w:rsidRPr="00166452" w:rsidRDefault="00FE6B49" w:rsidP="00FE6B49">
      <w:pPr>
        <w:rPr>
          <w:noProof/>
          <w:sz w:val="24"/>
          <w:szCs w:val="24"/>
        </w:rPr>
      </w:pPr>
    </w:p>
    <w:p w:rsidR="00FE6B49" w:rsidRPr="00166452" w:rsidRDefault="00FE6B49" w:rsidP="00FE6B49">
      <w:pPr>
        <w:rPr>
          <w:sz w:val="24"/>
          <w:szCs w:val="24"/>
        </w:rPr>
      </w:pPr>
      <w:r w:rsidRPr="00166452">
        <w:rPr>
          <w:sz w:val="24"/>
          <w:szCs w:val="24"/>
        </w:rPr>
        <w:t xml:space="preserve">                             Forest plot of VRE among total enterococci by E-test</w:t>
      </w:r>
    </w:p>
    <w:p w:rsidR="00FE6B49" w:rsidRDefault="00FE6B49" w:rsidP="00FE6B49">
      <w:pPr>
        <w:tabs>
          <w:tab w:val="left" w:pos="2760"/>
        </w:tabs>
      </w:pPr>
    </w:p>
    <w:p w:rsidR="00FE6B49" w:rsidRDefault="00FE6B49" w:rsidP="00FE6B49">
      <w:pPr>
        <w:tabs>
          <w:tab w:val="left" w:pos="2760"/>
        </w:tabs>
      </w:pPr>
    </w:p>
    <w:p w:rsidR="00354B8D" w:rsidRDefault="00354B8D" w:rsidP="00FE6B49">
      <w:pPr>
        <w:tabs>
          <w:tab w:val="left" w:pos="2760"/>
        </w:tabs>
      </w:pPr>
    </w:p>
    <w:p w:rsidR="00354B8D" w:rsidRDefault="00354B8D" w:rsidP="00FE6B49">
      <w:pPr>
        <w:tabs>
          <w:tab w:val="left" w:pos="2760"/>
        </w:tabs>
      </w:pPr>
    </w:p>
    <w:p w:rsidR="00354B8D" w:rsidRDefault="00354B8D" w:rsidP="00FE6B49">
      <w:pPr>
        <w:tabs>
          <w:tab w:val="left" w:pos="2760"/>
        </w:tabs>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FE6B49" w:rsidRPr="00166452" w:rsidRDefault="00FE6B49" w:rsidP="00FE6B49">
      <w:pPr>
        <w:tabs>
          <w:tab w:val="left" w:pos="2760"/>
        </w:tabs>
      </w:pPr>
      <w:r w:rsidRPr="00166452">
        <w:rPr>
          <w:b/>
          <w:bCs/>
          <w:noProof/>
          <w:sz w:val="24"/>
          <w:szCs w:val="24"/>
        </w:rPr>
        <w:t xml:space="preserve">Fig. </w:t>
      </w:r>
      <w:r w:rsidR="001A2BFC">
        <w:rPr>
          <w:b/>
          <w:bCs/>
          <w:noProof/>
          <w:sz w:val="24"/>
          <w:szCs w:val="24"/>
        </w:rPr>
        <w:t>S9</w:t>
      </w:r>
    </w:p>
    <w:p w:rsidR="00FE6B49" w:rsidRPr="00166452" w:rsidRDefault="00FE6B49" w:rsidP="00FE6B49">
      <w:pPr>
        <w:tabs>
          <w:tab w:val="left" w:pos="2760"/>
        </w:tabs>
      </w:pPr>
      <w:r w:rsidRPr="00166452">
        <w:rPr>
          <w:noProof/>
        </w:rPr>
        <w:drawing>
          <wp:inline distT="0" distB="0" distL="0" distR="0" wp14:anchorId="0A5E43CB" wp14:editId="5D5B7AB7">
            <wp:extent cx="5715000" cy="42862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r w:rsidRPr="00166452">
        <w:br/>
      </w:r>
      <w:r w:rsidR="00354B8D">
        <w:t xml:space="preserve">                                                                       </w:t>
      </w:r>
      <w:r w:rsidR="00354B8D" w:rsidRPr="00354B8D">
        <w:t>Forest plot of VRE in Mansoura</w:t>
      </w: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FE6B49" w:rsidRPr="00166452" w:rsidRDefault="00FE6B49" w:rsidP="00FE6B49">
      <w:pPr>
        <w:tabs>
          <w:tab w:val="left" w:pos="2760"/>
        </w:tabs>
      </w:pPr>
      <w:r w:rsidRPr="00166452">
        <w:rPr>
          <w:b/>
          <w:bCs/>
          <w:noProof/>
          <w:sz w:val="24"/>
          <w:szCs w:val="24"/>
        </w:rPr>
        <w:t xml:space="preserve">Fig. </w:t>
      </w:r>
      <w:r w:rsidR="001A2BFC">
        <w:rPr>
          <w:b/>
          <w:bCs/>
          <w:noProof/>
          <w:sz w:val="24"/>
          <w:szCs w:val="24"/>
        </w:rPr>
        <w:t>S10</w:t>
      </w:r>
    </w:p>
    <w:p w:rsidR="00FE6B49" w:rsidRPr="00166452" w:rsidRDefault="00FE6B49" w:rsidP="00FE6B49">
      <w:pPr>
        <w:tabs>
          <w:tab w:val="left" w:pos="2760"/>
        </w:tabs>
      </w:pPr>
    </w:p>
    <w:p w:rsidR="00FE6B49" w:rsidRPr="00166452" w:rsidRDefault="00FE6B49" w:rsidP="00FE6B49">
      <w:pPr>
        <w:tabs>
          <w:tab w:val="left" w:pos="2760"/>
        </w:tabs>
      </w:pPr>
      <w:r w:rsidRPr="00166452">
        <w:rPr>
          <w:noProof/>
        </w:rPr>
        <w:drawing>
          <wp:inline distT="0" distB="0" distL="0" distR="0" wp14:anchorId="197FB29F" wp14:editId="52F44611">
            <wp:extent cx="5715000" cy="428625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FE6B49" w:rsidRPr="00166452" w:rsidRDefault="00354B8D" w:rsidP="00FE6B49">
      <w:pPr>
        <w:tabs>
          <w:tab w:val="left" w:pos="2760"/>
        </w:tabs>
      </w:pPr>
      <w:r>
        <w:t xml:space="preserve">                                                                         </w:t>
      </w:r>
      <w:r w:rsidRPr="00354B8D">
        <w:t>Forest plot of VRE in Cairo</w:t>
      </w: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FE6B49" w:rsidRPr="00166452" w:rsidRDefault="00FE6B49" w:rsidP="00FE6B49">
      <w:pPr>
        <w:tabs>
          <w:tab w:val="left" w:pos="2760"/>
        </w:tabs>
      </w:pPr>
      <w:r w:rsidRPr="00166452">
        <w:rPr>
          <w:b/>
          <w:bCs/>
          <w:noProof/>
          <w:sz w:val="24"/>
          <w:szCs w:val="24"/>
        </w:rPr>
        <w:lastRenderedPageBreak/>
        <w:t xml:space="preserve">Fig. </w:t>
      </w:r>
      <w:r w:rsidR="001A2BFC">
        <w:rPr>
          <w:b/>
          <w:bCs/>
          <w:noProof/>
          <w:sz w:val="24"/>
          <w:szCs w:val="24"/>
        </w:rPr>
        <w:t>S11</w:t>
      </w:r>
    </w:p>
    <w:p w:rsidR="00FE6B49" w:rsidRPr="00166452" w:rsidRDefault="00FE6B49" w:rsidP="00FE6B49">
      <w:pPr>
        <w:tabs>
          <w:tab w:val="left" w:pos="2760"/>
        </w:tabs>
      </w:pPr>
    </w:p>
    <w:p w:rsidR="00FE6B49" w:rsidRPr="00166452" w:rsidRDefault="00FE6B49" w:rsidP="00FE6B49">
      <w:pPr>
        <w:tabs>
          <w:tab w:val="left" w:pos="2760"/>
        </w:tabs>
      </w:pPr>
      <w:r w:rsidRPr="00166452">
        <w:rPr>
          <w:noProof/>
        </w:rPr>
        <w:drawing>
          <wp:inline distT="0" distB="0" distL="0" distR="0" wp14:anchorId="0030DEE2" wp14:editId="6DE33C5F">
            <wp:extent cx="5715000" cy="42862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FE6B49" w:rsidRDefault="00354B8D" w:rsidP="00FE6B49">
      <w:pPr>
        <w:tabs>
          <w:tab w:val="left" w:pos="2760"/>
        </w:tabs>
      </w:pPr>
      <w:r>
        <w:t xml:space="preserve">                                                           </w:t>
      </w:r>
      <w:r w:rsidRPr="00354B8D">
        <w:t>Forest plot of VRE in Minia</w:t>
      </w:r>
    </w:p>
    <w:p w:rsidR="00354B8D" w:rsidRDefault="00354B8D" w:rsidP="00FE6B49">
      <w:pPr>
        <w:tabs>
          <w:tab w:val="left" w:pos="2760"/>
        </w:tabs>
      </w:pPr>
    </w:p>
    <w:p w:rsidR="00354B8D" w:rsidRPr="00166452" w:rsidRDefault="00354B8D"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FE6B49" w:rsidRPr="00166452" w:rsidRDefault="00FE6B49" w:rsidP="00FE6B49">
      <w:pPr>
        <w:tabs>
          <w:tab w:val="left" w:pos="2760"/>
        </w:tabs>
      </w:pPr>
      <w:r w:rsidRPr="00166452">
        <w:rPr>
          <w:b/>
          <w:bCs/>
          <w:noProof/>
          <w:sz w:val="24"/>
          <w:szCs w:val="24"/>
        </w:rPr>
        <w:lastRenderedPageBreak/>
        <w:t xml:space="preserve">Fig. </w:t>
      </w:r>
      <w:r w:rsidR="001A2BFC">
        <w:rPr>
          <w:b/>
          <w:bCs/>
          <w:noProof/>
          <w:sz w:val="24"/>
          <w:szCs w:val="24"/>
        </w:rPr>
        <w:t>S12</w:t>
      </w:r>
    </w:p>
    <w:p w:rsidR="00FE6B49" w:rsidRPr="00166452" w:rsidRDefault="00FE6B49" w:rsidP="00FE6B49">
      <w:pPr>
        <w:tabs>
          <w:tab w:val="left" w:pos="2760"/>
        </w:tabs>
      </w:pPr>
    </w:p>
    <w:p w:rsidR="00FE6B49" w:rsidRPr="00166452" w:rsidRDefault="00FE6B49" w:rsidP="00FE6B49">
      <w:pPr>
        <w:tabs>
          <w:tab w:val="left" w:pos="2760"/>
        </w:tabs>
      </w:pPr>
      <w:r w:rsidRPr="00CC7737">
        <w:rPr>
          <w:noProof/>
        </w:rPr>
        <w:drawing>
          <wp:inline distT="0" distB="0" distL="0" distR="0" wp14:anchorId="418FF22A" wp14:editId="4A49FB77">
            <wp:extent cx="5720080" cy="4284980"/>
            <wp:effectExtent l="0" t="0" r="0" b="127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20080" cy="4284980"/>
                    </a:xfrm>
                    <a:prstGeom prst="rect">
                      <a:avLst/>
                    </a:prstGeom>
                    <a:noFill/>
                    <a:ln>
                      <a:noFill/>
                    </a:ln>
                  </pic:spPr>
                </pic:pic>
              </a:graphicData>
            </a:graphic>
          </wp:inline>
        </w:drawing>
      </w:r>
    </w:p>
    <w:p w:rsidR="00FE6B49" w:rsidRPr="00166452" w:rsidRDefault="00354B8D" w:rsidP="00FE6B49">
      <w:pPr>
        <w:tabs>
          <w:tab w:val="left" w:pos="2760"/>
        </w:tabs>
      </w:pPr>
      <w:r>
        <w:t xml:space="preserve">                                                                     </w:t>
      </w:r>
      <w:r w:rsidRPr="00354B8D">
        <w:t>Forest plot of VRE in Sohag</w:t>
      </w: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FE6B49" w:rsidRPr="00166452" w:rsidRDefault="00FE6B49" w:rsidP="00FE6B49">
      <w:pPr>
        <w:tabs>
          <w:tab w:val="left" w:pos="2760"/>
        </w:tabs>
      </w:pPr>
      <w:r w:rsidRPr="00166452">
        <w:rPr>
          <w:b/>
          <w:bCs/>
          <w:noProof/>
          <w:sz w:val="24"/>
          <w:szCs w:val="24"/>
        </w:rPr>
        <w:lastRenderedPageBreak/>
        <w:t xml:space="preserve">Fig. </w:t>
      </w:r>
      <w:r w:rsidR="001A2BFC">
        <w:rPr>
          <w:b/>
          <w:bCs/>
          <w:noProof/>
          <w:sz w:val="24"/>
          <w:szCs w:val="24"/>
        </w:rPr>
        <w:t>S13</w:t>
      </w: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r w:rsidRPr="00166452">
        <w:rPr>
          <w:noProof/>
        </w:rPr>
        <w:drawing>
          <wp:inline distT="0" distB="0" distL="0" distR="0" wp14:anchorId="1340E5A4" wp14:editId="3BB67D26">
            <wp:extent cx="5715000" cy="42862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354B8D" w:rsidRPr="00354B8D" w:rsidRDefault="00354B8D" w:rsidP="00354B8D">
      <w:pPr>
        <w:widowControl w:val="0"/>
        <w:autoSpaceDE w:val="0"/>
        <w:autoSpaceDN w:val="0"/>
        <w:spacing w:before="57" w:after="0" w:line="240" w:lineRule="auto"/>
        <w:ind w:left="4547"/>
        <w:rPr>
          <w:rFonts w:ascii="Calibri" w:eastAsia="Calibri" w:hAnsi="Calibri" w:cs="Calibri"/>
        </w:rPr>
      </w:pPr>
      <w:r w:rsidRPr="00354B8D">
        <w:rPr>
          <w:rFonts w:ascii="Calibri" w:eastAsia="Calibri" w:hAnsi="Calibri" w:cs="Calibri"/>
        </w:rPr>
        <w:t>Forest</w:t>
      </w:r>
      <w:r w:rsidRPr="00354B8D">
        <w:rPr>
          <w:rFonts w:ascii="Calibri" w:eastAsia="Calibri" w:hAnsi="Calibri" w:cs="Calibri"/>
          <w:spacing w:val="-5"/>
        </w:rPr>
        <w:t xml:space="preserve"> </w:t>
      </w:r>
      <w:r w:rsidRPr="00354B8D">
        <w:rPr>
          <w:rFonts w:ascii="Calibri" w:eastAsia="Calibri" w:hAnsi="Calibri" w:cs="Calibri"/>
        </w:rPr>
        <w:t>plot</w:t>
      </w:r>
      <w:r w:rsidRPr="00354B8D">
        <w:rPr>
          <w:rFonts w:ascii="Calibri" w:eastAsia="Calibri" w:hAnsi="Calibri" w:cs="Calibri"/>
          <w:spacing w:val="5"/>
        </w:rPr>
        <w:t xml:space="preserve"> </w:t>
      </w:r>
      <w:r w:rsidRPr="00354B8D">
        <w:rPr>
          <w:rFonts w:ascii="Calibri" w:eastAsia="Calibri" w:hAnsi="Calibri" w:cs="Calibri"/>
        </w:rPr>
        <w:t>of</w:t>
      </w:r>
      <w:r w:rsidRPr="00354B8D">
        <w:rPr>
          <w:rFonts w:ascii="Calibri" w:eastAsia="Calibri" w:hAnsi="Calibri" w:cs="Calibri"/>
          <w:spacing w:val="-3"/>
        </w:rPr>
        <w:t xml:space="preserve"> </w:t>
      </w:r>
      <w:r w:rsidRPr="00354B8D">
        <w:rPr>
          <w:rFonts w:ascii="Calibri" w:eastAsia="Calibri" w:hAnsi="Calibri" w:cs="Calibri"/>
        </w:rPr>
        <w:t>VRE</w:t>
      </w:r>
      <w:r w:rsidRPr="00354B8D">
        <w:rPr>
          <w:rFonts w:ascii="Calibri" w:eastAsia="Calibri" w:hAnsi="Calibri" w:cs="Calibri"/>
          <w:spacing w:val="-5"/>
        </w:rPr>
        <w:t xml:space="preserve"> </w:t>
      </w:r>
      <w:r w:rsidRPr="00354B8D">
        <w:rPr>
          <w:rFonts w:ascii="Calibri" w:eastAsia="Calibri" w:hAnsi="Calibri" w:cs="Calibri"/>
        </w:rPr>
        <w:t>in</w:t>
      </w:r>
      <w:r w:rsidRPr="00354B8D">
        <w:rPr>
          <w:rFonts w:ascii="Calibri" w:eastAsia="Calibri" w:hAnsi="Calibri" w:cs="Calibri"/>
          <w:spacing w:val="-1"/>
        </w:rPr>
        <w:t xml:space="preserve"> </w:t>
      </w:r>
      <w:r w:rsidRPr="00354B8D">
        <w:rPr>
          <w:rFonts w:ascii="Calibri" w:eastAsia="Calibri" w:hAnsi="Calibri" w:cs="Calibri"/>
        </w:rPr>
        <w:t>Tanta</w:t>
      </w:r>
    </w:p>
    <w:p w:rsidR="00FE6B49" w:rsidRPr="00166452" w:rsidRDefault="00FE6B49" w:rsidP="00FE6B49">
      <w:pPr>
        <w:tabs>
          <w:tab w:val="left" w:pos="2760"/>
        </w:tabs>
      </w:pPr>
    </w:p>
    <w:p w:rsidR="00FE6B49" w:rsidRDefault="00FE6B49" w:rsidP="00FE6B49">
      <w:pPr>
        <w:tabs>
          <w:tab w:val="left" w:pos="2760"/>
        </w:tabs>
      </w:pPr>
    </w:p>
    <w:p w:rsidR="00354B8D" w:rsidRPr="00166452" w:rsidRDefault="00354B8D" w:rsidP="00FE6B49">
      <w:pPr>
        <w:tabs>
          <w:tab w:val="left" w:pos="2760"/>
        </w:tabs>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8550FA" w:rsidRDefault="008550FA" w:rsidP="00FE6B49">
      <w:pPr>
        <w:tabs>
          <w:tab w:val="left" w:pos="2760"/>
        </w:tabs>
        <w:rPr>
          <w:b/>
          <w:bCs/>
          <w:noProof/>
          <w:sz w:val="24"/>
          <w:szCs w:val="24"/>
        </w:rPr>
      </w:pPr>
    </w:p>
    <w:p w:rsidR="00FE6B49" w:rsidRPr="00166452" w:rsidRDefault="00FE6B49" w:rsidP="00FE6B49">
      <w:pPr>
        <w:tabs>
          <w:tab w:val="left" w:pos="2760"/>
        </w:tabs>
      </w:pPr>
      <w:r w:rsidRPr="00166452">
        <w:rPr>
          <w:b/>
          <w:bCs/>
          <w:noProof/>
          <w:sz w:val="24"/>
          <w:szCs w:val="24"/>
        </w:rPr>
        <w:t xml:space="preserve">Fig. </w:t>
      </w:r>
      <w:r w:rsidR="001A2BFC">
        <w:rPr>
          <w:b/>
          <w:bCs/>
          <w:noProof/>
          <w:sz w:val="24"/>
          <w:szCs w:val="24"/>
        </w:rPr>
        <w:t>S14</w:t>
      </w: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p>
    <w:p w:rsidR="00FE6B49" w:rsidRPr="00166452" w:rsidRDefault="00FE6B49" w:rsidP="00FE6B49">
      <w:pPr>
        <w:tabs>
          <w:tab w:val="left" w:pos="2760"/>
        </w:tabs>
      </w:pPr>
      <w:r w:rsidRPr="00DD2CB6">
        <w:rPr>
          <w:noProof/>
        </w:rPr>
        <w:drawing>
          <wp:inline distT="0" distB="0" distL="0" distR="0" wp14:anchorId="62EBF9F6" wp14:editId="11E1466F">
            <wp:extent cx="5720080" cy="4284980"/>
            <wp:effectExtent l="0" t="0" r="0" b="127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20080" cy="4284980"/>
                    </a:xfrm>
                    <a:prstGeom prst="rect">
                      <a:avLst/>
                    </a:prstGeom>
                    <a:noFill/>
                    <a:ln>
                      <a:noFill/>
                    </a:ln>
                  </pic:spPr>
                </pic:pic>
              </a:graphicData>
            </a:graphic>
          </wp:inline>
        </w:drawing>
      </w:r>
    </w:p>
    <w:p w:rsidR="00354B8D" w:rsidRPr="00354B8D" w:rsidRDefault="00354B8D" w:rsidP="00354B8D">
      <w:pPr>
        <w:widowControl w:val="0"/>
        <w:autoSpaceDE w:val="0"/>
        <w:autoSpaceDN w:val="0"/>
        <w:spacing w:before="56" w:after="0" w:line="240" w:lineRule="auto"/>
        <w:ind w:left="4547"/>
        <w:rPr>
          <w:rFonts w:ascii="Calibri" w:eastAsia="Calibri" w:hAnsi="Calibri" w:cs="Calibri"/>
        </w:rPr>
      </w:pPr>
      <w:r w:rsidRPr="00354B8D">
        <w:rPr>
          <w:rFonts w:ascii="Calibri" w:eastAsia="Calibri" w:hAnsi="Calibri" w:cs="Calibri"/>
        </w:rPr>
        <w:t>Forest</w:t>
      </w:r>
      <w:r w:rsidRPr="00354B8D">
        <w:rPr>
          <w:rFonts w:ascii="Calibri" w:eastAsia="Calibri" w:hAnsi="Calibri" w:cs="Calibri"/>
          <w:spacing w:val="-5"/>
        </w:rPr>
        <w:t xml:space="preserve"> </w:t>
      </w:r>
      <w:r w:rsidRPr="00354B8D">
        <w:rPr>
          <w:rFonts w:ascii="Calibri" w:eastAsia="Calibri" w:hAnsi="Calibri" w:cs="Calibri"/>
        </w:rPr>
        <w:t>plot</w:t>
      </w:r>
      <w:r w:rsidRPr="00354B8D">
        <w:rPr>
          <w:rFonts w:ascii="Calibri" w:eastAsia="Calibri" w:hAnsi="Calibri" w:cs="Calibri"/>
          <w:spacing w:val="4"/>
        </w:rPr>
        <w:t xml:space="preserve"> </w:t>
      </w:r>
      <w:r w:rsidRPr="00354B8D">
        <w:rPr>
          <w:rFonts w:ascii="Calibri" w:eastAsia="Calibri" w:hAnsi="Calibri" w:cs="Calibri"/>
        </w:rPr>
        <w:t>of</w:t>
      </w:r>
      <w:r w:rsidRPr="00354B8D">
        <w:rPr>
          <w:rFonts w:ascii="Calibri" w:eastAsia="Calibri" w:hAnsi="Calibri" w:cs="Calibri"/>
          <w:spacing w:val="-2"/>
        </w:rPr>
        <w:t xml:space="preserve"> </w:t>
      </w:r>
      <w:r w:rsidRPr="00354B8D">
        <w:rPr>
          <w:rFonts w:ascii="Calibri" w:eastAsia="Calibri" w:hAnsi="Calibri" w:cs="Calibri"/>
        </w:rPr>
        <w:t>VRE</w:t>
      </w:r>
      <w:r w:rsidRPr="00354B8D">
        <w:rPr>
          <w:rFonts w:ascii="Calibri" w:eastAsia="Calibri" w:hAnsi="Calibri" w:cs="Calibri"/>
          <w:spacing w:val="-6"/>
        </w:rPr>
        <w:t xml:space="preserve"> </w:t>
      </w:r>
      <w:r w:rsidRPr="00354B8D">
        <w:rPr>
          <w:rFonts w:ascii="Calibri" w:eastAsia="Calibri" w:hAnsi="Calibri" w:cs="Calibri"/>
        </w:rPr>
        <w:t>in</w:t>
      </w:r>
      <w:r w:rsidRPr="00354B8D">
        <w:rPr>
          <w:rFonts w:ascii="Calibri" w:eastAsia="Calibri" w:hAnsi="Calibri" w:cs="Calibri"/>
          <w:spacing w:val="-3"/>
        </w:rPr>
        <w:t xml:space="preserve"> </w:t>
      </w:r>
      <w:r w:rsidRPr="00354B8D">
        <w:rPr>
          <w:rFonts w:ascii="Calibri" w:eastAsia="Calibri" w:hAnsi="Calibri" w:cs="Calibri"/>
        </w:rPr>
        <w:t>Menofia</w:t>
      </w:r>
    </w:p>
    <w:p w:rsidR="00FE6B49" w:rsidRPr="00166452" w:rsidRDefault="00FE6B49" w:rsidP="00FE6B49">
      <w:pPr>
        <w:tabs>
          <w:tab w:val="left" w:pos="2760"/>
        </w:tabs>
      </w:pPr>
    </w:p>
    <w:p w:rsidR="00FE6B49" w:rsidRPr="00166452" w:rsidRDefault="00FE6B49" w:rsidP="00FE6B49">
      <w:pPr>
        <w:tabs>
          <w:tab w:val="left" w:pos="2760"/>
        </w:tabs>
      </w:pPr>
    </w:p>
    <w:p w:rsidR="00FE6B49" w:rsidRDefault="00FE6B49" w:rsidP="00FE6B49">
      <w:pPr>
        <w:rPr>
          <w:noProof/>
        </w:rPr>
      </w:pPr>
    </w:p>
    <w:p w:rsidR="00FE6B49" w:rsidRDefault="00FE6B49" w:rsidP="00FE6B49">
      <w:pPr>
        <w:rPr>
          <w:noProof/>
        </w:rPr>
      </w:pPr>
    </w:p>
    <w:p w:rsidR="00FE6B49" w:rsidRDefault="00FE6B49" w:rsidP="00FE6B49">
      <w:pPr>
        <w:rPr>
          <w:noProof/>
        </w:rPr>
      </w:pPr>
    </w:p>
    <w:p w:rsidR="00FE6B49" w:rsidRDefault="00FE6B49" w:rsidP="00FE6B49">
      <w:pPr>
        <w:rPr>
          <w:noProof/>
        </w:rPr>
      </w:pPr>
    </w:p>
    <w:p w:rsidR="00FE6B49" w:rsidRDefault="00FE6B49" w:rsidP="00FE6B49">
      <w:pPr>
        <w:rPr>
          <w:noProof/>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8550FA" w:rsidRDefault="008550FA" w:rsidP="00FE6B49">
      <w:pPr>
        <w:rPr>
          <w:b/>
          <w:bCs/>
          <w:noProof/>
          <w:sz w:val="24"/>
          <w:szCs w:val="24"/>
        </w:rPr>
      </w:pPr>
    </w:p>
    <w:p w:rsidR="00FE6B49" w:rsidRDefault="00FE6B49" w:rsidP="00FE6B49">
      <w:pPr>
        <w:rPr>
          <w:noProof/>
        </w:rPr>
      </w:pPr>
      <w:r w:rsidRPr="00166452">
        <w:rPr>
          <w:b/>
          <w:bCs/>
          <w:noProof/>
          <w:sz w:val="24"/>
          <w:szCs w:val="24"/>
        </w:rPr>
        <w:lastRenderedPageBreak/>
        <w:t xml:space="preserve">Fig. </w:t>
      </w:r>
      <w:r w:rsidR="001A2BFC">
        <w:rPr>
          <w:b/>
          <w:bCs/>
          <w:noProof/>
          <w:sz w:val="24"/>
          <w:szCs w:val="24"/>
        </w:rPr>
        <w:t>S15</w:t>
      </w:r>
    </w:p>
    <w:p w:rsidR="00FE6B49" w:rsidRDefault="00FE6B49" w:rsidP="00FE6B49">
      <w:pPr>
        <w:rPr>
          <w:noProof/>
        </w:rPr>
      </w:pPr>
    </w:p>
    <w:p w:rsidR="00FE6B49" w:rsidRPr="00166452" w:rsidRDefault="00FE6B49" w:rsidP="00FE6B49">
      <w:pPr>
        <w:rPr>
          <w:noProof/>
        </w:rPr>
      </w:pPr>
      <w:r w:rsidRPr="00DD2CB6">
        <w:rPr>
          <w:noProof/>
        </w:rPr>
        <w:drawing>
          <wp:inline distT="0" distB="0" distL="0" distR="0" wp14:anchorId="0A57D1AA" wp14:editId="66132938">
            <wp:extent cx="5720080" cy="4284980"/>
            <wp:effectExtent l="0" t="0" r="0"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20080" cy="4284980"/>
                    </a:xfrm>
                    <a:prstGeom prst="rect">
                      <a:avLst/>
                    </a:prstGeom>
                    <a:noFill/>
                    <a:ln>
                      <a:noFill/>
                    </a:ln>
                  </pic:spPr>
                </pic:pic>
              </a:graphicData>
            </a:graphic>
          </wp:inline>
        </w:drawing>
      </w:r>
    </w:p>
    <w:p w:rsidR="00FE6B49" w:rsidRPr="00166452" w:rsidRDefault="00FE6B49" w:rsidP="00FE6B49">
      <w:pPr>
        <w:spacing w:after="0" w:line="240" w:lineRule="auto"/>
        <w:rPr>
          <w:rFonts w:ascii="Calibri" w:eastAsia="Calibri" w:hAnsi="Calibri" w:cs="Arial"/>
          <w:b/>
          <w:sz w:val="12"/>
          <w:szCs w:val="12"/>
          <w:lang w:val="en-AU"/>
        </w:rPr>
      </w:pPr>
    </w:p>
    <w:p w:rsidR="00FE6B49" w:rsidRPr="00166452" w:rsidRDefault="00FE6B49" w:rsidP="00FE6B49">
      <w:pPr>
        <w:spacing w:after="0" w:line="240" w:lineRule="auto"/>
        <w:rPr>
          <w:rFonts w:ascii="Calibri" w:eastAsia="Calibri" w:hAnsi="Calibri" w:cs="Arial"/>
          <w:b/>
          <w:sz w:val="12"/>
          <w:szCs w:val="12"/>
          <w:lang w:val="en-AU"/>
        </w:rPr>
      </w:pPr>
    </w:p>
    <w:p w:rsidR="00354B8D" w:rsidRPr="00354B8D" w:rsidRDefault="00354B8D" w:rsidP="00354B8D">
      <w:pPr>
        <w:widowControl w:val="0"/>
        <w:autoSpaceDE w:val="0"/>
        <w:autoSpaceDN w:val="0"/>
        <w:spacing w:before="1" w:after="0" w:line="240" w:lineRule="auto"/>
        <w:ind w:left="4547"/>
        <w:rPr>
          <w:rFonts w:ascii="Calibri" w:eastAsia="Calibri" w:hAnsi="Calibri" w:cs="Calibri"/>
        </w:rPr>
      </w:pPr>
      <w:r w:rsidRPr="00354B8D">
        <w:rPr>
          <w:rFonts w:ascii="Calibri" w:eastAsia="Calibri" w:hAnsi="Calibri" w:cs="Calibri"/>
        </w:rPr>
        <w:t>Forest</w:t>
      </w:r>
      <w:r w:rsidRPr="00354B8D">
        <w:rPr>
          <w:rFonts w:ascii="Calibri" w:eastAsia="Calibri" w:hAnsi="Calibri" w:cs="Calibri"/>
          <w:spacing w:val="-4"/>
        </w:rPr>
        <w:t xml:space="preserve"> </w:t>
      </w:r>
      <w:r w:rsidRPr="00354B8D">
        <w:rPr>
          <w:rFonts w:ascii="Calibri" w:eastAsia="Calibri" w:hAnsi="Calibri" w:cs="Calibri"/>
        </w:rPr>
        <w:t>plot</w:t>
      </w:r>
      <w:r w:rsidRPr="00354B8D">
        <w:rPr>
          <w:rFonts w:ascii="Calibri" w:eastAsia="Calibri" w:hAnsi="Calibri" w:cs="Calibri"/>
          <w:spacing w:val="5"/>
        </w:rPr>
        <w:t xml:space="preserve"> </w:t>
      </w:r>
      <w:r w:rsidRPr="00354B8D">
        <w:rPr>
          <w:rFonts w:ascii="Calibri" w:eastAsia="Calibri" w:hAnsi="Calibri" w:cs="Calibri"/>
        </w:rPr>
        <w:t>of</w:t>
      </w:r>
      <w:r w:rsidRPr="00354B8D">
        <w:rPr>
          <w:rFonts w:ascii="Calibri" w:eastAsia="Calibri" w:hAnsi="Calibri" w:cs="Calibri"/>
          <w:spacing w:val="-1"/>
        </w:rPr>
        <w:t xml:space="preserve"> </w:t>
      </w:r>
      <w:r w:rsidRPr="00354B8D">
        <w:rPr>
          <w:rFonts w:ascii="Calibri" w:eastAsia="Calibri" w:hAnsi="Calibri" w:cs="Calibri"/>
        </w:rPr>
        <w:t>VRE</w:t>
      </w:r>
      <w:r w:rsidRPr="00354B8D">
        <w:rPr>
          <w:rFonts w:ascii="Calibri" w:eastAsia="Calibri" w:hAnsi="Calibri" w:cs="Calibri"/>
          <w:spacing w:val="-3"/>
        </w:rPr>
        <w:t xml:space="preserve"> </w:t>
      </w:r>
      <w:r w:rsidRPr="00354B8D">
        <w:rPr>
          <w:rFonts w:ascii="Calibri" w:eastAsia="Calibri" w:hAnsi="Calibri" w:cs="Calibri"/>
        </w:rPr>
        <w:t>in</w:t>
      </w:r>
      <w:r w:rsidRPr="00354B8D">
        <w:rPr>
          <w:rFonts w:ascii="Calibri" w:eastAsia="Calibri" w:hAnsi="Calibri" w:cs="Calibri"/>
          <w:spacing w:val="-3"/>
        </w:rPr>
        <w:t xml:space="preserve"> </w:t>
      </w:r>
      <w:r w:rsidRPr="00354B8D">
        <w:rPr>
          <w:rFonts w:ascii="Calibri" w:eastAsia="Calibri" w:hAnsi="Calibri" w:cs="Calibri"/>
        </w:rPr>
        <w:t>Zagazig</w:t>
      </w:r>
    </w:p>
    <w:p w:rsidR="00FE6B49" w:rsidRPr="00166452" w:rsidRDefault="00FE6B49" w:rsidP="00FE6B49">
      <w:pPr>
        <w:tabs>
          <w:tab w:val="left" w:pos="2760"/>
        </w:tabs>
        <w:jc w:val="center"/>
        <w:rPr>
          <w:noProof/>
        </w:rPr>
      </w:pPr>
    </w:p>
    <w:p w:rsidR="00FE6B49" w:rsidRPr="00166452" w:rsidRDefault="00FE6B49" w:rsidP="00FE6B49">
      <w:pPr>
        <w:tabs>
          <w:tab w:val="left" w:pos="2760"/>
        </w:tabs>
        <w:jc w:val="center"/>
        <w:rPr>
          <w:noProof/>
        </w:rPr>
      </w:pPr>
    </w:p>
    <w:p w:rsidR="00FE6B49" w:rsidRPr="00166452" w:rsidRDefault="00FE6B49" w:rsidP="00FE6B49">
      <w:pPr>
        <w:tabs>
          <w:tab w:val="left" w:pos="2760"/>
        </w:tabs>
        <w:jc w:val="center"/>
        <w:rPr>
          <w:noProof/>
        </w:rPr>
      </w:pPr>
    </w:p>
    <w:p w:rsidR="00FE6B49" w:rsidRPr="00166452" w:rsidRDefault="00FE6B49" w:rsidP="00FE6B49">
      <w:pPr>
        <w:tabs>
          <w:tab w:val="left" w:pos="2760"/>
        </w:tabs>
        <w:jc w:val="center"/>
        <w:rPr>
          <w:noProof/>
        </w:rPr>
      </w:pPr>
    </w:p>
    <w:p w:rsidR="008550FA" w:rsidRDefault="008550FA" w:rsidP="00FE6B49">
      <w:pPr>
        <w:tabs>
          <w:tab w:val="left" w:pos="2760"/>
        </w:tabs>
        <w:rPr>
          <w:b/>
          <w:bCs/>
          <w:noProof/>
        </w:rPr>
      </w:pPr>
    </w:p>
    <w:p w:rsidR="008550FA" w:rsidRDefault="008550FA" w:rsidP="00FE6B49">
      <w:pPr>
        <w:tabs>
          <w:tab w:val="left" w:pos="2760"/>
        </w:tabs>
        <w:rPr>
          <w:b/>
          <w:bCs/>
          <w:noProof/>
        </w:rPr>
      </w:pPr>
    </w:p>
    <w:p w:rsidR="008550FA" w:rsidRDefault="008550FA" w:rsidP="00FE6B49">
      <w:pPr>
        <w:tabs>
          <w:tab w:val="left" w:pos="2760"/>
        </w:tabs>
        <w:rPr>
          <w:b/>
          <w:bCs/>
          <w:noProof/>
        </w:rPr>
      </w:pPr>
    </w:p>
    <w:p w:rsidR="008550FA" w:rsidRDefault="008550FA" w:rsidP="00FE6B49">
      <w:pPr>
        <w:tabs>
          <w:tab w:val="left" w:pos="2760"/>
        </w:tabs>
        <w:rPr>
          <w:b/>
          <w:bCs/>
          <w:noProof/>
        </w:rPr>
      </w:pPr>
    </w:p>
    <w:p w:rsidR="008550FA" w:rsidRDefault="008550FA" w:rsidP="00FE6B49">
      <w:pPr>
        <w:tabs>
          <w:tab w:val="left" w:pos="2760"/>
        </w:tabs>
        <w:rPr>
          <w:b/>
          <w:bCs/>
          <w:noProof/>
        </w:rPr>
      </w:pPr>
    </w:p>
    <w:p w:rsidR="008550FA" w:rsidRDefault="008550FA" w:rsidP="00FE6B49">
      <w:pPr>
        <w:tabs>
          <w:tab w:val="left" w:pos="2760"/>
        </w:tabs>
        <w:rPr>
          <w:b/>
          <w:bCs/>
          <w:noProof/>
        </w:rPr>
      </w:pPr>
    </w:p>
    <w:p w:rsidR="008550FA" w:rsidRDefault="008550FA" w:rsidP="00FE6B49">
      <w:pPr>
        <w:tabs>
          <w:tab w:val="left" w:pos="2760"/>
        </w:tabs>
        <w:rPr>
          <w:b/>
          <w:bCs/>
          <w:noProof/>
        </w:rPr>
      </w:pPr>
    </w:p>
    <w:p w:rsidR="008550FA" w:rsidRDefault="008550FA" w:rsidP="00FE6B49">
      <w:pPr>
        <w:tabs>
          <w:tab w:val="left" w:pos="2760"/>
        </w:tabs>
        <w:rPr>
          <w:b/>
          <w:bCs/>
          <w:noProof/>
        </w:rPr>
      </w:pPr>
    </w:p>
    <w:p w:rsidR="008550FA" w:rsidRDefault="008550FA" w:rsidP="00FE6B49">
      <w:pPr>
        <w:tabs>
          <w:tab w:val="left" w:pos="2760"/>
        </w:tabs>
        <w:rPr>
          <w:b/>
          <w:bCs/>
          <w:noProof/>
        </w:rPr>
      </w:pPr>
    </w:p>
    <w:p w:rsidR="00FE6B49" w:rsidRPr="00166452" w:rsidRDefault="001A2BFC" w:rsidP="00FE6B49">
      <w:pPr>
        <w:tabs>
          <w:tab w:val="left" w:pos="2760"/>
        </w:tabs>
        <w:rPr>
          <w:b/>
          <w:bCs/>
          <w:noProof/>
        </w:rPr>
      </w:pPr>
      <w:r>
        <w:rPr>
          <w:b/>
          <w:bCs/>
          <w:noProof/>
        </w:rPr>
        <w:lastRenderedPageBreak/>
        <w:t>Fig. S16</w:t>
      </w:r>
    </w:p>
    <w:p w:rsidR="00FE6B49" w:rsidRPr="008550FA" w:rsidRDefault="00FE6B49" w:rsidP="008550FA">
      <w:pPr>
        <w:tabs>
          <w:tab w:val="left" w:pos="2760"/>
        </w:tabs>
        <w:jc w:val="center"/>
      </w:pPr>
      <w:r w:rsidRPr="00166452">
        <w:rPr>
          <w:noProof/>
        </w:rPr>
        <w:drawing>
          <wp:inline distT="0" distB="0" distL="0" distR="0" wp14:anchorId="0821279B" wp14:editId="7AF92C1D">
            <wp:extent cx="5715000" cy="428625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r>
        <w:br/>
      </w:r>
      <w:r w:rsidRPr="00166452">
        <w:t>Forest plot of</w:t>
      </w:r>
      <w:r w:rsidR="008550FA">
        <w:t xml:space="preserve"> linezolid resistance among VRE</w:t>
      </w:r>
      <w:r w:rsidR="008550FA">
        <w:br/>
      </w:r>
    </w:p>
    <w:p w:rsidR="00FE6B49" w:rsidRPr="00166452" w:rsidRDefault="00FE6B49" w:rsidP="00FE6B49">
      <w:pPr>
        <w:tabs>
          <w:tab w:val="left" w:pos="2760"/>
        </w:tabs>
        <w:jc w:val="center"/>
      </w:pPr>
    </w:p>
    <w:p w:rsidR="00FE6B49" w:rsidRDefault="00FE6B49" w:rsidP="00FE6B49">
      <w:pPr>
        <w:tabs>
          <w:tab w:val="left" w:pos="2760"/>
        </w:tabs>
        <w:jc w:val="center"/>
      </w:pPr>
    </w:p>
    <w:p w:rsidR="008550FA" w:rsidRDefault="008550FA" w:rsidP="00FE6B49">
      <w:pPr>
        <w:tabs>
          <w:tab w:val="left" w:pos="2760"/>
        </w:tabs>
        <w:jc w:val="center"/>
      </w:pPr>
    </w:p>
    <w:p w:rsidR="008550FA" w:rsidRDefault="008550FA" w:rsidP="00FE6B49">
      <w:pPr>
        <w:tabs>
          <w:tab w:val="left" w:pos="2760"/>
        </w:tabs>
        <w:jc w:val="center"/>
      </w:pPr>
    </w:p>
    <w:p w:rsidR="008550FA" w:rsidRDefault="008550FA" w:rsidP="00FE6B49">
      <w:pPr>
        <w:tabs>
          <w:tab w:val="left" w:pos="2760"/>
        </w:tabs>
        <w:jc w:val="center"/>
      </w:pPr>
    </w:p>
    <w:p w:rsidR="008550FA" w:rsidRDefault="008550FA" w:rsidP="00FE6B49">
      <w:pPr>
        <w:tabs>
          <w:tab w:val="left" w:pos="2760"/>
        </w:tabs>
        <w:jc w:val="center"/>
      </w:pPr>
    </w:p>
    <w:p w:rsidR="008550FA" w:rsidRDefault="008550FA" w:rsidP="00FE6B49">
      <w:pPr>
        <w:tabs>
          <w:tab w:val="left" w:pos="2760"/>
        </w:tabs>
        <w:jc w:val="center"/>
      </w:pPr>
    </w:p>
    <w:p w:rsidR="008550FA" w:rsidRDefault="008550FA" w:rsidP="00FE6B49">
      <w:pPr>
        <w:tabs>
          <w:tab w:val="left" w:pos="2760"/>
        </w:tabs>
        <w:jc w:val="center"/>
      </w:pPr>
    </w:p>
    <w:p w:rsidR="008550FA" w:rsidRDefault="008550FA" w:rsidP="00FE6B49">
      <w:pPr>
        <w:tabs>
          <w:tab w:val="left" w:pos="2760"/>
        </w:tabs>
        <w:jc w:val="center"/>
      </w:pPr>
    </w:p>
    <w:p w:rsidR="008550FA" w:rsidRDefault="008550FA" w:rsidP="00FE6B49">
      <w:pPr>
        <w:tabs>
          <w:tab w:val="left" w:pos="2760"/>
        </w:tabs>
        <w:jc w:val="center"/>
      </w:pPr>
    </w:p>
    <w:p w:rsidR="008550FA" w:rsidRDefault="008550FA" w:rsidP="00FE6B49">
      <w:pPr>
        <w:tabs>
          <w:tab w:val="left" w:pos="2760"/>
        </w:tabs>
        <w:jc w:val="center"/>
      </w:pPr>
    </w:p>
    <w:p w:rsidR="008550FA" w:rsidRDefault="008550FA" w:rsidP="00FE6B49">
      <w:pPr>
        <w:tabs>
          <w:tab w:val="left" w:pos="2760"/>
        </w:tabs>
        <w:jc w:val="center"/>
      </w:pPr>
    </w:p>
    <w:p w:rsidR="008550FA" w:rsidRDefault="008550FA" w:rsidP="00FE6B49">
      <w:pPr>
        <w:tabs>
          <w:tab w:val="left" w:pos="2760"/>
        </w:tabs>
        <w:jc w:val="center"/>
      </w:pPr>
    </w:p>
    <w:p w:rsidR="008550FA" w:rsidRDefault="008550FA" w:rsidP="00FE6B49">
      <w:pPr>
        <w:tabs>
          <w:tab w:val="left" w:pos="2760"/>
        </w:tabs>
        <w:jc w:val="center"/>
      </w:pPr>
    </w:p>
    <w:p w:rsidR="008550FA" w:rsidRPr="00166452" w:rsidRDefault="001A2BFC" w:rsidP="008550FA">
      <w:pPr>
        <w:tabs>
          <w:tab w:val="left" w:pos="2760"/>
        </w:tabs>
      </w:pPr>
      <w:r>
        <w:lastRenderedPageBreak/>
        <w:t>Fig. S17</w:t>
      </w:r>
    </w:p>
    <w:p w:rsidR="00FE6B49" w:rsidRPr="00166452" w:rsidRDefault="00FE6B49" w:rsidP="00FE6B49">
      <w:pPr>
        <w:tabs>
          <w:tab w:val="left" w:pos="2760"/>
        </w:tabs>
        <w:jc w:val="center"/>
      </w:pPr>
      <w:r w:rsidRPr="00166452">
        <w:rPr>
          <w:noProof/>
        </w:rPr>
        <w:drawing>
          <wp:inline distT="0" distB="0" distL="0" distR="0" wp14:anchorId="441E4753" wp14:editId="58A31F7B">
            <wp:extent cx="5715000" cy="428625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15000" cy="4286250"/>
                    </a:xfrm>
                    <a:prstGeom prst="rect">
                      <a:avLst/>
                    </a:prstGeom>
                    <a:noFill/>
                    <a:ln>
                      <a:noFill/>
                    </a:ln>
                  </pic:spPr>
                </pic:pic>
              </a:graphicData>
            </a:graphic>
          </wp:inline>
        </w:drawing>
      </w:r>
    </w:p>
    <w:p w:rsidR="00FE6B49" w:rsidRPr="00166452" w:rsidRDefault="00FE6B49" w:rsidP="00FE6B49">
      <w:pPr>
        <w:tabs>
          <w:tab w:val="left" w:pos="2760"/>
        </w:tabs>
        <w:jc w:val="center"/>
      </w:pPr>
    </w:p>
    <w:p w:rsidR="00FE6B49" w:rsidRPr="00166452" w:rsidRDefault="00FE6B49" w:rsidP="0048572B">
      <w:pPr>
        <w:tabs>
          <w:tab w:val="left" w:pos="2760"/>
        </w:tabs>
      </w:pPr>
      <w:r w:rsidRPr="00166452">
        <w:t xml:space="preserve">                                                </w:t>
      </w:r>
      <w:r>
        <w:t xml:space="preserve">                           </w:t>
      </w:r>
      <w:r w:rsidRPr="00166452">
        <w:t>Forest plot ampicillin resistance among VRE</w:t>
      </w:r>
    </w:p>
    <w:p w:rsidR="00FE6B49" w:rsidRDefault="00FE6B49" w:rsidP="00FE6B49"/>
    <w:p w:rsidR="00FE6B49" w:rsidRDefault="00FE6B49" w:rsidP="00FE6B49"/>
    <w:p w:rsidR="00FE6B49" w:rsidRDefault="00FE6B49" w:rsidP="00FE6B49"/>
    <w:p w:rsidR="0048572B" w:rsidRDefault="0048572B" w:rsidP="00FE6B49"/>
    <w:p w:rsidR="0048572B" w:rsidRDefault="0048572B" w:rsidP="00FE6B49"/>
    <w:p w:rsidR="0048572B" w:rsidRDefault="0048572B" w:rsidP="00FE6B49"/>
    <w:p w:rsidR="0048572B" w:rsidRDefault="0048572B" w:rsidP="00FE6B49"/>
    <w:p w:rsidR="0048572B" w:rsidRDefault="0048572B" w:rsidP="00FE6B49"/>
    <w:p w:rsidR="0048572B" w:rsidRDefault="0048572B" w:rsidP="00FE6B49"/>
    <w:p w:rsidR="0048572B" w:rsidRDefault="0048572B" w:rsidP="00FE6B49"/>
    <w:p w:rsidR="0048572B" w:rsidRDefault="0048572B" w:rsidP="00FE6B49"/>
    <w:p w:rsidR="0048572B" w:rsidRDefault="0048572B" w:rsidP="00FE6B49"/>
    <w:p w:rsidR="0048572B" w:rsidRDefault="0048572B" w:rsidP="00FE6B49"/>
    <w:p w:rsidR="0048572B" w:rsidRDefault="0048572B" w:rsidP="00FE6B49"/>
    <w:p w:rsidR="0048572B" w:rsidRDefault="0048572B" w:rsidP="00FE6B49">
      <w:r w:rsidRPr="0048572B">
        <w:rPr>
          <w:b/>
          <w:bCs/>
        </w:rPr>
        <w:lastRenderedPageBreak/>
        <w:t>Fig</w:t>
      </w:r>
      <w:r w:rsidR="00CD1B56">
        <w:rPr>
          <w:b/>
          <w:bCs/>
        </w:rPr>
        <w:t>.S</w:t>
      </w:r>
      <w:r w:rsidR="001A2BFC">
        <w:rPr>
          <w:b/>
          <w:bCs/>
        </w:rPr>
        <w:t>18</w:t>
      </w:r>
      <w:r>
        <w:br/>
      </w:r>
      <w:r>
        <w:rPr>
          <w:noProof/>
        </w:rPr>
        <w:drawing>
          <wp:inline distT="0" distB="0" distL="0" distR="0">
            <wp:extent cx="6858000" cy="627189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Leave-one-out_Forest_Plot.png"/>
                    <pic:cNvPicPr/>
                  </pic:nvPicPr>
                  <pic:blipFill>
                    <a:blip r:embed="rId23">
                      <a:extLst>
                        <a:ext uri="{28A0092B-C50C-407E-A947-70E740481C1C}">
                          <a14:useLocalDpi xmlns:a14="http://schemas.microsoft.com/office/drawing/2010/main" val="0"/>
                        </a:ext>
                      </a:extLst>
                    </a:blip>
                    <a:stretch>
                      <a:fillRect/>
                    </a:stretch>
                  </pic:blipFill>
                  <pic:spPr>
                    <a:xfrm>
                      <a:off x="0" y="0"/>
                      <a:ext cx="6858000" cy="6271895"/>
                    </a:xfrm>
                    <a:prstGeom prst="rect">
                      <a:avLst/>
                    </a:prstGeom>
                  </pic:spPr>
                </pic:pic>
              </a:graphicData>
            </a:graphic>
          </wp:inline>
        </w:drawing>
      </w:r>
    </w:p>
    <w:p w:rsidR="0048572B" w:rsidRDefault="0048572B" w:rsidP="0048572B">
      <w:r w:rsidRPr="0048572B">
        <w:t xml:space="preserve">Forest plot of leave-one-out meta-analysis with random effect for </w:t>
      </w:r>
      <w:r w:rsidR="008A0197" w:rsidRPr="00602B2D">
        <w:t>the</w:t>
      </w:r>
      <w:r w:rsidR="00602B2D" w:rsidRPr="00602B2D">
        <w:t xml:space="preserve"> prevalence of VRE among clinical isolates in Egypt</w:t>
      </w:r>
    </w:p>
    <w:p w:rsidR="0048572B" w:rsidRDefault="0048572B" w:rsidP="00FE6B49"/>
    <w:p w:rsidR="0048572B" w:rsidRDefault="0048572B" w:rsidP="00FE6B49"/>
    <w:p w:rsidR="0048572B" w:rsidRDefault="0048572B" w:rsidP="00FE6B49"/>
    <w:p w:rsidR="0048572B" w:rsidRDefault="0048572B" w:rsidP="00FE6B49"/>
    <w:p w:rsidR="0048572B" w:rsidRDefault="0048572B" w:rsidP="00FE6B49"/>
    <w:p w:rsidR="0048572B" w:rsidRDefault="0048572B" w:rsidP="00FE6B49"/>
    <w:p w:rsidR="00FE6B49" w:rsidRPr="00DA6B04" w:rsidRDefault="00DA6B04" w:rsidP="00FE6B49">
      <w:pPr>
        <w:rPr>
          <w:b/>
          <w:bCs/>
        </w:rPr>
      </w:pPr>
      <w:r>
        <w:br/>
      </w:r>
      <w:r>
        <w:br/>
      </w:r>
      <w:r w:rsidR="00FE6B49" w:rsidRPr="00DA6B04">
        <w:rPr>
          <w:b/>
          <w:bCs/>
        </w:rPr>
        <w:lastRenderedPageBreak/>
        <w:t xml:space="preserve">References </w:t>
      </w:r>
      <w:r w:rsidR="00FE6B49" w:rsidRPr="00DA6B04">
        <w:rPr>
          <w:b/>
          <w:bCs/>
        </w:rPr>
        <w:br/>
      </w:r>
    </w:p>
    <w:p w:rsidR="00A453E9" w:rsidRPr="00A453E9" w:rsidRDefault="00FE6B49" w:rsidP="00A453E9">
      <w:pPr>
        <w:widowControl w:val="0"/>
        <w:autoSpaceDE w:val="0"/>
        <w:autoSpaceDN w:val="0"/>
        <w:adjustRightInd w:val="0"/>
        <w:spacing w:line="240" w:lineRule="auto"/>
        <w:ind w:left="640" w:hanging="640"/>
        <w:rPr>
          <w:rFonts w:ascii="Calibri" w:hAnsi="Calibri" w:cs="Calibri"/>
          <w:noProof/>
          <w:szCs w:val="24"/>
        </w:rPr>
      </w:pPr>
      <w:r>
        <w:fldChar w:fldCharType="begin" w:fldLock="1"/>
      </w:r>
      <w:r>
        <w:instrText xml:space="preserve">ADDIN Mendeley Bibliography CSL_BIBLIOGRAPHY </w:instrText>
      </w:r>
      <w:r>
        <w:fldChar w:fldCharType="separate"/>
      </w:r>
      <w:r w:rsidR="00A453E9" w:rsidRPr="00A453E9">
        <w:rPr>
          <w:rFonts w:ascii="Calibri" w:hAnsi="Calibri" w:cs="Calibri"/>
          <w:noProof/>
          <w:szCs w:val="24"/>
        </w:rPr>
        <w:t xml:space="preserve">1. </w:t>
      </w:r>
      <w:r w:rsidR="00A453E9" w:rsidRPr="00A453E9">
        <w:rPr>
          <w:rFonts w:ascii="Calibri" w:hAnsi="Calibri" w:cs="Calibri"/>
          <w:noProof/>
          <w:szCs w:val="24"/>
        </w:rPr>
        <w:tab/>
        <w:t xml:space="preserve">El-Kazzaz SS, Abou El-Khier NT. Effect of the lantibiotic nisin on inhibitory and bactericidal activities of antibiotics used against vancomycin-resistant enterococci. </w:t>
      </w:r>
      <w:r w:rsidR="00A453E9" w:rsidRPr="00A453E9">
        <w:rPr>
          <w:rFonts w:ascii="Calibri" w:hAnsi="Calibri" w:cs="Calibri"/>
          <w:i/>
          <w:iCs/>
          <w:noProof/>
          <w:szCs w:val="24"/>
        </w:rPr>
        <w:t>J Glob Antimicrob Resist</w:t>
      </w:r>
      <w:r w:rsidR="00B0269D">
        <w:rPr>
          <w:rFonts w:ascii="Calibri" w:hAnsi="Calibri" w:cs="Calibri"/>
          <w:noProof/>
          <w:szCs w:val="24"/>
        </w:rPr>
        <w:t>. 2020;22:263-</w:t>
      </w:r>
      <w:r w:rsidR="00A453E9" w:rsidRPr="00A453E9">
        <w:rPr>
          <w:rFonts w:ascii="Calibri" w:hAnsi="Calibri" w:cs="Calibri"/>
          <w:noProof/>
          <w:szCs w:val="24"/>
        </w:rPr>
        <w:t>69. doi:10.1016/j.jgar.2020.02.031</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2. </w:t>
      </w:r>
      <w:r w:rsidRPr="00A453E9">
        <w:rPr>
          <w:rFonts w:ascii="Calibri" w:hAnsi="Calibri" w:cs="Calibri"/>
          <w:noProof/>
          <w:szCs w:val="24"/>
        </w:rPr>
        <w:tab/>
        <w:t xml:space="preserve">Khairy RM, Mahmoud MS, Esmail MAM, Gamil AN. First detection of vanB phenotype-vanA genotype vancomycin-resistant enterococci in Egypt. </w:t>
      </w:r>
      <w:r w:rsidRPr="00A453E9">
        <w:rPr>
          <w:rFonts w:ascii="Calibri" w:hAnsi="Calibri" w:cs="Calibri"/>
          <w:i/>
          <w:iCs/>
          <w:noProof/>
          <w:szCs w:val="24"/>
        </w:rPr>
        <w:t>J Infect Dev Ctries</w:t>
      </w:r>
      <w:r w:rsidR="00B0269D">
        <w:rPr>
          <w:rFonts w:ascii="Calibri" w:hAnsi="Calibri" w:cs="Calibri"/>
          <w:noProof/>
          <w:szCs w:val="24"/>
        </w:rPr>
        <w:t>. 2019;13(9):837-</w:t>
      </w:r>
      <w:r w:rsidRPr="00A453E9">
        <w:rPr>
          <w:rFonts w:ascii="Calibri" w:hAnsi="Calibri" w:cs="Calibri"/>
          <w:noProof/>
          <w:szCs w:val="24"/>
        </w:rPr>
        <w:t>42. doi:10.3855/jidc.10472</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3. </w:t>
      </w:r>
      <w:r w:rsidRPr="00A453E9">
        <w:rPr>
          <w:rFonts w:ascii="Calibri" w:hAnsi="Calibri" w:cs="Calibri"/>
          <w:noProof/>
          <w:szCs w:val="24"/>
        </w:rPr>
        <w:tab/>
        <w:t xml:space="preserve">Said HS, Abdelmegeed ES. Emergence of multidrug resistance and extensive drug resistance among enterococcal clinical isolates in Egypt. </w:t>
      </w:r>
      <w:r w:rsidRPr="00A453E9">
        <w:rPr>
          <w:rFonts w:ascii="Calibri" w:hAnsi="Calibri" w:cs="Calibri"/>
          <w:i/>
          <w:iCs/>
          <w:noProof/>
          <w:szCs w:val="24"/>
        </w:rPr>
        <w:t>Infect Drug Resist</w:t>
      </w:r>
      <w:r w:rsidR="00B0269D">
        <w:rPr>
          <w:rFonts w:ascii="Calibri" w:hAnsi="Calibri" w:cs="Calibri"/>
          <w:noProof/>
          <w:szCs w:val="24"/>
        </w:rPr>
        <w:t>. 2019;12:1113-</w:t>
      </w:r>
      <w:r w:rsidRPr="00A453E9">
        <w:rPr>
          <w:rFonts w:ascii="Calibri" w:hAnsi="Calibri" w:cs="Calibri"/>
          <w:noProof/>
          <w:szCs w:val="24"/>
        </w:rPr>
        <w:t>25. doi:10.2147/IDR.S189341</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4. </w:t>
      </w:r>
      <w:r w:rsidRPr="00A453E9">
        <w:rPr>
          <w:rFonts w:ascii="Calibri" w:hAnsi="Calibri" w:cs="Calibri"/>
          <w:noProof/>
          <w:szCs w:val="24"/>
        </w:rPr>
        <w:tab/>
        <w:t xml:space="preserve">El-Mahdy R, Mostafa A, El-Kannishy G. High level aminoglycoside resistant enterococci in hospital-acquired urinary tract infections in Mansoura, Egypt. </w:t>
      </w:r>
      <w:r w:rsidRPr="00A453E9">
        <w:rPr>
          <w:rFonts w:ascii="Calibri" w:hAnsi="Calibri" w:cs="Calibri"/>
          <w:i/>
          <w:iCs/>
          <w:noProof/>
          <w:szCs w:val="24"/>
        </w:rPr>
        <w:t>Germs</w:t>
      </w:r>
      <w:r w:rsidR="00B0269D">
        <w:rPr>
          <w:rFonts w:ascii="Calibri" w:hAnsi="Calibri" w:cs="Calibri"/>
          <w:noProof/>
          <w:szCs w:val="24"/>
        </w:rPr>
        <w:t>. 2018;8(4):186-</w:t>
      </w:r>
      <w:r w:rsidRPr="00A453E9">
        <w:rPr>
          <w:rFonts w:ascii="Calibri" w:hAnsi="Calibri" w:cs="Calibri"/>
          <w:noProof/>
          <w:szCs w:val="24"/>
        </w:rPr>
        <w:t>90. doi:10.18683/germs.2018.1145</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5. </w:t>
      </w:r>
      <w:r w:rsidRPr="00A453E9">
        <w:rPr>
          <w:rFonts w:ascii="Calibri" w:hAnsi="Calibri" w:cs="Calibri"/>
          <w:noProof/>
          <w:szCs w:val="24"/>
        </w:rPr>
        <w:tab/>
        <w:t xml:space="preserve">Sallam MM, Abou-Aisha K, El-Azizi M. A novel combination approach of human polyclonal IVIG and antibiotics against multidrug-resistant gram-positive bacteria. </w:t>
      </w:r>
      <w:r w:rsidRPr="00A453E9">
        <w:rPr>
          <w:rFonts w:ascii="Calibri" w:hAnsi="Calibri" w:cs="Calibri"/>
          <w:i/>
          <w:iCs/>
          <w:noProof/>
          <w:szCs w:val="24"/>
        </w:rPr>
        <w:t>Infect Drug Resist</w:t>
      </w:r>
      <w:r w:rsidR="00B0269D">
        <w:rPr>
          <w:rFonts w:ascii="Calibri" w:hAnsi="Calibri" w:cs="Calibri"/>
          <w:noProof/>
          <w:szCs w:val="24"/>
        </w:rPr>
        <w:t>. 2016;9:301-</w:t>
      </w:r>
      <w:r w:rsidRPr="00A453E9">
        <w:rPr>
          <w:rFonts w:ascii="Calibri" w:hAnsi="Calibri" w:cs="Calibri"/>
          <w:noProof/>
          <w:szCs w:val="24"/>
        </w:rPr>
        <w:t>11. doi:10.2147/IDR.S120227</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6. </w:t>
      </w:r>
      <w:r w:rsidRPr="00A453E9">
        <w:rPr>
          <w:rFonts w:ascii="Calibri" w:hAnsi="Calibri" w:cs="Calibri"/>
          <w:noProof/>
          <w:szCs w:val="24"/>
        </w:rPr>
        <w:tab/>
        <w:t xml:space="preserve">Moemen D, Tawfeek D, Badawy W. Healthcare-associated vancomycin resistant enterococcus faecium infections in the Mansoura university hospitals intensive care units, Egypt. </w:t>
      </w:r>
      <w:r w:rsidRPr="00A453E9">
        <w:rPr>
          <w:rFonts w:ascii="Calibri" w:hAnsi="Calibri" w:cs="Calibri"/>
          <w:i/>
          <w:iCs/>
          <w:noProof/>
          <w:szCs w:val="24"/>
        </w:rPr>
        <w:t>Brazilian J Microbiol</w:t>
      </w:r>
      <w:r w:rsidR="00B0269D">
        <w:rPr>
          <w:rFonts w:ascii="Calibri" w:hAnsi="Calibri" w:cs="Calibri"/>
          <w:noProof/>
          <w:szCs w:val="24"/>
        </w:rPr>
        <w:t>. 2015;46(3):777-</w:t>
      </w:r>
      <w:r w:rsidRPr="00A453E9">
        <w:rPr>
          <w:rFonts w:ascii="Calibri" w:hAnsi="Calibri" w:cs="Calibri"/>
          <w:noProof/>
          <w:szCs w:val="24"/>
        </w:rPr>
        <w:t>83. doi:10.1590/S1517-838246320140403</w:t>
      </w:r>
    </w:p>
    <w:p w:rsidR="00A453E9" w:rsidRPr="00A453E9" w:rsidRDefault="00A453E9" w:rsidP="00A958BA">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7. </w:t>
      </w:r>
      <w:r w:rsidRPr="00A453E9">
        <w:rPr>
          <w:rFonts w:ascii="Calibri" w:hAnsi="Calibri" w:cs="Calibri"/>
          <w:noProof/>
          <w:szCs w:val="24"/>
        </w:rPr>
        <w:tab/>
      </w:r>
      <w:r w:rsidR="00A958BA" w:rsidRPr="00A958BA">
        <w:rPr>
          <w:rFonts w:ascii="Calibri" w:hAnsi="Calibri" w:cs="Calibri"/>
          <w:noProof/>
          <w:szCs w:val="24"/>
        </w:rPr>
        <w:t>Shalaby MM, Kareman AE, Wageih SEN, El-Sharaby RM. Comparative study between molecular and non-molecular methods used for detection of Vancomycin Resistant Enterococci in Tanta University Hospitals, Egypt. Life Sci J 2016;13(1s):71-78. doi:10.7537/marslsj1301s1608</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8. </w:t>
      </w:r>
      <w:r w:rsidRPr="00A453E9">
        <w:rPr>
          <w:rFonts w:ascii="Calibri" w:hAnsi="Calibri" w:cs="Calibri"/>
          <w:noProof/>
          <w:szCs w:val="24"/>
        </w:rPr>
        <w:tab/>
        <w:t xml:space="preserve">Hashem YA, Yassin AS, Amin MA. Molecular characterization of Enterococcus spp. clinical isolates from Cairo, Egypt. </w:t>
      </w:r>
      <w:r w:rsidRPr="00A453E9">
        <w:rPr>
          <w:rFonts w:ascii="Calibri" w:hAnsi="Calibri" w:cs="Calibri"/>
          <w:i/>
          <w:iCs/>
          <w:noProof/>
          <w:szCs w:val="24"/>
        </w:rPr>
        <w:t>Indian J Med Microbiol</w:t>
      </w:r>
      <w:r w:rsidR="00B0269D">
        <w:rPr>
          <w:rFonts w:ascii="Calibri" w:hAnsi="Calibri" w:cs="Calibri"/>
          <w:noProof/>
          <w:szCs w:val="24"/>
        </w:rPr>
        <w:t>. 2015;33:S80-</w:t>
      </w:r>
      <w:r w:rsidRPr="00A453E9">
        <w:rPr>
          <w:rFonts w:ascii="Calibri" w:hAnsi="Calibri" w:cs="Calibri"/>
          <w:noProof/>
          <w:szCs w:val="24"/>
        </w:rPr>
        <w:t>86. doi:10.4103/0255-0857.148836</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9. </w:t>
      </w:r>
      <w:r w:rsidRPr="00A453E9">
        <w:rPr>
          <w:rFonts w:ascii="Calibri" w:hAnsi="Calibri" w:cs="Calibri"/>
          <w:noProof/>
          <w:szCs w:val="24"/>
        </w:rPr>
        <w:tab/>
        <w:t xml:space="preserve">Kishk R, Nemr N, Soliman N, Riad E, Ahmed M, Soliman N. High-Level Aminoglycoside and Vancomycin Resistance in Enterococcus spp. Isolated from Hospital Acquired Infections, Ismailia, Egypt. </w:t>
      </w:r>
      <w:r w:rsidRPr="00A453E9">
        <w:rPr>
          <w:rFonts w:ascii="Calibri" w:hAnsi="Calibri" w:cs="Calibri"/>
          <w:i/>
          <w:iCs/>
          <w:noProof/>
          <w:szCs w:val="24"/>
        </w:rPr>
        <w:t>Egypt J Med Microbiol</w:t>
      </w:r>
      <w:r w:rsidRPr="00A453E9">
        <w:rPr>
          <w:rFonts w:ascii="Calibri" w:hAnsi="Calibri" w:cs="Calibri"/>
          <w:noProof/>
          <w:szCs w:val="24"/>
        </w:rPr>
        <w:t>. 2021;0(0):0-0. doi:10.21608/ejmm.2021.94566.1006</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10. </w:t>
      </w:r>
      <w:r w:rsidRPr="00A453E9">
        <w:rPr>
          <w:rFonts w:ascii="Calibri" w:hAnsi="Calibri" w:cs="Calibri"/>
          <w:noProof/>
          <w:szCs w:val="24"/>
        </w:rPr>
        <w:tab/>
        <w:t xml:space="preserve">El Shenawy GA, Abdel-Latif RS, Shedeed DS. Detection of VanA, VanB and VanC Genes in Vancomycin Resistant Enterococci in Zagazig University Hospitals. </w:t>
      </w:r>
      <w:r w:rsidRPr="00A453E9">
        <w:rPr>
          <w:rFonts w:ascii="Calibri" w:hAnsi="Calibri" w:cs="Calibri"/>
          <w:i/>
          <w:iCs/>
          <w:noProof/>
          <w:szCs w:val="24"/>
        </w:rPr>
        <w:t>Egypt J Med Microbiol</w:t>
      </w:r>
      <w:r w:rsidR="00B0269D">
        <w:rPr>
          <w:rFonts w:ascii="Calibri" w:hAnsi="Calibri" w:cs="Calibri"/>
          <w:noProof/>
          <w:szCs w:val="24"/>
        </w:rPr>
        <w:t>. 2016;25(1):141-</w:t>
      </w:r>
      <w:r w:rsidRPr="00A453E9">
        <w:rPr>
          <w:rFonts w:ascii="Calibri" w:hAnsi="Calibri" w:cs="Calibri"/>
          <w:noProof/>
          <w:szCs w:val="24"/>
        </w:rPr>
        <w:t>48. doi:10.12816/0037103</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11. </w:t>
      </w:r>
      <w:r w:rsidRPr="00A453E9">
        <w:rPr>
          <w:rFonts w:ascii="Calibri" w:hAnsi="Calibri" w:cs="Calibri"/>
          <w:noProof/>
          <w:szCs w:val="24"/>
        </w:rPr>
        <w:tab/>
        <w:t xml:space="preserve">Azza L, Ahmed M, Nahed AR, Wafaa Z, Eman E. Molecular and phenotypic characterization of hospital-associated and community-associated isolates of Enterococcus spp. </w:t>
      </w:r>
      <w:r w:rsidRPr="00A453E9">
        <w:rPr>
          <w:rFonts w:ascii="Calibri" w:hAnsi="Calibri" w:cs="Calibri"/>
          <w:i/>
          <w:iCs/>
          <w:noProof/>
          <w:szCs w:val="24"/>
        </w:rPr>
        <w:t>Menoufia Med J</w:t>
      </w:r>
      <w:r w:rsidRPr="00A453E9">
        <w:rPr>
          <w:rFonts w:ascii="Calibri" w:hAnsi="Calibri" w:cs="Calibri"/>
          <w:noProof/>
          <w:szCs w:val="24"/>
        </w:rPr>
        <w:t>. 2013;26(2):108. doi:10.4103/1110-2098.126138</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12. </w:t>
      </w:r>
      <w:r w:rsidRPr="00A453E9">
        <w:rPr>
          <w:rFonts w:ascii="Calibri" w:hAnsi="Calibri" w:cs="Calibri"/>
          <w:noProof/>
          <w:szCs w:val="24"/>
        </w:rPr>
        <w:tab/>
        <w:t xml:space="preserve">Hassan RM, Ghaith DM, Ismail DK, Zafer MM. Reduced susceptibility of Enterococcus spp. isolates from Cairo University Hospital to tigecycline: Highlight on the influence of proton pump inhibitors. </w:t>
      </w:r>
      <w:r w:rsidRPr="00A453E9">
        <w:rPr>
          <w:rFonts w:ascii="Calibri" w:hAnsi="Calibri" w:cs="Calibri"/>
          <w:i/>
          <w:iCs/>
          <w:noProof/>
          <w:szCs w:val="24"/>
        </w:rPr>
        <w:t>J Glob Antimicrob Resist</w:t>
      </w:r>
      <w:r w:rsidRPr="00A453E9">
        <w:rPr>
          <w:rFonts w:ascii="Calibri" w:hAnsi="Calibri" w:cs="Calibri"/>
          <w:noProof/>
          <w:szCs w:val="24"/>
        </w:rPr>
        <w:t>. 2018;12:68-72. doi:10.1016/j.jgar.2017.12.005</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13. </w:t>
      </w:r>
      <w:r w:rsidRPr="00A453E9">
        <w:rPr>
          <w:rFonts w:ascii="Calibri" w:hAnsi="Calibri" w:cs="Calibri"/>
          <w:noProof/>
          <w:szCs w:val="24"/>
        </w:rPr>
        <w:tab/>
        <w:t>Hassan A, Fattouh M, El-deen A, Maguid</w:t>
      </w:r>
      <w:r w:rsidRPr="00A453E9">
        <w:rPr>
          <w:rFonts w:ascii="Calibri" w:hAnsi="Calibri" w:cs="Calibri"/>
          <w:noProof/>
          <w:szCs w:val="24"/>
          <w:rtl/>
        </w:rPr>
        <w:t>‏</w:t>
      </w:r>
      <w:r w:rsidRPr="00A453E9">
        <w:rPr>
          <w:rFonts w:ascii="Calibri" w:hAnsi="Calibri" w:cs="Calibri"/>
          <w:noProof/>
          <w:szCs w:val="24"/>
        </w:rPr>
        <w:t xml:space="preserve"> S. Isolation and Characterization of Vancomycin-Resistant Enterococci (Vre) in Surgical Wards of Sohag University Hospital. </w:t>
      </w:r>
      <w:r w:rsidRPr="00A453E9">
        <w:rPr>
          <w:rFonts w:ascii="Calibri" w:hAnsi="Calibri" w:cs="Calibri"/>
          <w:i/>
          <w:iCs/>
          <w:noProof/>
          <w:szCs w:val="24"/>
        </w:rPr>
        <w:t>Egy j Med Lab Sci</w:t>
      </w:r>
      <w:r w:rsidRPr="00A453E9">
        <w:rPr>
          <w:rFonts w:ascii="Calibri" w:hAnsi="Calibri" w:cs="Calibri"/>
          <w:noProof/>
          <w:szCs w:val="24"/>
        </w:rPr>
        <w:t>. Published online 2012.</w:t>
      </w:r>
    </w:p>
    <w:p w:rsidR="00A453E9" w:rsidRPr="00A453E9" w:rsidRDefault="00A453E9" w:rsidP="009D524C">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14. </w:t>
      </w:r>
      <w:r w:rsidRPr="00A453E9">
        <w:rPr>
          <w:rFonts w:ascii="Calibri" w:hAnsi="Calibri" w:cs="Calibri"/>
          <w:noProof/>
          <w:szCs w:val="24"/>
        </w:rPr>
        <w:tab/>
      </w:r>
      <w:r w:rsidR="009D524C" w:rsidRPr="009D524C">
        <w:rPr>
          <w:rFonts w:ascii="Calibri" w:hAnsi="Calibri" w:cs="Calibri"/>
          <w:noProof/>
          <w:szCs w:val="24"/>
        </w:rPr>
        <w:t>Alatrouny AMM, Amin MA, Shabana HS. Prevalence of Vancomycin Resistant Enterococci Among Patients With Nosocomial Infections in Intensive Care Unit. Al-Azhar Med J 2020;49(4):1955-64. doi:10.21608/amj.2020.120651</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15. </w:t>
      </w:r>
      <w:r w:rsidRPr="00A453E9">
        <w:rPr>
          <w:rFonts w:ascii="Calibri" w:hAnsi="Calibri" w:cs="Calibri"/>
          <w:noProof/>
          <w:szCs w:val="24"/>
        </w:rPr>
        <w:tab/>
        <w:t xml:space="preserve">El-din RAA, El-mahdy HS. Molecular characterization of enterococcus strains isolated from cases of neonatal sepsis in neonatal intensive care unit. </w:t>
      </w:r>
      <w:r w:rsidRPr="00A453E9">
        <w:rPr>
          <w:rFonts w:ascii="Calibri" w:hAnsi="Calibri" w:cs="Calibri"/>
          <w:i/>
          <w:iCs/>
          <w:noProof/>
          <w:szCs w:val="24"/>
        </w:rPr>
        <w:t>African J Microbiol Res</w:t>
      </w:r>
      <w:r w:rsidR="00B0269D">
        <w:rPr>
          <w:rFonts w:ascii="Calibri" w:hAnsi="Calibri" w:cs="Calibri"/>
          <w:noProof/>
          <w:szCs w:val="24"/>
        </w:rPr>
        <w:t>. 2012;6(44):7206-</w:t>
      </w:r>
      <w:r w:rsidRPr="00A453E9">
        <w:rPr>
          <w:rFonts w:ascii="Calibri" w:hAnsi="Calibri" w:cs="Calibri"/>
          <w:noProof/>
          <w:szCs w:val="24"/>
        </w:rPr>
        <w:t>211. doi:10.5897/AJMR12.1144</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16. </w:t>
      </w:r>
      <w:r w:rsidRPr="00A453E9">
        <w:rPr>
          <w:rFonts w:ascii="Calibri" w:hAnsi="Calibri" w:cs="Calibri"/>
          <w:noProof/>
          <w:szCs w:val="24"/>
        </w:rPr>
        <w:tab/>
        <w:t xml:space="preserve">fahmy  nahed, Abdel-Gawad A, Rezk G, Mahmoud E. Characterization of Enterococci isolated from intensive care unit (ICU); Distribution of virulence markers, virulence genes and antibiotic resistance pattern. </w:t>
      </w:r>
      <w:r w:rsidRPr="00A453E9">
        <w:rPr>
          <w:rFonts w:ascii="Calibri" w:hAnsi="Calibri" w:cs="Calibri"/>
          <w:i/>
          <w:iCs/>
          <w:noProof/>
          <w:szCs w:val="24"/>
        </w:rPr>
        <w:t>Microbes Infect Dis</w:t>
      </w:r>
      <w:r w:rsidRPr="00A453E9">
        <w:rPr>
          <w:rFonts w:ascii="Calibri" w:hAnsi="Calibri" w:cs="Calibri"/>
          <w:noProof/>
          <w:szCs w:val="24"/>
        </w:rPr>
        <w:t>. 2021;0(0):0-0. doi:10.21608/mid.2021.76391.1158</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17. </w:t>
      </w:r>
      <w:r w:rsidRPr="00A453E9">
        <w:rPr>
          <w:rFonts w:ascii="Calibri" w:hAnsi="Calibri" w:cs="Calibri"/>
          <w:noProof/>
          <w:szCs w:val="24"/>
        </w:rPr>
        <w:tab/>
        <w:t xml:space="preserve">Fahim NAE. Prevalence and antimicrobial susceptibility profile of multidrug-resistant bacteria among intensive care units patients at Ain Shams University Hospitals in Egypt—a retrospective study. </w:t>
      </w:r>
      <w:r w:rsidRPr="00A453E9">
        <w:rPr>
          <w:rFonts w:ascii="Calibri" w:hAnsi="Calibri" w:cs="Calibri"/>
          <w:i/>
          <w:iCs/>
          <w:noProof/>
          <w:szCs w:val="24"/>
        </w:rPr>
        <w:t>J Egypt Public Health Assoc</w:t>
      </w:r>
      <w:r w:rsidRPr="00A453E9">
        <w:rPr>
          <w:rFonts w:ascii="Calibri" w:hAnsi="Calibri" w:cs="Calibri"/>
          <w:noProof/>
          <w:szCs w:val="24"/>
        </w:rPr>
        <w:t xml:space="preserve">. </w:t>
      </w:r>
      <w:r w:rsidRPr="00A453E9">
        <w:rPr>
          <w:rFonts w:ascii="Calibri" w:hAnsi="Calibri" w:cs="Calibri"/>
          <w:noProof/>
          <w:szCs w:val="24"/>
        </w:rPr>
        <w:lastRenderedPageBreak/>
        <w:t>2021;96(1). doi:10.1186/s42506-020-00065-8</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18. </w:t>
      </w:r>
      <w:r w:rsidRPr="00A453E9">
        <w:rPr>
          <w:rFonts w:ascii="Calibri" w:hAnsi="Calibri" w:cs="Calibri"/>
          <w:noProof/>
          <w:szCs w:val="24"/>
        </w:rPr>
        <w:tab/>
        <w:t xml:space="preserve">Abdelkareem MZ, Sayed M, Hassuna NA, Mahmoud MS, Abdelwahab SF. Multi-drug-resistant Enterococcus faecalis among Egyptian patients with urinary tract infection. </w:t>
      </w:r>
      <w:r w:rsidRPr="00A453E9">
        <w:rPr>
          <w:rFonts w:ascii="Calibri" w:hAnsi="Calibri" w:cs="Calibri"/>
          <w:i/>
          <w:iCs/>
          <w:noProof/>
          <w:szCs w:val="24"/>
        </w:rPr>
        <w:t>J Chemother</w:t>
      </w:r>
      <w:r w:rsidRPr="00A453E9">
        <w:rPr>
          <w:rFonts w:ascii="Calibri" w:hAnsi="Calibri" w:cs="Calibri"/>
          <w:noProof/>
          <w:szCs w:val="24"/>
        </w:rPr>
        <w:t>. 2017;29(2):74-82. doi:10.1080/1120009X.2016.1182358</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19. </w:t>
      </w:r>
      <w:r w:rsidRPr="00A453E9">
        <w:rPr>
          <w:rFonts w:ascii="Calibri" w:hAnsi="Calibri" w:cs="Calibri"/>
          <w:noProof/>
          <w:szCs w:val="24"/>
        </w:rPr>
        <w:tab/>
        <w:t xml:space="preserve">Aladarose BE, Said HS, Abdelmegeed ES. Incidence of Virulence Determinants among Enterococcal Clinical Isolates in Egypt and Its Association with Biofilm Formation. </w:t>
      </w:r>
      <w:r w:rsidRPr="00A453E9">
        <w:rPr>
          <w:rFonts w:ascii="Calibri" w:hAnsi="Calibri" w:cs="Calibri"/>
          <w:i/>
          <w:iCs/>
          <w:noProof/>
          <w:szCs w:val="24"/>
        </w:rPr>
        <w:t>Microb Drug Resist</w:t>
      </w:r>
      <w:r w:rsidR="00B0269D">
        <w:rPr>
          <w:rFonts w:ascii="Calibri" w:hAnsi="Calibri" w:cs="Calibri"/>
          <w:noProof/>
          <w:szCs w:val="24"/>
        </w:rPr>
        <w:t>. 2019;25(6):880-</w:t>
      </w:r>
      <w:r w:rsidRPr="00A453E9">
        <w:rPr>
          <w:rFonts w:ascii="Calibri" w:hAnsi="Calibri" w:cs="Calibri"/>
          <w:noProof/>
          <w:szCs w:val="24"/>
        </w:rPr>
        <w:t>89. doi:10.1089/MDR.2018.0320</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20. </w:t>
      </w:r>
      <w:r w:rsidRPr="00A453E9">
        <w:rPr>
          <w:rFonts w:ascii="Calibri" w:hAnsi="Calibri" w:cs="Calibri"/>
          <w:noProof/>
          <w:szCs w:val="24"/>
        </w:rPr>
        <w:tab/>
        <w:t xml:space="preserve">Gaballah A, Shawky S, Amer A. Microbiological profiles of neonatal sepsis in northern Egypt. </w:t>
      </w:r>
      <w:r w:rsidRPr="00A453E9">
        <w:rPr>
          <w:rFonts w:ascii="Calibri" w:hAnsi="Calibri" w:cs="Calibri"/>
          <w:i/>
          <w:iCs/>
          <w:noProof/>
          <w:szCs w:val="24"/>
        </w:rPr>
        <w:t>Microbes Infect Dis</w:t>
      </w:r>
      <w:r w:rsidRPr="00A453E9">
        <w:rPr>
          <w:rFonts w:ascii="Calibri" w:hAnsi="Calibri" w:cs="Calibri"/>
          <w:noProof/>
          <w:szCs w:val="24"/>
        </w:rPr>
        <w:t>. 2022;0(0):0-0. doi:10.21608/mid.2022.129600.1265</w:t>
      </w:r>
    </w:p>
    <w:p w:rsidR="00A453E9" w:rsidRPr="00A453E9" w:rsidRDefault="00A453E9" w:rsidP="00A958BA">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21. </w:t>
      </w:r>
      <w:r w:rsidRPr="00A453E9">
        <w:rPr>
          <w:rFonts w:ascii="Calibri" w:hAnsi="Calibri" w:cs="Calibri"/>
          <w:noProof/>
          <w:szCs w:val="24"/>
        </w:rPr>
        <w:tab/>
      </w:r>
      <w:r w:rsidR="00A958BA" w:rsidRPr="00A958BA">
        <w:rPr>
          <w:rFonts w:ascii="Calibri" w:hAnsi="Calibri" w:cs="Calibri"/>
          <w:noProof/>
          <w:szCs w:val="24"/>
        </w:rPr>
        <w:t>Alzahran NH, Mohamed EA. Evaluation of the antibacterial and anticancer activities of marine Bacillus subtilis ESRAA3010 against different multidrug resistant Enterococci (MDRE) and cancer cell lines. Arch Biotechnol Biomed 2020;4(1):018-27. doi:10.29328/journal.abb.1001018</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22. </w:t>
      </w:r>
      <w:r w:rsidRPr="00A453E9">
        <w:rPr>
          <w:rFonts w:ascii="Calibri" w:hAnsi="Calibri" w:cs="Calibri"/>
          <w:noProof/>
          <w:szCs w:val="24"/>
        </w:rPr>
        <w:tab/>
        <w:t xml:space="preserve">Esmail MAM, Abdulghany HM, Khairy RM.  Prevalence of Multidrug-Resistant Enterococcus faecalis in Hospital-Acquired Surgical Wound Infections and Bacteremia: Concomitant Analysis of Antimicrobial Resistance Genes . </w:t>
      </w:r>
      <w:r w:rsidRPr="00A453E9">
        <w:rPr>
          <w:rFonts w:ascii="Calibri" w:hAnsi="Calibri" w:cs="Calibri"/>
          <w:i/>
          <w:iCs/>
          <w:noProof/>
          <w:szCs w:val="24"/>
        </w:rPr>
        <w:t>Infect Dis Res Treat</w:t>
      </w:r>
      <w:r w:rsidRPr="00A453E9">
        <w:rPr>
          <w:rFonts w:ascii="Calibri" w:hAnsi="Calibri" w:cs="Calibri"/>
          <w:noProof/>
          <w:szCs w:val="24"/>
        </w:rPr>
        <w:t>. 2019;12:117863371988292. doi:10.1177/1178633719882929</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23. </w:t>
      </w:r>
      <w:r w:rsidRPr="00A453E9">
        <w:rPr>
          <w:rFonts w:ascii="Calibri" w:hAnsi="Calibri" w:cs="Calibri"/>
          <w:noProof/>
          <w:szCs w:val="24"/>
        </w:rPr>
        <w:tab/>
        <w:t xml:space="preserve">El-Masry EA, Awad ET, Yassin MH. Antibiotic resistance, molecular typing, biofilm formation in Enterococcai isolates causing urinary tract infection. </w:t>
      </w:r>
      <w:r w:rsidRPr="00A453E9">
        <w:rPr>
          <w:rFonts w:ascii="Calibri" w:hAnsi="Calibri" w:cs="Calibri"/>
          <w:i/>
          <w:iCs/>
          <w:noProof/>
          <w:szCs w:val="24"/>
        </w:rPr>
        <w:t>J Pure Appl Microbiol</w:t>
      </w:r>
      <w:r w:rsidR="00B0269D">
        <w:rPr>
          <w:rFonts w:ascii="Calibri" w:hAnsi="Calibri" w:cs="Calibri"/>
          <w:noProof/>
          <w:szCs w:val="24"/>
        </w:rPr>
        <w:t>. 2015;9(3):1859-</w:t>
      </w:r>
      <w:r w:rsidRPr="00A453E9">
        <w:rPr>
          <w:rFonts w:ascii="Calibri" w:hAnsi="Calibri" w:cs="Calibri"/>
          <w:noProof/>
          <w:szCs w:val="24"/>
        </w:rPr>
        <w:t>66.</w:t>
      </w:r>
    </w:p>
    <w:p w:rsidR="00A453E9" w:rsidRPr="00A453E9" w:rsidRDefault="00A453E9" w:rsidP="000A2C20">
      <w:pPr>
        <w:widowControl w:val="0"/>
        <w:autoSpaceDE w:val="0"/>
        <w:autoSpaceDN w:val="0"/>
        <w:adjustRightInd w:val="0"/>
        <w:spacing w:line="240" w:lineRule="auto"/>
        <w:ind w:left="640" w:hanging="640"/>
        <w:rPr>
          <w:rFonts w:ascii="Calibri" w:hAnsi="Calibri" w:cs="Calibri"/>
          <w:noProof/>
          <w:szCs w:val="24"/>
        </w:rPr>
      </w:pPr>
      <w:r w:rsidRPr="00A453E9">
        <w:rPr>
          <w:rFonts w:ascii="Calibri" w:hAnsi="Calibri" w:cs="Calibri"/>
          <w:noProof/>
          <w:szCs w:val="24"/>
        </w:rPr>
        <w:t xml:space="preserve">24. </w:t>
      </w:r>
      <w:r w:rsidRPr="00A453E9">
        <w:rPr>
          <w:rFonts w:ascii="Calibri" w:hAnsi="Calibri" w:cs="Calibri"/>
          <w:noProof/>
          <w:szCs w:val="24"/>
        </w:rPr>
        <w:tab/>
      </w:r>
      <w:r w:rsidR="000A2C20" w:rsidRPr="000A2C20">
        <w:rPr>
          <w:rFonts w:ascii="Calibri" w:hAnsi="Calibri" w:cs="Calibri"/>
          <w:noProof/>
          <w:szCs w:val="24"/>
        </w:rPr>
        <w:t>Hassan R, El-Gilany AH, Abd-Elaal AM, El-Mashad N, Abdelazim D. Antibiotic Resistance Pattern of Bacteria Causing Hospital Acquired Infections in the New Mansoura General Hospital, Egypt. Arch Community Med 2021;3(1). doi:10.36959/547/645</w:t>
      </w:r>
    </w:p>
    <w:p w:rsidR="00A453E9" w:rsidRPr="00A453E9" w:rsidRDefault="00A453E9" w:rsidP="00A453E9">
      <w:pPr>
        <w:widowControl w:val="0"/>
        <w:autoSpaceDE w:val="0"/>
        <w:autoSpaceDN w:val="0"/>
        <w:adjustRightInd w:val="0"/>
        <w:spacing w:line="240" w:lineRule="auto"/>
        <w:ind w:left="640" w:hanging="640"/>
        <w:rPr>
          <w:rFonts w:ascii="Calibri" w:hAnsi="Calibri" w:cs="Calibri"/>
          <w:noProof/>
        </w:rPr>
      </w:pPr>
      <w:r w:rsidRPr="00A453E9">
        <w:rPr>
          <w:rFonts w:ascii="Calibri" w:hAnsi="Calibri" w:cs="Calibri"/>
          <w:noProof/>
          <w:szCs w:val="24"/>
        </w:rPr>
        <w:t xml:space="preserve">25. </w:t>
      </w:r>
      <w:r w:rsidRPr="00A453E9">
        <w:rPr>
          <w:rFonts w:ascii="Calibri" w:hAnsi="Calibri" w:cs="Calibri"/>
          <w:noProof/>
          <w:szCs w:val="24"/>
        </w:rPr>
        <w:tab/>
        <w:t xml:space="preserve">Serry F, Elmasry E, Heagazy W, Abdel-Karim S. Antibiotic resistance of Enterococcus faecalis and Enterococcus faecium isolated from urinary tract infections in Zagazig University hospitals. </w:t>
      </w:r>
      <w:r w:rsidRPr="00A453E9">
        <w:rPr>
          <w:rFonts w:ascii="Calibri" w:hAnsi="Calibri" w:cs="Calibri"/>
          <w:i/>
          <w:iCs/>
          <w:noProof/>
          <w:szCs w:val="24"/>
        </w:rPr>
        <w:t>Zagazig J Pharm Sci</w:t>
      </w:r>
      <w:r w:rsidR="00B0269D">
        <w:rPr>
          <w:rFonts w:ascii="Calibri" w:hAnsi="Calibri" w:cs="Calibri"/>
          <w:noProof/>
          <w:szCs w:val="24"/>
        </w:rPr>
        <w:t>. 2016;25(1):30-</w:t>
      </w:r>
      <w:r w:rsidRPr="00A453E9">
        <w:rPr>
          <w:rFonts w:ascii="Calibri" w:hAnsi="Calibri" w:cs="Calibri"/>
          <w:noProof/>
          <w:szCs w:val="24"/>
        </w:rPr>
        <w:t>8. doi:10.21608/zjps.2016.38137</w:t>
      </w:r>
    </w:p>
    <w:p w:rsidR="00FE6B49" w:rsidRDefault="00FE6B49" w:rsidP="00FE6B49">
      <w:r>
        <w:fldChar w:fldCharType="end"/>
      </w:r>
    </w:p>
    <w:p w:rsidR="009E5637" w:rsidRPr="00FE6B49" w:rsidRDefault="009E5637" w:rsidP="00FE6B49">
      <w:bookmarkStart w:id="0" w:name="_GoBack"/>
      <w:bookmarkEnd w:id="0"/>
    </w:p>
    <w:sectPr w:rsidR="009E5637" w:rsidRPr="00FE6B49" w:rsidSect="00D113D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16561" w:rsidRDefault="00C16561" w:rsidP="003C76F8">
      <w:pPr>
        <w:spacing w:after="0" w:line="240" w:lineRule="auto"/>
      </w:pPr>
      <w:r>
        <w:separator/>
      </w:r>
    </w:p>
  </w:endnote>
  <w:endnote w:type="continuationSeparator" w:id="0">
    <w:p w:rsidR="00C16561" w:rsidRDefault="00C16561" w:rsidP="003C76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16561" w:rsidRDefault="00C16561" w:rsidP="003C76F8">
      <w:pPr>
        <w:spacing w:after="0" w:line="240" w:lineRule="auto"/>
      </w:pPr>
      <w:r>
        <w:separator/>
      </w:r>
    </w:p>
  </w:footnote>
  <w:footnote w:type="continuationSeparator" w:id="0">
    <w:p w:rsidR="00C16561" w:rsidRDefault="00C16561" w:rsidP="003C76F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5753"/>
    <w:rsid w:val="000376B0"/>
    <w:rsid w:val="0005683B"/>
    <w:rsid w:val="00082257"/>
    <w:rsid w:val="00090B43"/>
    <w:rsid w:val="000A2C20"/>
    <w:rsid w:val="000B412B"/>
    <w:rsid w:val="0018317A"/>
    <w:rsid w:val="001A1169"/>
    <w:rsid w:val="001A2BFC"/>
    <w:rsid w:val="001B3CED"/>
    <w:rsid w:val="001D32E7"/>
    <w:rsid w:val="001F51A2"/>
    <w:rsid w:val="00201B32"/>
    <w:rsid w:val="00202154"/>
    <w:rsid w:val="00265E59"/>
    <w:rsid w:val="002B3B4D"/>
    <w:rsid w:val="002C41F0"/>
    <w:rsid w:val="002E730A"/>
    <w:rsid w:val="00301197"/>
    <w:rsid w:val="00324A73"/>
    <w:rsid w:val="00325349"/>
    <w:rsid w:val="00331FD1"/>
    <w:rsid w:val="00334E78"/>
    <w:rsid w:val="00350004"/>
    <w:rsid w:val="00350770"/>
    <w:rsid w:val="00354B8D"/>
    <w:rsid w:val="00376C61"/>
    <w:rsid w:val="003B7A0C"/>
    <w:rsid w:val="003C38A2"/>
    <w:rsid w:val="003C6AD4"/>
    <w:rsid w:val="003C76F8"/>
    <w:rsid w:val="00406143"/>
    <w:rsid w:val="00477660"/>
    <w:rsid w:val="0048572B"/>
    <w:rsid w:val="004943AF"/>
    <w:rsid w:val="00505AE2"/>
    <w:rsid w:val="00506804"/>
    <w:rsid w:val="00522CFF"/>
    <w:rsid w:val="00523585"/>
    <w:rsid w:val="00547EF0"/>
    <w:rsid w:val="00572A3E"/>
    <w:rsid w:val="005E27E4"/>
    <w:rsid w:val="005F5935"/>
    <w:rsid w:val="005F7F42"/>
    <w:rsid w:val="00602B2D"/>
    <w:rsid w:val="00637830"/>
    <w:rsid w:val="00637A48"/>
    <w:rsid w:val="006A0FCE"/>
    <w:rsid w:val="006B14D2"/>
    <w:rsid w:val="006C423C"/>
    <w:rsid w:val="006F3EAB"/>
    <w:rsid w:val="00735A1D"/>
    <w:rsid w:val="0077690A"/>
    <w:rsid w:val="00776C96"/>
    <w:rsid w:val="007D4AA7"/>
    <w:rsid w:val="00854E1B"/>
    <w:rsid w:val="008550FA"/>
    <w:rsid w:val="0088016F"/>
    <w:rsid w:val="008908EE"/>
    <w:rsid w:val="00894372"/>
    <w:rsid w:val="00895BA8"/>
    <w:rsid w:val="008A0197"/>
    <w:rsid w:val="008B0C7E"/>
    <w:rsid w:val="009219AA"/>
    <w:rsid w:val="009540D0"/>
    <w:rsid w:val="00997D9B"/>
    <w:rsid w:val="009D524C"/>
    <w:rsid w:val="009E5637"/>
    <w:rsid w:val="009F7A91"/>
    <w:rsid w:val="00A224D9"/>
    <w:rsid w:val="00A453E9"/>
    <w:rsid w:val="00A5514F"/>
    <w:rsid w:val="00A64472"/>
    <w:rsid w:val="00A958BA"/>
    <w:rsid w:val="00AA67E2"/>
    <w:rsid w:val="00AF6D47"/>
    <w:rsid w:val="00B0269D"/>
    <w:rsid w:val="00B2217A"/>
    <w:rsid w:val="00BB409A"/>
    <w:rsid w:val="00BC3D50"/>
    <w:rsid w:val="00BC598B"/>
    <w:rsid w:val="00C16561"/>
    <w:rsid w:val="00C271D6"/>
    <w:rsid w:val="00C3429A"/>
    <w:rsid w:val="00C54AC7"/>
    <w:rsid w:val="00CC3481"/>
    <w:rsid w:val="00CD1B56"/>
    <w:rsid w:val="00CF166B"/>
    <w:rsid w:val="00D06002"/>
    <w:rsid w:val="00D113D0"/>
    <w:rsid w:val="00D30B74"/>
    <w:rsid w:val="00D746F0"/>
    <w:rsid w:val="00D765D2"/>
    <w:rsid w:val="00DA6B04"/>
    <w:rsid w:val="00DE08CA"/>
    <w:rsid w:val="00DE24ED"/>
    <w:rsid w:val="00E37226"/>
    <w:rsid w:val="00E54DED"/>
    <w:rsid w:val="00E85753"/>
    <w:rsid w:val="00EF56AE"/>
    <w:rsid w:val="00F325D8"/>
    <w:rsid w:val="00F575B7"/>
    <w:rsid w:val="00FA075D"/>
    <w:rsid w:val="00FC72FC"/>
    <w:rsid w:val="00FE3318"/>
    <w:rsid w:val="00FE6B49"/>
    <w:rsid w:val="00FE78D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39E0AE4-0F9E-4204-95CD-131A0726F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6B4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857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C76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76F8"/>
  </w:style>
  <w:style w:type="paragraph" w:styleId="Footer">
    <w:name w:val="footer"/>
    <w:basedOn w:val="Normal"/>
    <w:link w:val="FooterChar"/>
    <w:uiPriority w:val="99"/>
    <w:unhideWhenUsed/>
    <w:rsid w:val="003C76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76F8"/>
  </w:style>
  <w:style w:type="table" w:styleId="GridTable5Dark-Accent5">
    <w:name w:val="Grid Table 5 Dark Accent 5"/>
    <w:basedOn w:val="TableNormal"/>
    <w:uiPriority w:val="50"/>
    <w:rsid w:val="003C76F8"/>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table" w:styleId="GridTable1Light-Accent5">
    <w:name w:val="Grid Table 1 Light Accent 5"/>
    <w:basedOn w:val="TableNormal"/>
    <w:uiPriority w:val="46"/>
    <w:rsid w:val="003C76F8"/>
    <w:pPr>
      <w:spacing w:after="0" w:line="240" w:lineRule="auto"/>
    </w:pPr>
    <w:tblPr>
      <w:tblStyleRowBandSize w:val="1"/>
      <w:tblStyleColBandSize w:val="1"/>
      <w:tblInd w:w="0" w:type="dxa"/>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CellMar>
        <w:top w:w="0" w:type="dxa"/>
        <w:left w:w="108" w:type="dxa"/>
        <w:bottom w:w="0" w:type="dxa"/>
        <w:right w:w="108" w:type="dxa"/>
      </w:tblCellMar>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table" w:styleId="PlainTable2">
    <w:name w:val="Plain Table 2"/>
    <w:basedOn w:val="TableNormal"/>
    <w:uiPriority w:val="42"/>
    <w:rsid w:val="00334E78"/>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334E78"/>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4">
    <w:name w:val="Plain Table 4"/>
    <w:basedOn w:val="TableNormal"/>
    <w:uiPriority w:val="44"/>
    <w:rsid w:val="00331FD1"/>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1Light-Accent3">
    <w:name w:val="Grid Table 1 Light Accent 3"/>
    <w:basedOn w:val="TableNormal"/>
    <w:uiPriority w:val="46"/>
    <w:rsid w:val="00331FD1"/>
    <w:pPr>
      <w:spacing w:after="0" w:line="240" w:lineRule="auto"/>
    </w:pPr>
    <w:tblPr>
      <w:tblStyleRowBandSize w:val="1"/>
      <w:tblStyleColBandSize w:val="1"/>
      <w:tblInd w:w="0" w:type="dxa"/>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CellMar>
        <w:top w:w="0" w:type="dxa"/>
        <w:left w:w="108" w:type="dxa"/>
        <w:bottom w:w="0" w:type="dxa"/>
        <w:right w:w="108" w:type="dxa"/>
      </w:tblCellMar>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331FD1"/>
    <w:pPr>
      <w:spacing w:after="0" w:line="240" w:lineRule="auto"/>
    </w:pPr>
    <w:tblPr>
      <w:tblStyleRowBandSize w:val="1"/>
      <w:tblStyleColBandSize w:val="1"/>
      <w:tblInd w:w="0" w:type="dxa"/>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CellMar>
        <w:top w:w="0" w:type="dxa"/>
        <w:left w:w="108" w:type="dxa"/>
        <w:bottom w:w="0" w:type="dxa"/>
        <w:right w:w="108" w:type="dxa"/>
      </w:tblCellMar>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3">
    <w:name w:val="Grid Table 4 Accent 3"/>
    <w:basedOn w:val="TableNormal"/>
    <w:uiPriority w:val="49"/>
    <w:rsid w:val="009E5637"/>
    <w:pPr>
      <w:spacing w:after="0" w:line="240" w:lineRule="auto"/>
    </w:pPr>
    <w:tblPr>
      <w:tblStyleRowBandSize w:val="1"/>
      <w:tblStyleColBandSize w:val="1"/>
      <w:tblInd w:w="0" w:type="dxa"/>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NoSpacing">
    <w:name w:val="No Spacing"/>
    <w:link w:val="NoSpacingChar"/>
    <w:uiPriority w:val="1"/>
    <w:qFormat/>
    <w:rsid w:val="00894372"/>
    <w:pPr>
      <w:spacing w:after="0" w:line="240" w:lineRule="auto"/>
    </w:pPr>
    <w:rPr>
      <w:rFonts w:eastAsiaTheme="minorEastAsia"/>
    </w:rPr>
  </w:style>
  <w:style w:type="character" w:customStyle="1" w:styleId="NoSpacingChar">
    <w:name w:val="No Spacing Char"/>
    <w:basedOn w:val="DefaultParagraphFont"/>
    <w:link w:val="NoSpacing"/>
    <w:uiPriority w:val="1"/>
    <w:rsid w:val="00894372"/>
    <w:rPr>
      <w:rFonts w:eastAsiaTheme="minorEastAsia"/>
    </w:rPr>
  </w:style>
  <w:style w:type="table" w:customStyle="1" w:styleId="GridTable4-Accent31">
    <w:name w:val="Grid Table 4 - Accent 31"/>
    <w:basedOn w:val="TableNormal"/>
    <w:next w:val="GridTable4-Accent3"/>
    <w:uiPriority w:val="49"/>
    <w:rsid w:val="008550FA"/>
    <w:pPr>
      <w:spacing w:after="0" w:line="240" w:lineRule="auto"/>
    </w:pPr>
    <w:rPr>
      <w:rFonts w:ascii="Times New Roman" w:eastAsia="Times New Roman" w:hAnsi="Times New Roman" w:cs="Times New Roman"/>
      <w:sz w:val="20"/>
      <w:szCs w:val="20"/>
      <w:lang w:val="en-AU" w:eastAsia="en-AU"/>
    </w:rPr>
    <w:tblPr>
      <w:tblStyleRowBandSize w:val="1"/>
      <w:tblStyleColBandSize w:val="1"/>
      <w:tblInd w:w="0" w:type="dxa"/>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CellMar>
        <w:top w:w="0" w:type="dxa"/>
        <w:left w:w="108" w:type="dxa"/>
        <w:bottom w:w="0" w:type="dxa"/>
        <w:right w:w="108" w:type="dxa"/>
      </w:tblCellMar>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051193">
      <w:bodyDiv w:val="1"/>
      <w:marLeft w:val="0"/>
      <w:marRight w:val="0"/>
      <w:marTop w:val="0"/>
      <w:marBottom w:val="0"/>
      <w:divBdr>
        <w:top w:val="none" w:sz="0" w:space="0" w:color="auto"/>
        <w:left w:val="none" w:sz="0" w:space="0" w:color="auto"/>
        <w:bottom w:val="none" w:sz="0" w:space="0" w:color="auto"/>
        <w:right w:val="none" w:sz="0" w:space="0" w:color="auto"/>
      </w:divBdr>
    </w:div>
    <w:div w:id="156314586">
      <w:bodyDiv w:val="1"/>
      <w:marLeft w:val="0"/>
      <w:marRight w:val="0"/>
      <w:marTop w:val="0"/>
      <w:marBottom w:val="0"/>
      <w:divBdr>
        <w:top w:val="none" w:sz="0" w:space="0" w:color="auto"/>
        <w:left w:val="none" w:sz="0" w:space="0" w:color="auto"/>
        <w:bottom w:val="none" w:sz="0" w:space="0" w:color="auto"/>
        <w:right w:val="none" w:sz="0" w:space="0" w:color="auto"/>
      </w:divBdr>
    </w:div>
    <w:div w:id="176770602">
      <w:bodyDiv w:val="1"/>
      <w:marLeft w:val="0"/>
      <w:marRight w:val="0"/>
      <w:marTop w:val="0"/>
      <w:marBottom w:val="0"/>
      <w:divBdr>
        <w:top w:val="none" w:sz="0" w:space="0" w:color="auto"/>
        <w:left w:val="none" w:sz="0" w:space="0" w:color="auto"/>
        <w:bottom w:val="none" w:sz="0" w:space="0" w:color="auto"/>
        <w:right w:val="none" w:sz="0" w:space="0" w:color="auto"/>
      </w:divBdr>
    </w:div>
    <w:div w:id="274363503">
      <w:bodyDiv w:val="1"/>
      <w:marLeft w:val="0"/>
      <w:marRight w:val="0"/>
      <w:marTop w:val="0"/>
      <w:marBottom w:val="0"/>
      <w:divBdr>
        <w:top w:val="none" w:sz="0" w:space="0" w:color="auto"/>
        <w:left w:val="none" w:sz="0" w:space="0" w:color="auto"/>
        <w:bottom w:val="none" w:sz="0" w:space="0" w:color="auto"/>
        <w:right w:val="none" w:sz="0" w:space="0" w:color="auto"/>
      </w:divBdr>
    </w:div>
    <w:div w:id="386034665">
      <w:bodyDiv w:val="1"/>
      <w:marLeft w:val="0"/>
      <w:marRight w:val="0"/>
      <w:marTop w:val="0"/>
      <w:marBottom w:val="0"/>
      <w:divBdr>
        <w:top w:val="none" w:sz="0" w:space="0" w:color="auto"/>
        <w:left w:val="none" w:sz="0" w:space="0" w:color="auto"/>
        <w:bottom w:val="none" w:sz="0" w:space="0" w:color="auto"/>
        <w:right w:val="none" w:sz="0" w:space="0" w:color="auto"/>
      </w:divBdr>
    </w:div>
    <w:div w:id="209435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emf"/><Relationship Id="rId3" Type="http://schemas.openxmlformats.org/officeDocument/2006/relationships/settings" Target="settings.xml"/><Relationship Id="rId21" Type="http://schemas.openxmlformats.org/officeDocument/2006/relationships/image" Target="media/image15.emf"/><Relationship Id="rId7" Type="http://schemas.openxmlformats.org/officeDocument/2006/relationships/image" Target="media/image1.png"/><Relationship Id="rId12" Type="http://schemas.openxmlformats.org/officeDocument/2006/relationships/image" Target="media/image6.emf"/><Relationship Id="rId17" Type="http://schemas.openxmlformats.org/officeDocument/2006/relationships/image" Target="media/image11.emf"/><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0.emf"/><Relationship Id="rId20" Type="http://schemas.openxmlformats.org/officeDocument/2006/relationships/image" Target="media/image14.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emf"/><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9.emf"/><Relationship Id="rId23" Type="http://schemas.openxmlformats.org/officeDocument/2006/relationships/image" Target="media/image17.png"/><Relationship Id="rId10" Type="http://schemas.openxmlformats.org/officeDocument/2006/relationships/image" Target="media/image4.emf"/><Relationship Id="rId19" Type="http://schemas.openxmlformats.org/officeDocument/2006/relationships/image" Target="media/image13.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image" Target="media/image8.emf"/><Relationship Id="rId22" Type="http://schemas.openxmlformats.org/officeDocument/2006/relationships/image" Target="media/image1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8703E776-02A2-40DC-B9FD-7975C08E5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28</Pages>
  <Words>20649</Words>
  <Characters>117701</Characters>
  <Application>Microsoft Office Word</Application>
  <DocSecurity>0</DocSecurity>
  <Lines>980</Lines>
  <Paragraphs>276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2022-10-22T17:23:00Z</dcterms:created>
  <dcterms:modified xsi:type="dcterms:W3CDTF">2022-10-24T10:20:00Z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http://csl.mendeley.com/styles/667169701/european-final</vt:lpwstr>
  </property>
  <property fmtid="{D5CDD505-2E9C-101B-9397-08002B2CF9AE}" pid="3" name="Mendeley Recent Style Name 0_1">
    <vt:lpwstr>Advances in Alzheimer's Disease - ahmed azzam</vt:lpwstr>
  </property>
  <property fmtid="{D5CDD505-2E9C-101B-9397-08002B2CF9AE}" pid="4" name="Mendeley Recent Style Id 1_1">
    <vt:lpwstr>http://www.zotero.org/styles/american-medical-association</vt:lpwstr>
  </property>
  <property fmtid="{D5CDD505-2E9C-101B-9397-08002B2CF9AE}" pid="5" name="Mendeley Recent Style Name 1_1">
    <vt:lpwstr>American Medical Association 11th edition</vt:lpwstr>
  </property>
  <property fmtid="{D5CDD505-2E9C-101B-9397-08002B2CF9AE}" pid="6" name="Mendeley Recent Style Id 2_1">
    <vt:lpwstr>https://csl.mendeley.com/styles/667169701/american-medical-association</vt:lpwstr>
  </property>
  <property fmtid="{D5CDD505-2E9C-101B-9397-08002B2CF9AE}" pid="7" name="Mendeley Recent Style Name 2_1">
    <vt:lpwstr>American Medical Association 11th edition - ahmed azzam</vt:lpwstr>
  </property>
  <property fmtid="{D5CDD505-2E9C-101B-9397-08002B2CF9AE}" pid="8" name="Mendeley Recent Style Id 3_1">
    <vt:lpwstr>http://csl.mendeley.com/styles/679688411/american-medical-association</vt:lpwstr>
  </property>
  <property fmtid="{D5CDD505-2E9C-101B-9397-08002B2CF9AE}" pid="9" name="Mendeley Recent Style Name 3_1">
    <vt:lpwstr>American Medical Association 11th edition - ahmed azzam</vt:lpwstr>
  </property>
  <property fmtid="{D5CDD505-2E9C-101B-9397-08002B2CF9AE}" pid="10" name="Mendeley Recent Style Id 4_1">
    <vt:lpwstr>http://csl.mendeley.com/styles/667169701/american-medical-association</vt:lpwstr>
  </property>
  <property fmtid="{D5CDD505-2E9C-101B-9397-08002B2CF9AE}" pid="11" name="Mendeley Recent Style Name 4_1">
    <vt:lpwstr>American Medical Association 11th edition - ahmed azzam</vt:lpwstr>
  </property>
  <property fmtid="{D5CDD505-2E9C-101B-9397-08002B2CF9AE}" pid="12" name="Mendeley Recent Style Id 5_1">
    <vt:lpwstr>http://www.zotero.org/styles/chicago-author-date</vt:lpwstr>
  </property>
  <property fmtid="{D5CDD505-2E9C-101B-9397-08002B2CF9AE}" pid="13" name="Mendeley Recent Style Name 5_1">
    <vt:lpwstr>Chicago Manual of Style 17th edition (author-date)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ec0b061f-d9fa-3ad0-af3a-4f79b9b3b028</vt:lpwstr>
  </property>
  <property fmtid="{D5CDD505-2E9C-101B-9397-08002B2CF9AE}" pid="24" name="Mendeley Citation Style_1">
    <vt:lpwstr>http://csl.mendeley.com/styles/679688411/american-medical-association</vt:lpwstr>
  </property>
</Properties>
</file>