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526E8" w14:textId="1CE4C88A" w:rsidR="00960C78" w:rsidRDefault="00FC1E9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6F692CD" wp14:editId="0AF4CFB8">
                <wp:simplePos x="0" y="0"/>
                <wp:positionH relativeFrom="column">
                  <wp:posOffset>-651053</wp:posOffset>
                </wp:positionH>
                <wp:positionV relativeFrom="paragraph">
                  <wp:posOffset>5888736</wp:posOffset>
                </wp:positionV>
                <wp:extent cx="10052050" cy="965606"/>
                <wp:effectExtent l="0" t="0" r="0" b="6350"/>
                <wp:wrapNone/>
                <wp:docPr id="17405190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2050" cy="96560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B8B1B9" w14:textId="6D70DB1F" w:rsidR="00F22578" w:rsidRPr="001A4919" w:rsidRDefault="00F22578" w:rsidP="00F22578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  <w:r w:rsidRPr="001A4919">
                              <w:rPr>
                                <w:rFonts w:ascii="Times New Roman" w:hAnsi="Times New Roman" w:cs="Times New Roman"/>
                              </w:rPr>
                              <w:t>Supplementa</w:t>
                            </w:r>
                            <w:r w:rsidR="00FC1E92" w:rsidRPr="001A4919">
                              <w:rPr>
                                <w:rFonts w:ascii="Times New Roman" w:hAnsi="Times New Roman" w:cs="Times New Roman"/>
                              </w:rPr>
                              <w:t>ry Material 2</w:t>
                            </w:r>
                            <w:r w:rsidRPr="001A4919">
                              <w:rPr>
                                <w:rFonts w:ascii="Times New Roman" w:hAnsi="Times New Roman" w:cs="Times New Roman"/>
                              </w:rPr>
                              <w:t xml:space="preserve">. </w:t>
                            </w:r>
                            <w:r w:rsidR="001A4919" w:rsidRPr="001A4919">
                              <w:rPr>
                                <w:rFonts w:ascii="Times New Roman" w:hAnsi="Times New Roman" w:cs="Times New Roman"/>
                              </w:rPr>
                              <w:t xml:space="preserve">Graph showing the sampling timeframe, European macro area, and Orthohantavirus species from selected review articles. Bar length indicates the host data collection interval; colour codes the virus species; pattern marks the European macro area. Legend: PUUV – </w:t>
                            </w:r>
                            <w:r w:rsidR="001A4919" w:rsidRPr="001A4919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 xml:space="preserve">O. </w:t>
                            </w:r>
                            <w:proofErr w:type="spellStart"/>
                            <w:r w:rsidR="001A4919" w:rsidRPr="001A4919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>puumalaense</w:t>
                            </w:r>
                            <w:proofErr w:type="spellEnd"/>
                            <w:r w:rsidR="001A4919" w:rsidRPr="001A4919">
                              <w:rPr>
                                <w:rFonts w:ascii="Times New Roman" w:hAnsi="Times New Roman" w:cs="Times New Roman"/>
                              </w:rPr>
                              <w:t xml:space="preserve">, DOBV – </w:t>
                            </w:r>
                            <w:r w:rsidR="001A4919" w:rsidRPr="001A4919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 xml:space="preserve">O. </w:t>
                            </w:r>
                            <w:proofErr w:type="spellStart"/>
                            <w:r w:rsidR="001A4919" w:rsidRPr="001A4919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>dobravaense</w:t>
                            </w:r>
                            <w:proofErr w:type="spellEnd"/>
                            <w:r w:rsidR="001A4919" w:rsidRPr="001A4919">
                              <w:rPr>
                                <w:rFonts w:ascii="Times New Roman" w:hAnsi="Times New Roman" w:cs="Times New Roman"/>
                              </w:rPr>
                              <w:t xml:space="preserve">, TULV – </w:t>
                            </w:r>
                            <w:r w:rsidR="001A4919" w:rsidRPr="001A4919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 xml:space="preserve">O. </w:t>
                            </w:r>
                            <w:proofErr w:type="spellStart"/>
                            <w:r w:rsidR="001A4919" w:rsidRPr="001A4919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>tulaense</w:t>
                            </w:r>
                            <w:proofErr w:type="spellEnd"/>
                            <w:r w:rsidR="001A4919" w:rsidRPr="001A4919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</w:p>
                          <w:p w14:paraId="7D86DF85" w14:textId="77777777" w:rsidR="00F22578" w:rsidRDefault="00F22578" w:rsidP="00F22578">
                            <w:pPr>
                              <w:rPr>
                                <w:rFonts w:ascii="Calibri" w:eastAsia="Times New Roman" w:hAnsi="Calibri" w:cs="Calibri"/>
                                <w:i/>
                                <w:iCs/>
                                <w:color w:val="000000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</w:p>
                          <w:p w14:paraId="3A39DEF0" w14:textId="77777777" w:rsidR="00F22578" w:rsidRDefault="00F22578" w:rsidP="00F2257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F692C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1.25pt;margin-top:463.7pt;width:791.5pt;height:76.0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" filled="f" stroked="f">
                <v:textbox>
                  <w:txbxContent>
                    <w:p w14:paraId="39B8B1B9" w14:textId="6D70DB1F" w:rsidR="00F22578" w:rsidRPr="001A4919" w:rsidRDefault="00F22578" w:rsidP="00F22578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lang w:eastAsia="en-GB"/>
                          <w14:ligatures w14:val="none"/>
                        </w:rPr>
                      </w:pPr>
                      <w:r w:rsidRPr="001A4919">
                        <w:rPr>
                          <w:rFonts w:ascii="Times New Roman" w:hAnsi="Times New Roman" w:cs="Times New Roman"/>
                        </w:rPr>
                        <w:t>Supplementa</w:t>
                      </w:r>
                      <w:r w:rsidR="00FC1E92" w:rsidRPr="001A4919">
                        <w:rPr>
                          <w:rFonts w:ascii="Times New Roman" w:hAnsi="Times New Roman" w:cs="Times New Roman"/>
                        </w:rPr>
                        <w:t>ry Material 2</w:t>
                      </w:r>
                      <w:r w:rsidRPr="001A4919">
                        <w:rPr>
                          <w:rFonts w:ascii="Times New Roman" w:hAnsi="Times New Roman" w:cs="Times New Roman"/>
                        </w:rPr>
                        <w:t xml:space="preserve">. </w:t>
                      </w:r>
                      <w:r w:rsidR="001A4919" w:rsidRPr="001A4919">
                        <w:rPr>
                          <w:rFonts w:ascii="Times New Roman" w:hAnsi="Times New Roman" w:cs="Times New Roman"/>
                        </w:rPr>
                        <w:t xml:space="preserve">Graph showing the sampling timeframe, European macro area, and Orthohantavirus species from selected review articles. Bar length indicates the host data collection interval; colour codes the virus species; pattern marks the European macro area. Legend: PUUV – </w:t>
                      </w:r>
                      <w:r w:rsidR="001A4919" w:rsidRPr="001A4919">
                        <w:rPr>
                          <w:rFonts w:ascii="Times New Roman" w:hAnsi="Times New Roman" w:cs="Times New Roman"/>
                          <w:i/>
                          <w:iCs/>
                        </w:rPr>
                        <w:t xml:space="preserve">O. </w:t>
                      </w:r>
                      <w:proofErr w:type="spellStart"/>
                      <w:r w:rsidR="001A4919" w:rsidRPr="001A4919">
                        <w:rPr>
                          <w:rFonts w:ascii="Times New Roman" w:hAnsi="Times New Roman" w:cs="Times New Roman"/>
                          <w:i/>
                          <w:iCs/>
                        </w:rPr>
                        <w:t>puumalaense</w:t>
                      </w:r>
                      <w:proofErr w:type="spellEnd"/>
                      <w:r w:rsidR="001A4919" w:rsidRPr="001A4919">
                        <w:rPr>
                          <w:rFonts w:ascii="Times New Roman" w:hAnsi="Times New Roman" w:cs="Times New Roman"/>
                        </w:rPr>
                        <w:t xml:space="preserve">, DOBV – </w:t>
                      </w:r>
                      <w:r w:rsidR="001A4919" w:rsidRPr="001A4919">
                        <w:rPr>
                          <w:rFonts w:ascii="Times New Roman" w:hAnsi="Times New Roman" w:cs="Times New Roman"/>
                          <w:i/>
                          <w:iCs/>
                        </w:rPr>
                        <w:t xml:space="preserve">O. </w:t>
                      </w:r>
                      <w:proofErr w:type="spellStart"/>
                      <w:r w:rsidR="001A4919" w:rsidRPr="001A4919">
                        <w:rPr>
                          <w:rFonts w:ascii="Times New Roman" w:hAnsi="Times New Roman" w:cs="Times New Roman"/>
                          <w:i/>
                          <w:iCs/>
                        </w:rPr>
                        <w:t>dobravaense</w:t>
                      </w:r>
                      <w:proofErr w:type="spellEnd"/>
                      <w:r w:rsidR="001A4919" w:rsidRPr="001A4919">
                        <w:rPr>
                          <w:rFonts w:ascii="Times New Roman" w:hAnsi="Times New Roman" w:cs="Times New Roman"/>
                        </w:rPr>
                        <w:t xml:space="preserve">, TULV – </w:t>
                      </w:r>
                      <w:r w:rsidR="001A4919" w:rsidRPr="001A4919">
                        <w:rPr>
                          <w:rFonts w:ascii="Times New Roman" w:hAnsi="Times New Roman" w:cs="Times New Roman"/>
                          <w:i/>
                          <w:iCs/>
                        </w:rPr>
                        <w:t xml:space="preserve">O. </w:t>
                      </w:r>
                      <w:proofErr w:type="spellStart"/>
                      <w:r w:rsidR="001A4919" w:rsidRPr="001A4919">
                        <w:rPr>
                          <w:rFonts w:ascii="Times New Roman" w:hAnsi="Times New Roman" w:cs="Times New Roman"/>
                          <w:i/>
                          <w:iCs/>
                        </w:rPr>
                        <w:t>tulaense</w:t>
                      </w:r>
                      <w:proofErr w:type="spellEnd"/>
                      <w:r w:rsidR="001A4919" w:rsidRPr="001A4919">
                        <w:rPr>
                          <w:rFonts w:ascii="Times New Roman" w:hAnsi="Times New Roman" w:cs="Times New Roman"/>
                        </w:rPr>
                        <w:t>.</w:t>
                      </w:r>
                    </w:p>
                    <w:p w14:paraId="7D86DF85" w14:textId="77777777" w:rsidR="00F22578" w:rsidRDefault="00F22578" w:rsidP="00F22578">
                      <w:pPr>
                        <w:rPr>
                          <w:rFonts w:ascii="Calibri" w:eastAsia="Times New Roman" w:hAnsi="Calibri" w:cs="Calibri"/>
                          <w:i/>
                          <w:iCs/>
                          <w:color w:val="000000"/>
                          <w:kern w:val="0"/>
                          <w:lang w:eastAsia="en-GB"/>
                          <w14:ligatures w14:val="none"/>
                        </w:rPr>
                      </w:pPr>
                    </w:p>
                    <w:p w14:paraId="3A39DEF0" w14:textId="77777777" w:rsidR="00F22578" w:rsidRDefault="00F22578" w:rsidP="00F22578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C1A75E2" wp14:editId="151AE56C">
                <wp:simplePos x="0" y="0"/>
                <wp:positionH relativeFrom="column">
                  <wp:posOffset>2704627</wp:posOffset>
                </wp:positionH>
                <wp:positionV relativeFrom="paragraph">
                  <wp:posOffset>508252</wp:posOffset>
                </wp:positionV>
                <wp:extent cx="1809750" cy="564515"/>
                <wp:effectExtent l="0" t="0" r="0" b="6985"/>
                <wp:wrapNone/>
                <wp:docPr id="113198191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9750" cy="564515"/>
                          <a:chOff x="-15877" y="32866"/>
                          <a:chExt cx="1956779" cy="564856"/>
                        </a:xfrm>
                      </wpg:grpSpPr>
                      <wps:wsp>
                        <wps:cNvPr id="662226315" name="Text Box 1"/>
                        <wps:cNvSpPr txBox="1"/>
                        <wps:spPr>
                          <a:xfrm>
                            <a:off x="-15877" y="32866"/>
                            <a:ext cx="1956779" cy="56485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D3074BD" w14:textId="77777777" w:rsidR="00F22578" w:rsidRPr="00FC1E92" w:rsidRDefault="00F22578" w:rsidP="00F22578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FC1E9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European macroclimate:</w:t>
                              </w:r>
                            </w:p>
                            <w:p w14:paraId="2E49F6A2" w14:textId="77777777" w:rsidR="00FC1E92" w:rsidRDefault="00F22578" w:rsidP="00F22578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FC1E9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    Continental </w:t>
                              </w:r>
                            </w:p>
                            <w:p w14:paraId="3B50209D" w14:textId="6C2C1D2F" w:rsidR="00F22578" w:rsidRPr="00FC1E92" w:rsidRDefault="00FC1E92" w:rsidP="00F22578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     </w:t>
                              </w:r>
                              <w:r w:rsidR="00F22578" w:rsidRPr="00FC1E9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Boreal </w:t>
                              </w:r>
                            </w:p>
                            <w:p w14:paraId="0BFFF963" w14:textId="77777777" w:rsidR="00F22578" w:rsidRPr="00D4084B" w:rsidRDefault="00F22578" w:rsidP="00F22578">
                              <w:pPr>
                                <w:spacing w:after="0"/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</w:pPr>
                              <w:r w:rsidRPr="00D4084B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78842480" name="Group 4"/>
                        <wpg:cNvGrpSpPr/>
                        <wpg:grpSpPr>
                          <a:xfrm>
                            <a:off x="131831" y="283295"/>
                            <a:ext cx="83754" cy="243227"/>
                            <a:chOff x="0" y="0"/>
                            <a:chExt cx="92975" cy="266879"/>
                          </a:xfrm>
                        </wpg:grpSpPr>
                        <wps:wsp>
                          <wps:cNvPr id="1014416071" name="Rectangle 2"/>
                          <wps:cNvSpPr/>
                          <wps:spPr>
                            <a:xfrm>
                              <a:off x="2805" y="0"/>
                              <a:ext cx="90170" cy="90170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3900" name="Rectangle 2"/>
                          <wps:cNvSpPr/>
                          <wps:spPr>
                            <a:xfrm>
                              <a:off x="0" y="176709"/>
                              <a:ext cx="90170" cy="90170"/>
                            </a:xfrm>
                            <a:prstGeom prst="rect">
                              <a:avLst/>
                            </a:prstGeom>
                            <a:pattFill prst="dkUpDiag">
                              <a:fgClr>
                                <a:schemeClr val="tx1"/>
                              </a:fgClr>
                              <a:bgClr>
                                <a:schemeClr val="bg1"/>
                              </a:bgClr>
                            </a:patt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1A75E2" id="Group 20" o:spid="_x0000_s1027" style="position:absolute;margin-left:212.95pt;margin-top:40pt;width:142.5pt;height:44.45pt;z-index:251663360;mso-width-relative:margin;mso-height-relative:margin" coordorigin="-158,328" coordsize="19567,5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">
                <v:shape id="Text Box 1" o:spid="_x0000_s1028" type="#_x0000_t202" style="position:absolute;left:-158;top:328;width:19567;height:56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" filled="f" stroked="f" strokeweight=".5pt">
                  <v:textbox>
                    <w:txbxContent>
                      <w:p w14:paraId="0D3074BD" w14:textId="77777777" w:rsidR="00F22578" w:rsidRPr="00FC1E92" w:rsidRDefault="00F22578" w:rsidP="00F22578">
                        <w:pPr>
                          <w:spacing w:after="0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FC1E92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European macroclimate:</w:t>
                        </w:r>
                      </w:p>
                      <w:p w14:paraId="2E49F6A2" w14:textId="77777777" w:rsidR="00FC1E92" w:rsidRDefault="00F22578" w:rsidP="00F22578">
                        <w:pPr>
                          <w:spacing w:after="0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FC1E92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    Continental </w:t>
                        </w:r>
                      </w:p>
                      <w:p w14:paraId="3B50209D" w14:textId="6C2C1D2F" w:rsidR="00F22578" w:rsidRPr="00FC1E92" w:rsidRDefault="00FC1E92" w:rsidP="00F22578">
                        <w:pPr>
                          <w:spacing w:after="0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    </w:t>
                        </w:r>
                        <w:r w:rsidR="00F22578" w:rsidRPr="00FC1E92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Boreal </w:t>
                        </w:r>
                      </w:p>
                      <w:p w14:paraId="0BFFF963" w14:textId="77777777" w:rsidR="00F22578" w:rsidRPr="00D4084B" w:rsidRDefault="00F22578" w:rsidP="00F22578">
                        <w:pPr>
                          <w:spacing w:after="0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4084B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     </w:t>
                        </w:r>
                      </w:p>
                    </w:txbxContent>
                  </v:textbox>
                </v:shape>
                <v:group id="Group 4" o:spid="_x0000_s1029" style="position:absolute;left:1318;top:2832;width:837;height:2433" coordsize="92975,266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">
                  <v:rect id="Rectangle 2" o:spid="_x0000_s1030" style="position:absolute;left:2805;width:90170;height:901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" fillcolor="black [3213]" stroked="f" strokeweight="1pt"/>
                  <v:rect id="Rectangle 2" o:spid="_x0000_s1031" style="position:absolute;top:176709;width:90170;height:901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" fillcolor="black [3213]" stroked="f" strokeweight="1pt">
                    <v:fill r:id="rId5" o:title="" color2="white [3212]" type="pattern"/>
                  </v:rect>
                </v:group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61DDE48B" wp14:editId="43266549">
                <wp:simplePos x="0" y="0"/>
                <wp:positionH relativeFrom="column">
                  <wp:posOffset>2722058</wp:posOffset>
                </wp:positionH>
                <wp:positionV relativeFrom="paragraph">
                  <wp:posOffset>-650122</wp:posOffset>
                </wp:positionV>
                <wp:extent cx="1726387" cy="1309370"/>
                <wp:effectExtent l="0" t="0" r="0" b="5080"/>
                <wp:wrapNone/>
                <wp:docPr id="1052184282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6387" cy="1309370"/>
                          <a:chOff x="-6338" y="35939"/>
                          <a:chExt cx="2070295" cy="1309582"/>
                        </a:xfrm>
                      </wpg:grpSpPr>
                      <wps:wsp>
                        <wps:cNvPr id="1406631159" name="Text Box 1"/>
                        <wps:cNvSpPr txBox="1"/>
                        <wps:spPr>
                          <a:xfrm>
                            <a:off x="-6338" y="35939"/>
                            <a:ext cx="2070295" cy="130958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A4B7025" w14:textId="77777777" w:rsidR="00F22578" w:rsidRPr="00D4084B" w:rsidRDefault="00F22578" w:rsidP="00F22578">
                              <w:pPr>
                                <w:spacing w:after="0"/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</w:pPr>
                              <w:r w:rsidRPr="00FC1E92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0"/>
                                  <w:szCs w:val="20"/>
                                </w:rPr>
                                <w:t>Orthohantavirus</w:t>
                              </w:r>
                              <w:r w:rsidRPr="00447F58">
                                <w:rPr>
                                  <w:rFonts w:ascii="Calibri" w:hAnsi="Calibri" w:cs="Calibri"/>
                                  <w:i/>
                                  <w:i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FC1E92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0"/>
                                  <w:szCs w:val="20"/>
                                </w:rPr>
                                <w:t>ssp</w:t>
                              </w:r>
                              <w:r w:rsidRPr="00FC1E9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.:</w:t>
                              </w:r>
                            </w:p>
                            <w:p w14:paraId="4B1A11AF" w14:textId="77777777" w:rsidR="00F22578" w:rsidRPr="00FC1E92" w:rsidRDefault="00F22578" w:rsidP="00F22578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D4084B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 xml:space="preserve">     </w:t>
                              </w:r>
                              <w:r w:rsidRPr="00FC1E9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PUUV</w:t>
                              </w:r>
                            </w:p>
                            <w:p w14:paraId="42254309" w14:textId="77777777" w:rsidR="00F22578" w:rsidRPr="00D4084B" w:rsidRDefault="00F22578" w:rsidP="00F22578">
                              <w:pPr>
                                <w:spacing w:after="0"/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</w:pPr>
                              <w:r w:rsidRPr="00D4084B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 xml:space="preserve">     </w:t>
                              </w:r>
                              <w:r w:rsidRPr="00FC1E9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DOBV</w:t>
                              </w:r>
                            </w:p>
                            <w:p w14:paraId="2A898FA8" w14:textId="77777777" w:rsidR="00F22578" w:rsidRPr="00D4084B" w:rsidRDefault="00F22578" w:rsidP="00F22578">
                              <w:pPr>
                                <w:spacing w:after="0"/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</w:pPr>
                              <w:r w:rsidRPr="00D4084B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 xml:space="preserve">     </w:t>
                              </w:r>
                              <w:r w:rsidRPr="00FC1E9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TULV</w:t>
                              </w:r>
                            </w:p>
                            <w:p w14:paraId="7A58DC45" w14:textId="77777777" w:rsidR="00F22578" w:rsidRPr="00FC1E92" w:rsidRDefault="00F22578" w:rsidP="00F22578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D4084B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 xml:space="preserve">     </w:t>
                              </w:r>
                              <w:r w:rsidRPr="00FC1E9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DOBV &amp; PUUV</w:t>
                              </w:r>
                            </w:p>
                            <w:p w14:paraId="3E0744C5" w14:textId="77777777" w:rsidR="00F22578" w:rsidRPr="00FC1E92" w:rsidRDefault="00F22578" w:rsidP="00F22578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D4084B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 xml:space="preserve">     </w:t>
                              </w:r>
                              <w:r w:rsidRPr="00FC1E9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TULV &amp; PUUV</w:t>
                              </w:r>
                            </w:p>
                            <w:p w14:paraId="37E5FD3A" w14:textId="77777777" w:rsidR="00F22578" w:rsidRPr="00FC1E92" w:rsidRDefault="00F22578" w:rsidP="00F22578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D4084B"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  <w:t xml:space="preserve">     </w:t>
                              </w:r>
                              <w:r w:rsidRPr="00FC1E92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DOBV, TULV, &amp; PUUV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38899766" name="Group 4"/>
                        <wpg:cNvGrpSpPr/>
                        <wpg:grpSpPr>
                          <a:xfrm>
                            <a:off x="131831" y="283295"/>
                            <a:ext cx="83754" cy="887423"/>
                            <a:chOff x="0" y="0"/>
                            <a:chExt cx="92975" cy="973716"/>
                          </a:xfrm>
                        </wpg:grpSpPr>
                        <wps:wsp>
                          <wps:cNvPr id="537798027" name="Rectangle 2"/>
                          <wps:cNvSpPr/>
                          <wps:spPr>
                            <a:xfrm>
                              <a:off x="2805" y="0"/>
                              <a:ext cx="90170" cy="90170"/>
                            </a:xfrm>
                            <a:prstGeom prst="rect">
                              <a:avLst/>
                            </a:prstGeom>
                            <a:solidFill>
                              <a:srgbClr val="4F81BD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52498466" name="Rectangle 2"/>
                          <wps:cNvSpPr/>
                          <wps:spPr>
                            <a:xfrm>
                              <a:off x="0" y="176709"/>
                              <a:ext cx="90170" cy="90170"/>
                            </a:xfrm>
                            <a:prstGeom prst="rect">
                              <a:avLst/>
                            </a:prstGeom>
                            <a:solidFill>
                              <a:srgbClr val="F7964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32227398" name="Rectangle 2"/>
                          <wps:cNvSpPr/>
                          <wps:spPr>
                            <a:xfrm>
                              <a:off x="0" y="356223"/>
                              <a:ext cx="90170" cy="90170"/>
                            </a:xfrm>
                            <a:prstGeom prst="rect">
                              <a:avLst/>
                            </a:prstGeom>
                            <a:solidFill>
                              <a:srgbClr val="9BBB59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9575307" name="Rectangle 2"/>
                          <wps:cNvSpPr/>
                          <wps:spPr>
                            <a:xfrm>
                              <a:off x="2805" y="530127"/>
                              <a:ext cx="90170" cy="90170"/>
                            </a:xfrm>
                            <a:prstGeom prst="rect">
                              <a:avLst/>
                            </a:prstGeom>
                            <a:solidFill>
                              <a:srgbClr val="8C6D6D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29245391" name="Rectangle 2"/>
                          <wps:cNvSpPr/>
                          <wps:spPr>
                            <a:xfrm>
                              <a:off x="2805" y="706836"/>
                              <a:ext cx="90170" cy="90170"/>
                            </a:xfrm>
                            <a:prstGeom prst="rect">
                              <a:avLst/>
                            </a:prstGeom>
                            <a:solidFill>
                              <a:srgbClr val="599F8D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26239834" name="Rectangle 2"/>
                          <wps:cNvSpPr/>
                          <wps:spPr>
                            <a:xfrm>
                              <a:off x="2805" y="883546"/>
                              <a:ext cx="90170" cy="90170"/>
                            </a:xfrm>
                            <a:prstGeom prst="rect">
                              <a:avLst/>
                            </a:prstGeom>
                            <a:solidFill>
                              <a:srgbClr val="A89B6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1DDE48B" id="_x0000_s1032" style="position:absolute;margin-left:214.35pt;margin-top:-51.2pt;width:135.95pt;height:103.1pt;z-index:251666432;mso-width-relative:margin" coordorigin="-63,359" coordsize="20702,13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">
                <v:shape id="Text Box 1" o:spid="_x0000_s1033" type="#_x0000_t202" style="position:absolute;left:-63;top:359;width:20702;height:13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" filled="f" stroked="f" strokeweight=".5pt">
                  <v:textbox>
                    <w:txbxContent>
                      <w:p w14:paraId="4A4B7025" w14:textId="77777777" w:rsidR="00F22578" w:rsidRPr="00D4084B" w:rsidRDefault="00F22578" w:rsidP="00F22578">
                        <w:pPr>
                          <w:spacing w:after="0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FC1E92">
                          <w:rPr>
                            <w:rFonts w:ascii="Times New Roman" w:hAnsi="Times New Roman" w:cs="Times New Roman"/>
                            <w:i/>
                            <w:iCs/>
                            <w:sz w:val="20"/>
                            <w:szCs w:val="20"/>
                          </w:rPr>
                          <w:t>Orthohantavirus</w:t>
                        </w:r>
                        <w:r w:rsidRPr="00447F58">
                          <w:rPr>
                            <w:rFonts w:ascii="Calibri" w:hAnsi="Calibri" w:cs="Calibri"/>
                            <w:i/>
                            <w:iCs/>
                            <w:sz w:val="20"/>
                            <w:szCs w:val="20"/>
                          </w:rPr>
                          <w:t xml:space="preserve"> </w:t>
                        </w:r>
                        <w:r w:rsidRPr="00FC1E92">
                          <w:rPr>
                            <w:rFonts w:ascii="Times New Roman" w:hAnsi="Times New Roman" w:cs="Times New Roman"/>
                            <w:i/>
                            <w:iCs/>
                            <w:sz w:val="20"/>
                            <w:szCs w:val="20"/>
                          </w:rPr>
                          <w:t>ssp</w:t>
                        </w:r>
                        <w:r w:rsidRPr="00FC1E92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.:</w:t>
                        </w:r>
                      </w:p>
                      <w:p w14:paraId="4B1A11AF" w14:textId="77777777" w:rsidR="00F22578" w:rsidRPr="00FC1E92" w:rsidRDefault="00F22578" w:rsidP="00F22578">
                        <w:pPr>
                          <w:spacing w:after="0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D4084B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     </w:t>
                        </w:r>
                        <w:r w:rsidRPr="00FC1E92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PUUV</w:t>
                        </w:r>
                      </w:p>
                      <w:p w14:paraId="42254309" w14:textId="77777777" w:rsidR="00F22578" w:rsidRPr="00D4084B" w:rsidRDefault="00F22578" w:rsidP="00F22578">
                        <w:pPr>
                          <w:spacing w:after="0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4084B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     </w:t>
                        </w:r>
                        <w:r w:rsidRPr="00FC1E92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DOBV</w:t>
                        </w:r>
                      </w:p>
                      <w:p w14:paraId="2A898FA8" w14:textId="77777777" w:rsidR="00F22578" w:rsidRPr="00D4084B" w:rsidRDefault="00F22578" w:rsidP="00F22578">
                        <w:pPr>
                          <w:spacing w:after="0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  <w:r w:rsidRPr="00D4084B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     </w:t>
                        </w:r>
                        <w:r w:rsidRPr="00FC1E92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TULV</w:t>
                        </w:r>
                      </w:p>
                      <w:p w14:paraId="7A58DC45" w14:textId="77777777" w:rsidR="00F22578" w:rsidRPr="00FC1E92" w:rsidRDefault="00F22578" w:rsidP="00F22578">
                        <w:pPr>
                          <w:spacing w:after="0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D4084B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     </w:t>
                        </w:r>
                        <w:r w:rsidRPr="00FC1E92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DOBV &amp; PUUV</w:t>
                        </w:r>
                      </w:p>
                      <w:p w14:paraId="3E0744C5" w14:textId="77777777" w:rsidR="00F22578" w:rsidRPr="00FC1E92" w:rsidRDefault="00F22578" w:rsidP="00F22578">
                        <w:pPr>
                          <w:spacing w:after="0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D4084B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     </w:t>
                        </w:r>
                        <w:r w:rsidRPr="00FC1E92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TULV &amp; PUUV</w:t>
                        </w:r>
                      </w:p>
                      <w:p w14:paraId="37E5FD3A" w14:textId="77777777" w:rsidR="00F22578" w:rsidRPr="00FC1E92" w:rsidRDefault="00F22578" w:rsidP="00F22578">
                        <w:pPr>
                          <w:spacing w:after="0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D4084B"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  <w:t xml:space="preserve">     </w:t>
                        </w:r>
                        <w:r w:rsidRPr="00FC1E92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DOBV, TULV, &amp; PUUV</w:t>
                        </w:r>
                      </w:p>
                    </w:txbxContent>
                  </v:textbox>
                </v:shape>
                <v:group id="Group 4" o:spid="_x0000_s1034" style="position:absolute;left:1318;top:2832;width:837;height:8875" coordsize="929,97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">
                  <v:rect id="Rectangle 2" o:spid="_x0000_s1035" style="position:absolute;left:28;width:901;height:9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" fillcolor="#4f81bd" stroked="f" strokeweight="1pt"/>
                  <v:rect id="Rectangle 2" o:spid="_x0000_s1036" style="position:absolute;top:1767;width:901;height:9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" fillcolor="#f79646" stroked="f" strokeweight="1pt"/>
                  <v:rect id="Rectangle 2" o:spid="_x0000_s1037" style="position:absolute;top:3562;width:901;height:9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" fillcolor="#9bbb59" stroked="f" strokeweight="1pt"/>
                  <v:rect id="Rectangle 2" o:spid="_x0000_s1038" style="position:absolute;left:28;top:5301;width:901;height:9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" fillcolor="#8c6d6d" stroked="f" strokeweight="1pt"/>
                  <v:rect id="Rectangle 2" o:spid="_x0000_s1039" style="position:absolute;left:28;top:7068;width:901;height:9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" fillcolor="#599f8d" stroked="f" strokeweight="1pt"/>
                  <v:rect id="Rectangle 2" o:spid="_x0000_s1040" style="position:absolute;left:28;top:8835;width:901;height:9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" fillcolor="#a89b6a" stroked="f" strokeweight="1pt"/>
                </v:group>
              </v:group>
            </w:pict>
          </mc:Fallback>
        </mc:AlternateContent>
      </w:r>
      <w:r w:rsidR="00113F89">
        <w:rPr>
          <w:noProof/>
        </w:rPr>
        <w:drawing>
          <wp:anchor distT="0" distB="0" distL="114300" distR="114300" simplePos="0" relativeHeight="251661312" behindDoc="0" locked="0" layoutInCell="1" allowOverlap="1" wp14:anchorId="36193FAF" wp14:editId="18D04BDE">
            <wp:simplePos x="0" y="0"/>
            <wp:positionH relativeFrom="column">
              <wp:posOffset>-595423</wp:posOffset>
            </wp:positionH>
            <wp:positionV relativeFrom="paragraph">
              <wp:posOffset>-967563</wp:posOffset>
            </wp:positionV>
            <wp:extent cx="9926320" cy="6857011"/>
            <wp:effectExtent l="0" t="0" r="0" b="0"/>
            <wp:wrapNone/>
            <wp:docPr id="42327619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349CC4F7-A385-C118-4E1F-A02C1C82AB6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60C78" w:rsidSect="00F2257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C78"/>
    <w:rsid w:val="00027CB0"/>
    <w:rsid w:val="00041B0A"/>
    <w:rsid w:val="00113F89"/>
    <w:rsid w:val="001A4919"/>
    <w:rsid w:val="002E01E4"/>
    <w:rsid w:val="0062249A"/>
    <w:rsid w:val="006D04C5"/>
    <w:rsid w:val="007649DB"/>
    <w:rsid w:val="00960C78"/>
    <w:rsid w:val="00B63303"/>
    <w:rsid w:val="00C06A23"/>
    <w:rsid w:val="00E2269E"/>
    <w:rsid w:val="00F22578"/>
    <w:rsid w:val="00F51DAC"/>
    <w:rsid w:val="00FC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A4A612"/>
  <w15:chartTrackingRefBased/>
  <w15:docId w15:val="{A95ED0D5-A280-4816-9830-2E034CAC3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2578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0C7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0C7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0C7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0C7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0C7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0C7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0C7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0C7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0C7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0C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0C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0C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0C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0C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0C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0C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0C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0C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0C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0C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0C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0C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0C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0C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0C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0C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C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C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0C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University%20of%20Udine\Literature%20Review%20Hantavirus%20Europe%20Ecology\Search%20Engine%20Article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631201278097275"/>
          <c:y val="3.5500448042537561E-2"/>
          <c:w val="0.83824161487710436"/>
          <c:h val="0.92243872351005218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'Sampling Year Graph '!$O$1</c:f>
              <c:strCache>
                <c:ptCount val="1"/>
                <c:pt idx="0">
                  <c:v>Start Year</c:v>
                </c:pt>
              </c:strCache>
            </c:strRef>
          </c:tx>
          <c:spPr>
            <a:noFill/>
            <a:ln>
              <a:noFill/>
            </a:ln>
            <a:effectLst/>
          </c:spPr>
          <c:invertIfNegative val="0"/>
          <c:cat>
            <c:strRef>
              <c:f>'Sampling Year Graph '!$N$2:$N$40</c:f>
              <c:strCache>
                <c:ptCount val="39"/>
                <c:pt idx="0">
                  <c:v>Ecke et al., 2017 &amp; Khalil et al., 2019</c:v>
                </c:pt>
                <c:pt idx="1">
                  <c:v>Magnusson et al., 2015</c:v>
                </c:pt>
                <c:pt idx="2">
                  <c:v>Sipari et al., 2022</c:v>
                </c:pt>
                <c:pt idx="3">
                  <c:v>Olsson et al., 2003</c:v>
                </c:pt>
                <c:pt idx="4">
                  <c:v>Olsson et al., 2005</c:v>
                </c:pt>
                <c:pt idx="5">
                  <c:v>Heyman et al., 2009</c:v>
                </c:pt>
                <c:pt idx="6">
                  <c:v>Monchatre-Leroy et al., 2022</c:v>
                </c:pt>
                <c:pt idx="7">
                  <c:v>Rizzoli et al., 2015</c:v>
                </c:pt>
                <c:pt idx="8">
                  <c:v>Augot et al., 2008</c:v>
                </c:pt>
                <c:pt idx="9">
                  <c:v>Heroldová et al., 2010</c:v>
                </c:pt>
                <c:pt idx="10">
                  <c:v>Wang et al., 2023</c:v>
                </c:pt>
                <c:pt idx="11">
                  <c:v>Kallio et al., 2007</c:v>
                </c:pt>
                <c:pt idx="12">
                  <c:v>Kallio et al., 2010</c:v>
                </c:pt>
                <c:pt idx="13">
                  <c:v>Kallio et al., 2015</c:v>
                </c:pt>
                <c:pt idx="14">
                  <c:v>Voutilainen et al., 2016</c:v>
                </c:pt>
                <c:pt idx="15">
                  <c:v>Dobly et al., 2012</c:v>
                </c:pt>
                <c:pt idx="16">
                  <c:v>Khalil et al., 2017</c:v>
                </c:pt>
                <c:pt idx="17">
                  <c:v>Khalil, Ecke, Evander, &amp; Hörnfeldt, 2016</c:v>
                </c:pt>
                <c:pt idx="18">
                  <c:v>Deter, Chaval, et al., 2008</c:v>
                </c:pt>
                <c:pt idx="19">
                  <c:v>Linard et al., 2007</c:v>
                </c:pt>
                <c:pt idx="20">
                  <c:v>Tersago et al., 2011</c:v>
                </c:pt>
                <c:pt idx="21">
                  <c:v>Tersago et al., 2012</c:v>
                </c:pt>
                <c:pt idx="22">
                  <c:v>Vanwambeke et al., 2019</c:v>
                </c:pt>
                <c:pt idx="23">
                  <c:v>Augot et al., 2006</c:v>
                </c:pt>
                <c:pt idx="24">
                  <c:v>Tersago et al., 2008</c:v>
                </c:pt>
                <c:pt idx="25">
                  <c:v>Tersago et al., 2011</c:v>
                </c:pt>
                <c:pt idx="26">
                  <c:v>Papa et al., 2016</c:v>
                </c:pt>
                <c:pt idx="27">
                  <c:v>Voutilainen et al., 2012</c:v>
                </c:pt>
                <c:pt idx="28">
                  <c:v>Thoma et al., 2014</c:v>
                </c:pt>
                <c:pt idx="29">
                  <c:v>Salvador et al., 2011</c:v>
                </c:pt>
                <c:pt idx="30">
                  <c:v>Reil et al., 2017</c:v>
                </c:pt>
                <c:pt idx="31">
                  <c:v>Schmidt et al., 2021</c:v>
                </c:pt>
                <c:pt idx="32">
                  <c:v>Bujnoch et al., 2024</c:v>
                </c:pt>
                <c:pt idx="33">
                  <c:v>Bjedov et al., 2016</c:v>
                </c:pt>
                <c:pt idx="34">
                  <c:v>Madai et al., 2020</c:v>
                </c:pt>
                <c:pt idx="35">
                  <c:v>Khalil, Ecke, Evander, Magnusson, et al., 2016</c:v>
                </c:pt>
                <c:pt idx="36">
                  <c:v>Kurucz et al., 2018</c:v>
                </c:pt>
                <c:pt idx="37">
                  <c:v>Jeske et al., 2021</c:v>
                </c:pt>
                <c:pt idx="38">
                  <c:v>Binder et al., 2020</c:v>
                </c:pt>
              </c:strCache>
            </c:strRef>
          </c:cat>
          <c:val>
            <c:numRef>
              <c:f>'Sampling Year Graph '!$O$2:$O$40</c:f>
              <c:numCache>
                <c:formatCode>General</c:formatCode>
                <c:ptCount val="39"/>
                <c:pt idx="0">
                  <c:v>1971</c:v>
                </c:pt>
                <c:pt idx="1">
                  <c:v>1979</c:v>
                </c:pt>
                <c:pt idx="2">
                  <c:v>1980</c:v>
                </c:pt>
                <c:pt idx="3">
                  <c:v>1995</c:v>
                </c:pt>
                <c:pt idx="4">
                  <c:v>1998</c:v>
                </c:pt>
                <c:pt idx="5">
                  <c:v>1999</c:v>
                </c:pt>
                <c:pt idx="6">
                  <c:v>2000</c:v>
                </c:pt>
                <c:pt idx="7">
                  <c:v>2000</c:v>
                </c:pt>
                <c:pt idx="8">
                  <c:v>2000</c:v>
                </c:pt>
                <c:pt idx="9">
                  <c:v>2000</c:v>
                </c:pt>
                <c:pt idx="10">
                  <c:v>2001</c:v>
                </c:pt>
                <c:pt idx="11">
                  <c:v>2002</c:v>
                </c:pt>
                <c:pt idx="12">
                  <c:v>2002</c:v>
                </c:pt>
                <c:pt idx="13">
                  <c:v>2002</c:v>
                </c:pt>
                <c:pt idx="14">
                  <c:v>2002</c:v>
                </c:pt>
                <c:pt idx="15">
                  <c:v>2003</c:v>
                </c:pt>
                <c:pt idx="16">
                  <c:v>2003</c:v>
                </c:pt>
                <c:pt idx="17">
                  <c:v>2003</c:v>
                </c:pt>
                <c:pt idx="18">
                  <c:v>2004</c:v>
                </c:pt>
                <c:pt idx="19">
                  <c:v>2004</c:v>
                </c:pt>
                <c:pt idx="20">
                  <c:v>2004</c:v>
                </c:pt>
                <c:pt idx="21">
                  <c:v>2004</c:v>
                </c:pt>
                <c:pt idx="22">
                  <c:v>2004</c:v>
                </c:pt>
                <c:pt idx="23">
                  <c:v>2004</c:v>
                </c:pt>
                <c:pt idx="24">
                  <c:v>2004</c:v>
                </c:pt>
                <c:pt idx="25">
                  <c:v>2004</c:v>
                </c:pt>
                <c:pt idx="26">
                  <c:v>2006</c:v>
                </c:pt>
                <c:pt idx="27">
                  <c:v>2007</c:v>
                </c:pt>
                <c:pt idx="28">
                  <c:v>2008</c:v>
                </c:pt>
                <c:pt idx="29">
                  <c:v>2008</c:v>
                </c:pt>
                <c:pt idx="30">
                  <c:v>2010</c:v>
                </c:pt>
                <c:pt idx="31">
                  <c:v>2010</c:v>
                </c:pt>
                <c:pt idx="32">
                  <c:v>2010</c:v>
                </c:pt>
                <c:pt idx="33">
                  <c:v>2011</c:v>
                </c:pt>
                <c:pt idx="34">
                  <c:v>2011</c:v>
                </c:pt>
                <c:pt idx="35">
                  <c:v>2014</c:v>
                </c:pt>
                <c:pt idx="36">
                  <c:v>2016</c:v>
                </c:pt>
                <c:pt idx="37">
                  <c:v>2017</c:v>
                </c:pt>
                <c:pt idx="38">
                  <c:v>2019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5AC-4F0D-8C27-2BA570C415B3}"/>
            </c:ext>
          </c:extLst>
        </c:ser>
        <c:ser>
          <c:idx val="1"/>
          <c:order val="1"/>
          <c:tx>
            <c:strRef>
              <c:f>'Sampling Year Graph '!$P$1</c:f>
              <c:strCache>
                <c:ptCount val="1"/>
                <c:pt idx="0">
                  <c:v>Duration</c:v>
                </c:pt>
              </c:strCache>
            </c:strRef>
          </c:tx>
          <c:spPr>
            <a:solidFill>
              <a:srgbClr val="4F81BD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pattFill prst="dkUpDiag">
                <a:fgClr>
                  <a:srgbClr val="4F81BD"/>
                </a:fgClr>
                <a:bgClr>
                  <a:schemeClr val="bg1"/>
                </a:bgClr>
              </a:patt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E5AC-4F0D-8C27-2BA570C415B3}"/>
              </c:ext>
            </c:extLst>
          </c:dPt>
          <c:dPt>
            <c:idx val="1"/>
            <c:invertIfNegative val="0"/>
            <c:bubble3D val="0"/>
            <c:spPr>
              <a:pattFill prst="dkUpDiag">
                <a:fgClr>
                  <a:srgbClr val="4F81BD"/>
                </a:fgClr>
                <a:bgClr>
                  <a:prstClr val="white"/>
                </a:bgClr>
              </a:patt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4-E5AC-4F0D-8C27-2BA570C415B3}"/>
              </c:ext>
            </c:extLst>
          </c:dPt>
          <c:dPt>
            <c:idx val="2"/>
            <c:invertIfNegative val="0"/>
            <c:bubble3D val="0"/>
            <c:spPr>
              <a:pattFill prst="dkUpDiag">
                <a:fgClr>
                  <a:srgbClr val="4F81BD"/>
                </a:fgClr>
                <a:bgClr>
                  <a:prstClr val="white"/>
                </a:bgClr>
              </a:patt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6-E5AC-4F0D-8C27-2BA570C415B3}"/>
              </c:ext>
            </c:extLst>
          </c:dPt>
          <c:dPt>
            <c:idx val="3"/>
            <c:invertIfNegative val="0"/>
            <c:bubble3D val="0"/>
            <c:spPr>
              <a:pattFill prst="dkUpDiag">
                <a:fgClr>
                  <a:srgbClr val="4F81BD"/>
                </a:fgClr>
                <a:bgClr>
                  <a:prstClr val="white"/>
                </a:bgClr>
              </a:patt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8-E5AC-4F0D-8C27-2BA570C415B3}"/>
              </c:ext>
            </c:extLst>
          </c:dPt>
          <c:dPt>
            <c:idx val="4"/>
            <c:invertIfNegative val="0"/>
            <c:bubble3D val="0"/>
            <c:spPr>
              <a:pattFill prst="dkUpDiag">
                <a:fgClr>
                  <a:srgbClr val="4F81BD"/>
                </a:fgClr>
                <a:bgClr>
                  <a:prstClr val="white"/>
                </a:bgClr>
              </a:patt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A-E5AC-4F0D-8C27-2BA570C415B3}"/>
              </c:ext>
            </c:extLst>
          </c:dPt>
          <c:dPt>
            <c:idx val="7"/>
            <c:invertIfNegative val="0"/>
            <c:bubble3D val="0"/>
            <c:spPr>
              <a:solidFill>
                <a:srgbClr val="F7964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8102-49D3-8A12-E9149AF89AF0}"/>
              </c:ext>
            </c:extLst>
          </c:dPt>
          <c:dPt>
            <c:idx val="9"/>
            <c:invertIfNegative val="0"/>
            <c:bubble3D val="0"/>
            <c:spPr>
              <a:solidFill>
                <a:srgbClr val="9BBB59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8102-49D3-8A12-E9149AF89AF0}"/>
              </c:ext>
            </c:extLst>
          </c:dPt>
          <c:dPt>
            <c:idx val="10"/>
            <c:invertIfNegative val="0"/>
            <c:bubble3D val="0"/>
            <c:spPr>
              <a:pattFill prst="dkUpDiag">
                <a:fgClr>
                  <a:srgbClr val="4F81BD"/>
                </a:fgClr>
                <a:bgClr>
                  <a:prstClr val="white"/>
                </a:bgClr>
              </a:patt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0-E5AC-4F0D-8C27-2BA570C415B3}"/>
              </c:ext>
            </c:extLst>
          </c:dPt>
          <c:dPt>
            <c:idx val="11"/>
            <c:invertIfNegative val="0"/>
            <c:bubble3D val="0"/>
            <c:spPr>
              <a:pattFill prst="dkUpDiag">
                <a:fgClr>
                  <a:srgbClr val="4F81BD"/>
                </a:fgClr>
                <a:bgClr>
                  <a:prstClr val="white"/>
                </a:bgClr>
              </a:patt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2-E5AC-4F0D-8C27-2BA570C415B3}"/>
              </c:ext>
            </c:extLst>
          </c:dPt>
          <c:dPt>
            <c:idx val="12"/>
            <c:invertIfNegative val="0"/>
            <c:bubble3D val="0"/>
            <c:spPr>
              <a:pattFill prst="dkUpDiag">
                <a:fgClr>
                  <a:srgbClr val="4F81BD"/>
                </a:fgClr>
                <a:bgClr>
                  <a:prstClr val="white"/>
                </a:bgClr>
              </a:patt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4-E5AC-4F0D-8C27-2BA570C415B3}"/>
              </c:ext>
            </c:extLst>
          </c:dPt>
          <c:dPt>
            <c:idx val="13"/>
            <c:invertIfNegative val="0"/>
            <c:bubble3D val="0"/>
            <c:spPr>
              <a:pattFill prst="dkUpDiag">
                <a:fgClr>
                  <a:srgbClr val="4F81BD"/>
                </a:fgClr>
                <a:bgClr>
                  <a:prstClr val="white"/>
                </a:bgClr>
              </a:patt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6-E5AC-4F0D-8C27-2BA570C415B3}"/>
              </c:ext>
            </c:extLst>
          </c:dPt>
          <c:dPt>
            <c:idx val="14"/>
            <c:invertIfNegative val="0"/>
            <c:bubble3D val="0"/>
            <c:spPr>
              <a:pattFill prst="dkUpDiag">
                <a:fgClr>
                  <a:srgbClr val="4F81BD"/>
                </a:fgClr>
                <a:bgClr>
                  <a:prstClr val="white"/>
                </a:bgClr>
              </a:patt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8-E5AC-4F0D-8C27-2BA570C415B3}"/>
              </c:ext>
            </c:extLst>
          </c:dPt>
          <c:dPt>
            <c:idx val="15"/>
            <c:invertIfNegative val="0"/>
            <c:bubble3D val="0"/>
            <c:spPr>
              <a:solidFill>
                <a:srgbClr val="8C6D6D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A-E5AC-4F0D-8C27-2BA570C415B3}"/>
              </c:ext>
            </c:extLst>
          </c:dPt>
          <c:dPt>
            <c:idx val="16"/>
            <c:invertIfNegative val="0"/>
            <c:bubble3D val="0"/>
            <c:spPr>
              <a:pattFill prst="dkUpDiag">
                <a:fgClr>
                  <a:srgbClr val="4F81BD"/>
                </a:fgClr>
                <a:bgClr>
                  <a:prstClr val="white"/>
                </a:bgClr>
              </a:patt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C-E5AC-4F0D-8C27-2BA570C415B3}"/>
              </c:ext>
            </c:extLst>
          </c:dPt>
          <c:dPt>
            <c:idx val="17"/>
            <c:invertIfNegative val="0"/>
            <c:bubble3D val="0"/>
            <c:spPr>
              <a:pattFill prst="dkUpDiag">
                <a:fgClr>
                  <a:srgbClr val="599F8D"/>
                </a:fgClr>
                <a:bgClr>
                  <a:schemeClr val="bg1"/>
                </a:bgClr>
              </a:patt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E-E5AC-4F0D-8C27-2BA570C415B3}"/>
              </c:ext>
            </c:extLst>
          </c:dPt>
          <c:dPt>
            <c:idx val="24"/>
            <c:invertIfNegative val="0"/>
            <c:bubble3D val="0"/>
            <c:spPr>
              <a:pattFill prst="dkUpDiag">
                <a:fgClr>
                  <a:srgbClr val="4F81BD"/>
                </a:fgClr>
                <a:bgClr>
                  <a:prstClr val="white"/>
                </a:bgClr>
              </a:patt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F-8102-49D3-8A12-E9149AF89AF0}"/>
              </c:ext>
            </c:extLst>
          </c:dPt>
          <c:dPt>
            <c:idx val="27"/>
            <c:invertIfNegative val="0"/>
            <c:bubble3D val="0"/>
            <c:spPr>
              <a:solidFill>
                <a:srgbClr val="F7964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1-8102-49D3-8A12-E9149AF89AF0}"/>
              </c:ext>
            </c:extLst>
          </c:dPt>
          <c:dPt>
            <c:idx val="28"/>
            <c:invertIfNegative val="0"/>
            <c:bubble3D val="0"/>
            <c:spPr>
              <a:pattFill prst="dkUpDiag">
                <a:fgClr>
                  <a:srgbClr val="4F81BD"/>
                </a:fgClr>
                <a:bgClr>
                  <a:prstClr val="white"/>
                </a:bgClr>
              </a:patt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4-E5AC-4F0D-8C27-2BA570C415B3}"/>
              </c:ext>
            </c:extLst>
          </c:dPt>
          <c:dPt>
            <c:idx val="31"/>
            <c:invertIfNegative val="0"/>
            <c:bubble3D val="0"/>
            <c:spPr>
              <a:pattFill prst="dkUpDiag">
                <a:fgClr>
                  <a:srgbClr val="4F81BD"/>
                </a:fgClr>
                <a:bgClr>
                  <a:schemeClr val="bg1"/>
                </a:bgClr>
              </a:patt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5-8102-49D3-8A12-E9149AF89AF0}"/>
              </c:ext>
            </c:extLst>
          </c:dPt>
          <c:dPt>
            <c:idx val="32"/>
            <c:invertIfNegative val="0"/>
            <c:bubble3D val="0"/>
            <c:spPr>
              <a:solidFill>
                <a:srgbClr val="9BBB59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8-E5AC-4F0D-8C27-2BA570C415B3}"/>
              </c:ext>
            </c:extLst>
          </c:dPt>
          <c:dPt>
            <c:idx val="34"/>
            <c:invertIfNegative val="0"/>
            <c:bubble3D val="0"/>
            <c:spPr>
              <a:solidFill>
                <a:srgbClr val="8C6D6D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9-8102-49D3-8A12-E9149AF89AF0}"/>
              </c:ext>
            </c:extLst>
          </c:dPt>
          <c:dPt>
            <c:idx val="35"/>
            <c:invertIfNegative val="0"/>
            <c:bubble3D val="0"/>
            <c:spPr>
              <a:solidFill>
                <a:srgbClr val="8C6D6D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C-E5AC-4F0D-8C27-2BA570C415B3}"/>
              </c:ext>
            </c:extLst>
          </c:dPt>
          <c:dPt>
            <c:idx val="36"/>
            <c:invertIfNegative val="0"/>
            <c:bubble3D val="0"/>
            <c:spPr>
              <a:pattFill prst="dkUpDiag">
                <a:fgClr>
                  <a:srgbClr val="4F81BD"/>
                </a:fgClr>
                <a:bgClr>
                  <a:prstClr val="white"/>
                </a:bgClr>
              </a:patt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E-E5AC-4F0D-8C27-2BA570C415B3}"/>
              </c:ext>
            </c:extLst>
          </c:dPt>
          <c:dPt>
            <c:idx val="37"/>
            <c:invertIfNegative val="0"/>
            <c:bubble3D val="0"/>
            <c:spPr>
              <a:solidFill>
                <a:srgbClr val="8C6D6D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0-E5AC-4F0D-8C27-2BA570C415B3}"/>
              </c:ext>
            </c:extLst>
          </c:dPt>
          <c:dPt>
            <c:idx val="38"/>
            <c:invertIfNegative val="0"/>
            <c:bubble3D val="0"/>
            <c:spPr>
              <a:solidFill>
                <a:srgbClr val="599F8D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32-E5AC-4F0D-8C27-2BA570C415B3}"/>
              </c:ext>
            </c:extLst>
          </c:dPt>
          <c:cat>
            <c:strRef>
              <c:f>'Sampling Year Graph '!$N$2:$N$40</c:f>
              <c:strCache>
                <c:ptCount val="39"/>
                <c:pt idx="0">
                  <c:v>Ecke et al., 2017 &amp; Khalil et al., 2019</c:v>
                </c:pt>
                <c:pt idx="1">
                  <c:v>Magnusson et al., 2015</c:v>
                </c:pt>
                <c:pt idx="2">
                  <c:v>Sipari et al., 2022</c:v>
                </c:pt>
                <c:pt idx="3">
                  <c:v>Olsson et al., 2003</c:v>
                </c:pt>
                <c:pt idx="4">
                  <c:v>Olsson et al., 2005</c:v>
                </c:pt>
                <c:pt idx="5">
                  <c:v>Heyman et al., 2009</c:v>
                </c:pt>
                <c:pt idx="6">
                  <c:v>Monchatre-Leroy et al., 2022</c:v>
                </c:pt>
                <c:pt idx="7">
                  <c:v>Rizzoli et al., 2015</c:v>
                </c:pt>
                <c:pt idx="8">
                  <c:v>Augot et al., 2008</c:v>
                </c:pt>
                <c:pt idx="9">
                  <c:v>Heroldová et al., 2010</c:v>
                </c:pt>
                <c:pt idx="10">
                  <c:v>Wang et al., 2023</c:v>
                </c:pt>
                <c:pt idx="11">
                  <c:v>Kallio et al., 2007</c:v>
                </c:pt>
                <c:pt idx="12">
                  <c:v>Kallio et al., 2010</c:v>
                </c:pt>
                <c:pt idx="13">
                  <c:v>Kallio et al., 2015</c:v>
                </c:pt>
                <c:pt idx="14">
                  <c:v>Voutilainen et al., 2016</c:v>
                </c:pt>
                <c:pt idx="15">
                  <c:v>Dobly et al., 2012</c:v>
                </c:pt>
                <c:pt idx="16">
                  <c:v>Khalil et al., 2017</c:v>
                </c:pt>
                <c:pt idx="17">
                  <c:v>Khalil, Ecke, Evander, &amp; Hörnfeldt, 2016</c:v>
                </c:pt>
                <c:pt idx="18">
                  <c:v>Deter, Chaval, et al., 2008</c:v>
                </c:pt>
                <c:pt idx="19">
                  <c:v>Linard et al., 2007</c:v>
                </c:pt>
                <c:pt idx="20">
                  <c:v>Tersago et al., 2011</c:v>
                </c:pt>
                <c:pt idx="21">
                  <c:v>Tersago et al., 2012</c:v>
                </c:pt>
                <c:pt idx="22">
                  <c:v>Vanwambeke et al., 2019</c:v>
                </c:pt>
                <c:pt idx="23">
                  <c:v>Augot et al., 2006</c:v>
                </c:pt>
                <c:pt idx="24">
                  <c:v>Tersago et al., 2008</c:v>
                </c:pt>
                <c:pt idx="25">
                  <c:v>Tersago et al., 2011</c:v>
                </c:pt>
                <c:pt idx="26">
                  <c:v>Papa et al., 2016</c:v>
                </c:pt>
                <c:pt idx="27">
                  <c:v>Voutilainen et al., 2012</c:v>
                </c:pt>
                <c:pt idx="28">
                  <c:v>Thoma et al., 2014</c:v>
                </c:pt>
                <c:pt idx="29">
                  <c:v>Salvador et al., 2011</c:v>
                </c:pt>
                <c:pt idx="30">
                  <c:v>Reil et al., 2017</c:v>
                </c:pt>
                <c:pt idx="31">
                  <c:v>Schmidt et al., 2021</c:v>
                </c:pt>
                <c:pt idx="32">
                  <c:v>Bujnoch et al., 2024</c:v>
                </c:pt>
                <c:pt idx="33">
                  <c:v>Bjedov et al., 2016</c:v>
                </c:pt>
                <c:pt idx="34">
                  <c:v>Madai et al., 2020</c:v>
                </c:pt>
                <c:pt idx="35">
                  <c:v>Khalil, Ecke, Evander, Magnusson, et al., 2016</c:v>
                </c:pt>
                <c:pt idx="36">
                  <c:v>Kurucz et al., 2018</c:v>
                </c:pt>
                <c:pt idx="37">
                  <c:v>Jeske et al., 2021</c:v>
                </c:pt>
                <c:pt idx="38">
                  <c:v>Binder et al., 2020</c:v>
                </c:pt>
              </c:strCache>
            </c:strRef>
          </c:cat>
          <c:val>
            <c:numRef>
              <c:f>'Sampling Year Graph '!$P$2:$P$40</c:f>
              <c:numCache>
                <c:formatCode>General</c:formatCode>
                <c:ptCount val="39"/>
                <c:pt idx="0">
                  <c:v>42</c:v>
                </c:pt>
                <c:pt idx="1">
                  <c:v>4</c:v>
                </c:pt>
                <c:pt idx="2">
                  <c:v>33</c:v>
                </c:pt>
                <c:pt idx="3">
                  <c:v>4</c:v>
                </c:pt>
                <c:pt idx="4">
                  <c:v>1</c:v>
                </c:pt>
                <c:pt idx="5">
                  <c:v>6</c:v>
                </c:pt>
                <c:pt idx="6">
                  <c:v>9</c:v>
                </c:pt>
                <c:pt idx="7">
                  <c:v>12</c:v>
                </c:pt>
                <c:pt idx="8">
                  <c:v>2</c:v>
                </c:pt>
                <c:pt idx="9">
                  <c:v>4</c:v>
                </c:pt>
                <c:pt idx="10">
                  <c:v>4</c:v>
                </c:pt>
                <c:pt idx="11">
                  <c:v>2</c:v>
                </c:pt>
                <c:pt idx="12">
                  <c:v>6</c:v>
                </c:pt>
                <c:pt idx="13">
                  <c:v>8</c:v>
                </c:pt>
                <c:pt idx="14">
                  <c:v>7</c:v>
                </c:pt>
                <c:pt idx="15">
                  <c:v>2</c:v>
                </c:pt>
                <c:pt idx="16">
                  <c:v>10</c:v>
                </c:pt>
                <c:pt idx="17">
                  <c:v>10</c:v>
                </c:pt>
                <c:pt idx="18">
                  <c:v>2</c:v>
                </c:pt>
                <c:pt idx="19">
                  <c:v>1</c:v>
                </c:pt>
                <c:pt idx="20">
                  <c:v>2</c:v>
                </c:pt>
                <c:pt idx="21">
                  <c:v>2</c:v>
                </c:pt>
                <c:pt idx="22">
                  <c:v>6</c:v>
                </c:pt>
                <c:pt idx="23">
                  <c:v>1</c:v>
                </c:pt>
                <c:pt idx="24">
                  <c:v>1</c:v>
                </c:pt>
                <c:pt idx="25">
                  <c:v>1</c:v>
                </c:pt>
                <c:pt idx="26">
                  <c:v>1</c:v>
                </c:pt>
                <c:pt idx="27">
                  <c:v>3</c:v>
                </c:pt>
                <c:pt idx="28">
                  <c:v>2</c:v>
                </c:pt>
                <c:pt idx="29">
                  <c:v>1</c:v>
                </c:pt>
                <c:pt idx="30">
                  <c:v>3</c:v>
                </c:pt>
                <c:pt idx="31">
                  <c:v>3</c:v>
                </c:pt>
                <c:pt idx="32">
                  <c:v>3</c:v>
                </c:pt>
                <c:pt idx="33">
                  <c:v>3</c:v>
                </c:pt>
                <c:pt idx="34">
                  <c:v>3</c:v>
                </c:pt>
                <c:pt idx="35">
                  <c:v>1</c:v>
                </c:pt>
                <c:pt idx="36">
                  <c:v>1</c:v>
                </c:pt>
                <c:pt idx="37">
                  <c:v>1</c:v>
                </c:pt>
                <c:pt idx="38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5-E5AC-4F0D-8C27-2BA570C415B3}"/>
            </c:ext>
          </c:extLst>
        </c:ser>
        <c:ser>
          <c:idx val="2"/>
          <c:order val="2"/>
          <c:tx>
            <c:strRef>
              <c:f>'Sampling Year Graph '!$Q$1</c:f>
              <c:strCache>
                <c:ptCount val="1"/>
                <c:pt idx="0">
                  <c:v>Orthohantavirus strain</c:v>
                </c:pt>
              </c:strCache>
            </c:strRef>
          </c:tx>
          <c:spPr>
            <a:solidFill>
              <a:srgbClr val="DDA94C"/>
            </a:solidFill>
            <a:ln>
              <a:noFill/>
            </a:ln>
            <a:effectLst/>
          </c:spPr>
          <c:invertIfNegative val="0"/>
          <c:cat>
            <c:strRef>
              <c:f>'Sampling Year Graph '!$N$2:$N$40</c:f>
              <c:strCache>
                <c:ptCount val="39"/>
                <c:pt idx="0">
                  <c:v>Ecke et al., 2017 &amp; Khalil et al., 2019</c:v>
                </c:pt>
                <c:pt idx="1">
                  <c:v>Magnusson et al., 2015</c:v>
                </c:pt>
                <c:pt idx="2">
                  <c:v>Sipari et al., 2022</c:v>
                </c:pt>
                <c:pt idx="3">
                  <c:v>Olsson et al., 2003</c:v>
                </c:pt>
                <c:pt idx="4">
                  <c:v>Olsson et al., 2005</c:v>
                </c:pt>
                <c:pt idx="5">
                  <c:v>Heyman et al., 2009</c:v>
                </c:pt>
                <c:pt idx="6">
                  <c:v>Monchatre-Leroy et al., 2022</c:v>
                </c:pt>
                <c:pt idx="7">
                  <c:v>Rizzoli et al., 2015</c:v>
                </c:pt>
                <c:pt idx="8">
                  <c:v>Augot et al., 2008</c:v>
                </c:pt>
                <c:pt idx="9">
                  <c:v>Heroldová et al., 2010</c:v>
                </c:pt>
                <c:pt idx="10">
                  <c:v>Wang et al., 2023</c:v>
                </c:pt>
                <c:pt idx="11">
                  <c:v>Kallio et al., 2007</c:v>
                </c:pt>
                <c:pt idx="12">
                  <c:v>Kallio et al., 2010</c:v>
                </c:pt>
                <c:pt idx="13">
                  <c:v>Kallio et al., 2015</c:v>
                </c:pt>
                <c:pt idx="14">
                  <c:v>Voutilainen et al., 2016</c:v>
                </c:pt>
                <c:pt idx="15">
                  <c:v>Dobly et al., 2012</c:v>
                </c:pt>
                <c:pt idx="16">
                  <c:v>Khalil et al., 2017</c:v>
                </c:pt>
                <c:pt idx="17">
                  <c:v>Khalil, Ecke, Evander, &amp; Hörnfeldt, 2016</c:v>
                </c:pt>
                <c:pt idx="18">
                  <c:v>Deter, Chaval, et al., 2008</c:v>
                </c:pt>
                <c:pt idx="19">
                  <c:v>Linard et al., 2007</c:v>
                </c:pt>
                <c:pt idx="20">
                  <c:v>Tersago et al., 2011</c:v>
                </c:pt>
                <c:pt idx="21">
                  <c:v>Tersago et al., 2012</c:v>
                </c:pt>
                <c:pt idx="22">
                  <c:v>Vanwambeke et al., 2019</c:v>
                </c:pt>
                <c:pt idx="23">
                  <c:v>Augot et al., 2006</c:v>
                </c:pt>
                <c:pt idx="24">
                  <c:v>Tersago et al., 2008</c:v>
                </c:pt>
                <c:pt idx="25">
                  <c:v>Tersago et al., 2011</c:v>
                </c:pt>
                <c:pt idx="26">
                  <c:v>Papa et al., 2016</c:v>
                </c:pt>
                <c:pt idx="27">
                  <c:v>Voutilainen et al., 2012</c:v>
                </c:pt>
                <c:pt idx="28">
                  <c:v>Thoma et al., 2014</c:v>
                </c:pt>
                <c:pt idx="29">
                  <c:v>Salvador et al., 2011</c:v>
                </c:pt>
                <c:pt idx="30">
                  <c:v>Reil et al., 2017</c:v>
                </c:pt>
                <c:pt idx="31">
                  <c:v>Schmidt et al., 2021</c:v>
                </c:pt>
                <c:pt idx="32">
                  <c:v>Bujnoch et al., 2024</c:v>
                </c:pt>
                <c:pt idx="33">
                  <c:v>Bjedov et al., 2016</c:v>
                </c:pt>
                <c:pt idx="34">
                  <c:v>Madai et al., 2020</c:v>
                </c:pt>
                <c:pt idx="35">
                  <c:v>Khalil, Ecke, Evander, Magnusson, et al., 2016</c:v>
                </c:pt>
                <c:pt idx="36">
                  <c:v>Kurucz et al., 2018</c:v>
                </c:pt>
                <c:pt idx="37">
                  <c:v>Jeske et al., 2021</c:v>
                </c:pt>
                <c:pt idx="38">
                  <c:v>Binder et al., 2020</c:v>
                </c:pt>
              </c:strCache>
            </c:strRef>
          </c:cat>
          <c:val>
            <c:numRef>
              <c:f>'Sampling Year Graph '!$Q$2:$Q$40</c:f>
              <c:numCache>
                <c:formatCode>General</c:formatCode>
                <c:ptCount val="3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36-E5AC-4F0D-8C27-2BA570C415B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0093120"/>
        <c:axId val="30096960"/>
        <c:extLst>
          <c:ext xmlns:c15="http://schemas.microsoft.com/office/drawing/2012/chart" uri="{02D57815-91ED-43cb-92C2-25804820EDAC}">
            <c15:filteredBarSeries>
              <c15:ser>
                <c:idx val="3"/>
                <c:order val="3"/>
                <c:tx>
                  <c:strRef>
                    <c:extLst>
                      <c:ext uri="{02D57815-91ED-43cb-92C2-25804820EDAC}">
                        <c15:formulaRef>
                          <c15:sqref>'Sampling Year Graph '!$R$1</c15:sqref>
                        </c15:formulaRef>
                      </c:ext>
                    </c:extLst>
                    <c:strCache>
                      <c:ptCount val="1"/>
                      <c:pt idx="0">
                        <c:v>PUUV?</c:v>
                      </c:pt>
                    </c:strCache>
                  </c:strRef>
                </c:tx>
                <c:spPr>
                  <a:solidFill>
                    <a:schemeClr val="accent4"/>
                  </a:solidFill>
                  <a:ln>
                    <a:noFill/>
                  </a:ln>
                  <a:effectLst/>
                </c:spPr>
                <c:invertIfNegative val="0"/>
                <c:dPt>
                  <c:idx val="31"/>
                  <c:invertIfNegative val="0"/>
                  <c:bubble3D val="0"/>
                  <c:spPr>
                    <a:noFill/>
                    <a:ln>
                      <a:noFill/>
                    </a:ln>
                    <a:effectLst/>
                  </c:spPr>
                  <c:extLst>
                    <c:ext xmlns:c16="http://schemas.microsoft.com/office/drawing/2014/chart" uri="{C3380CC4-5D6E-409C-BE32-E72D297353CC}">
                      <c16:uniqueId val="{00000033-8102-49D3-8A12-E9149AF89AF0}"/>
                    </c:ext>
                  </c:extLst>
                </c:dPt>
                <c:cat>
                  <c:strRef>
                    <c:extLst>
                      <c:ext uri="{02D57815-91ED-43cb-92C2-25804820EDAC}">
                        <c15:formulaRef>
                          <c15:sqref>'Sampling Year Graph '!$N$2:$N$40</c15:sqref>
                        </c15:formulaRef>
                      </c:ext>
                    </c:extLst>
                    <c:strCache>
                      <c:ptCount val="39"/>
                      <c:pt idx="0">
                        <c:v>Ecke et al., 2017 &amp; Khalil et al., 2019</c:v>
                      </c:pt>
                      <c:pt idx="1">
                        <c:v>Magnusson et al., 2015</c:v>
                      </c:pt>
                      <c:pt idx="2">
                        <c:v>Sipari et al., 2022</c:v>
                      </c:pt>
                      <c:pt idx="3">
                        <c:v>Olsson et al., 2003</c:v>
                      </c:pt>
                      <c:pt idx="4">
                        <c:v>Olsson et al., 2005</c:v>
                      </c:pt>
                      <c:pt idx="5">
                        <c:v>Heyman et al., 2009</c:v>
                      </c:pt>
                      <c:pt idx="6">
                        <c:v>Monchatre-Leroy et al., 2022</c:v>
                      </c:pt>
                      <c:pt idx="7">
                        <c:v>Rizzoli et al., 2015</c:v>
                      </c:pt>
                      <c:pt idx="8">
                        <c:v>Augot et al., 2008</c:v>
                      </c:pt>
                      <c:pt idx="9">
                        <c:v>Heroldová et al., 2010</c:v>
                      </c:pt>
                      <c:pt idx="10">
                        <c:v>Wang et al., 2023</c:v>
                      </c:pt>
                      <c:pt idx="11">
                        <c:v>Kallio et al., 2007</c:v>
                      </c:pt>
                      <c:pt idx="12">
                        <c:v>Kallio et al., 2010</c:v>
                      </c:pt>
                      <c:pt idx="13">
                        <c:v>Kallio et al., 2015</c:v>
                      </c:pt>
                      <c:pt idx="14">
                        <c:v>Voutilainen et al., 2016</c:v>
                      </c:pt>
                      <c:pt idx="15">
                        <c:v>Dobly et al., 2012</c:v>
                      </c:pt>
                      <c:pt idx="16">
                        <c:v>Khalil et al., 2017</c:v>
                      </c:pt>
                      <c:pt idx="17">
                        <c:v>Khalil, Ecke, Evander, &amp; Hörnfeldt, 2016</c:v>
                      </c:pt>
                      <c:pt idx="18">
                        <c:v>Deter, Chaval, et al., 2008</c:v>
                      </c:pt>
                      <c:pt idx="19">
                        <c:v>Linard et al., 2007</c:v>
                      </c:pt>
                      <c:pt idx="20">
                        <c:v>Tersago et al., 2011</c:v>
                      </c:pt>
                      <c:pt idx="21">
                        <c:v>Tersago et al., 2012</c:v>
                      </c:pt>
                      <c:pt idx="22">
                        <c:v>Vanwambeke et al., 2019</c:v>
                      </c:pt>
                      <c:pt idx="23">
                        <c:v>Augot et al., 2006</c:v>
                      </c:pt>
                      <c:pt idx="24">
                        <c:v>Tersago et al., 2008</c:v>
                      </c:pt>
                      <c:pt idx="25">
                        <c:v>Tersago et al., 2011</c:v>
                      </c:pt>
                      <c:pt idx="26">
                        <c:v>Papa et al., 2016</c:v>
                      </c:pt>
                      <c:pt idx="27">
                        <c:v>Voutilainen et al., 2012</c:v>
                      </c:pt>
                      <c:pt idx="28">
                        <c:v>Thoma et al., 2014</c:v>
                      </c:pt>
                      <c:pt idx="29">
                        <c:v>Salvador et al., 2011</c:v>
                      </c:pt>
                      <c:pt idx="30">
                        <c:v>Reil et al., 2017</c:v>
                      </c:pt>
                      <c:pt idx="31">
                        <c:v>Schmidt et al., 2021</c:v>
                      </c:pt>
                      <c:pt idx="32">
                        <c:v>Bujnoch et al., 2024</c:v>
                      </c:pt>
                      <c:pt idx="33">
                        <c:v>Bjedov et al., 2016</c:v>
                      </c:pt>
                      <c:pt idx="34">
                        <c:v>Madai et al., 2020</c:v>
                      </c:pt>
                      <c:pt idx="35">
                        <c:v>Khalil, Ecke, Evander, Magnusson, et al., 2016</c:v>
                      </c:pt>
                      <c:pt idx="36">
                        <c:v>Kurucz et al., 2018</c:v>
                      </c:pt>
                      <c:pt idx="37">
                        <c:v>Jeske et al., 2021</c:v>
                      </c:pt>
                      <c:pt idx="38">
                        <c:v>Binder et al., 2020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'Sampling Year Graph '!$R$2:$R$40</c15:sqref>
                        </c15:formulaRef>
                      </c:ext>
                    </c:extLst>
                    <c:numCache>
                      <c:formatCode>General</c:formatCode>
                      <c:ptCount val="39"/>
                      <c:pt idx="0">
                        <c:v>1</c:v>
                      </c:pt>
                      <c:pt idx="1">
                        <c:v>1</c:v>
                      </c:pt>
                      <c:pt idx="2">
                        <c:v>1</c:v>
                      </c:pt>
                      <c:pt idx="3">
                        <c:v>1</c:v>
                      </c:pt>
                      <c:pt idx="4">
                        <c:v>1</c:v>
                      </c:pt>
                      <c:pt idx="5">
                        <c:v>1</c:v>
                      </c:pt>
                      <c:pt idx="6">
                        <c:v>1</c:v>
                      </c:pt>
                      <c:pt idx="8">
                        <c:v>1</c:v>
                      </c:pt>
                      <c:pt idx="10">
                        <c:v>1</c:v>
                      </c:pt>
                      <c:pt idx="11">
                        <c:v>1</c:v>
                      </c:pt>
                      <c:pt idx="12">
                        <c:v>1</c:v>
                      </c:pt>
                      <c:pt idx="13">
                        <c:v>1</c:v>
                      </c:pt>
                      <c:pt idx="14">
                        <c:v>1</c:v>
                      </c:pt>
                      <c:pt idx="15">
                        <c:v>1</c:v>
                      </c:pt>
                      <c:pt idx="16">
                        <c:v>1</c:v>
                      </c:pt>
                      <c:pt idx="17">
                        <c:v>1</c:v>
                      </c:pt>
                      <c:pt idx="18">
                        <c:v>1</c:v>
                      </c:pt>
                      <c:pt idx="19">
                        <c:v>1</c:v>
                      </c:pt>
                      <c:pt idx="20">
                        <c:v>1</c:v>
                      </c:pt>
                      <c:pt idx="21">
                        <c:v>1</c:v>
                      </c:pt>
                      <c:pt idx="22">
                        <c:v>1</c:v>
                      </c:pt>
                      <c:pt idx="23">
                        <c:v>1</c:v>
                      </c:pt>
                      <c:pt idx="24">
                        <c:v>1</c:v>
                      </c:pt>
                      <c:pt idx="25">
                        <c:v>1</c:v>
                      </c:pt>
                      <c:pt idx="27">
                        <c:v>1</c:v>
                      </c:pt>
                      <c:pt idx="28">
                        <c:v>1</c:v>
                      </c:pt>
                      <c:pt idx="29">
                        <c:v>1</c:v>
                      </c:pt>
                      <c:pt idx="30">
                        <c:v>1</c:v>
                      </c:pt>
                      <c:pt idx="32">
                        <c:v>1</c:v>
                      </c:pt>
                      <c:pt idx="33">
                        <c:v>1</c:v>
                      </c:pt>
                      <c:pt idx="34">
                        <c:v>1</c:v>
                      </c:pt>
                      <c:pt idx="35">
                        <c:v>1</c:v>
                      </c:pt>
                      <c:pt idx="36">
                        <c:v>1</c:v>
                      </c:pt>
                      <c:pt idx="37">
                        <c:v>1</c:v>
                      </c:pt>
                      <c:pt idx="38">
                        <c:v>1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39-E5AC-4F0D-8C27-2BA570C415B3}"/>
                  </c:ext>
                </c:extLst>
              </c15:ser>
            </c15:filteredBarSeries>
          </c:ext>
        </c:extLst>
      </c:barChart>
      <c:catAx>
        <c:axId val="300931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alpha val="2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bg1"/>
            </a:solidFill>
            <a:prstDash val="sysDot"/>
            <a:round/>
            <a:headEnd w="sm" len="sm"/>
            <a:tailEnd type="none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30096960"/>
        <c:crosses val="autoZero"/>
        <c:auto val="1"/>
        <c:lblAlgn val="ctr"/>
        <c:lblOffset val="100"/>
        <c:noMultiLvlLbl val="0"/>
      </c:catAx>
      <c:valAx>
        <c:axId val="30096960"/>
        <c:scaling>
          <c:orientation val="minMax"/>
          <c:max val="2020"/>
          <c:min val="1970"/>
        </c:scaling>
        <c:delete val="0"/>
        <c:axPos val="b"/>
        <c:majorGridlines>
          <c:spPr>
            <a:ln w="9525" cap="sq" cmpd="sng" algn="ctr">
              <a:solidFill>
                <a:schemeClr val="tx1">
                  <a:alpha val="2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30093120"/>
        <c:crosses val="autoZero"/>
        <c:crossBetween val="between"/>
      </c:valAx>
      <c:spPr>
        <a:noFill/>
        <a:ln>
          <a:noFill/>
          <a:prstDash val="solid"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0" cap="flat" cmpd="sng" algn="ctr">
      <a:noFill/>
      <a:round/>
    </a:ln>
    <a:effectLst/>
  </c:spPr>
  <c:txPr>
    <a:bodyPr/>
    <a:lstStyle/>
    <a:p>
      <a:pPr>
        <a:defRPr sz="1000">
          <a:solidFill>
            <a:sysClr val="windowText" lastClr="000000"/>
          </a:solidFill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E13BF1-4AA5-4421-8910-A59F699CD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Fabbri</dc:creator>
  <cp:keywords/>
  <dc:description/>
  <cp:lastModifiedBy>Daniele Fabbri</cp:lastModifiedBy>
  <cp:revision>3</cp:revision>
  <dcterms:created xsi:type="dcterms:W3CDTF">2025-02-01T10:41:00Z</dcterms:created>
  <dcterms:modified xsi:type="dcterms:W3CDTF">2025-02-01T10:57:00Z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038ade978aa99ff5f475b75d1026a82c482d0d7ea3faae6f0d0304a20c06c2c3</vt:lpwstr>
  </property>
</Properties>
</file>