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50405" w14:textId="77777777" w:rsidR="00A96F8D" w:rsidRPr="00A96F8D" w:rsidRDefault="00A96F8D" w:rsidP="00A96F8D">
      <w:pPr>
        <w:spacing w:line="480" w:lineRule="auto"/>
        <w:jc w:val="both"/>
        <w:rPr>
          <w:rFonts w:ascii="Arial" w:eastAsia="Calibri" w:hAnsi="Arial" w:cs="Arial"/>
          <w:b/>
          <w:bCs/>
        </w:rPr>
      </w:pPr>
    </w:p>
    <w:p w14:paraId="04A8294F" w14:textId="77777777" w:rsidR="00A96F8D" w:rsidRPr="00A96F8D" w:rsidRDefault="00A96F8D" w:rsidP="00A96F8D">
      <w:pPr>
        <w:spacing w:line="480" w:lineRule="auto"/>
        <w:jc w:val="both"/>
        <w:rPr>
          <w:rFonts w:ascii="Arial" w:eastAsia="Calibri" w:hAnsi="Arial" w:cs="Arial"/>
          <w:b/>
          <w:bCs/>
          <w:sz w:val="24"/>
          <w:szCs w:val="24"/>
        </w:rPr>
      </w:pPr>
      <w:r w:rsidRPr="00A96F8D">
        <w:rPr>
          <w:rFonts w:ascii="Arial" w:eastAsia="Calibri" w:hAnsi="Arial" w:cs="Arial"/>
          <w:b/>
          <w:bCs/>
          <w:sz w:val="24"/>
          <w:szCs w:val="24"/>
        </w:rPr>
        <w:t>Detailed methods</w:t>
      </w:r>
    </w:p>
    <w:p w14:paraId="424567FB" w14:textId="77777777" w:rsidR="00A96F8D" w:rsidRPr="00A96F8D" w:rsidRDefault="00A96F8D" w:rsidP="00A96F8D">
      <w:pPr>
        <w:spacing w:line="480" w:lineRule="auto"/>
        <w:jc w:val="both"/>
        <w:rPr>
          <w:rFonts w:ascii="Arial" w:eastAsia="Calibri" w:hAnsi="Arial" w:cs="Arial"/>
          <w:i/>
          <w:iCs/>
        </w:rPr>
      </w:pPr>
      <w:r w:rsidRPr="00A96F8D">
        <w:rPr>
          <w:rFonts w:ascii="Arial" w:eastAsia="Calibri" w:hAnsi="Arial" w:cs="Arial"/>
          <w:i/>
          <w:iCs/>
        </w:rPr>
        <w:t>Amplicon production</w:t>
      </w:r>
    </w:p>
    <w:p w14:paraId="7BB2EF6E" w14:textId="3998A299"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Previously described primers </w:t>
      </w:r>
      <w:r w:rsidRPr="00A96F8D">
        <w:rPr>
          <w:rFonts w:ascii="Arial" w:eastAsia="Calibri" w:hAnsi="Arial" w:cs="Arial"/>
        </w:rPr>
        <w:fldChar w:fldCharType="begin" w:fldLock="1"/>
      </w:r>
      <w:r>
        <w:rPr>
          <w:rFonts w:ascii="Arial" w:eastAsia="Calibri" w:hAnsi="Arial" w:cs="Arial"/>
        </w:rPr>
        <w:instrText>ADDIN CSL_CITATION {"citationItems":[{"id":"ITEM-1","itemData":{"DOI":"10.1073/pnas.1000080107","ISSN":"0027-8424","abstract":"The ongoing revolution in high-throughput sequencing continues to democratize the ability of small groups of investigators to map the microbial component of the biosphere. In particular, the coevolution of new sequencing platforms and new software tools allows data acquisition and analysis on an unprecedented scale. Here we report the next stage in this coevolutionary arms race, using the Illumina GAIIx platform to sequence a diverse array of 25 environmental samples and three known \"mock communities\" at a depth averaging 3.1 million reads per sample. We demonstrate excellent consistency in taxonomic recovery and recapture diversity patterns that were previously reported on the basis of metaanalysis of many studies from the literature (notably, the saline/nonsaline split in environmental samples and the split between host-associated and free-living communities). We also demonstrate that 2,000 Illumina single-end reads are sufficient to recapture the same relationships among samples that we observe with the full dataset. The results thus open up the possibility of conducting large-scale studies analyzing thousands of samples simultaneously to survey microbial communities at an unprecedented spatial and temporal resolution.","author":[{"dropping-particle":"","family":"Caporaso","given":"J Gregory","non-dropping-particle":"","parse-names":false,"suffix":""},{"dropping-particle":"","family":"Lauber","given":"Christian L","non-dropping-particle":"","parse-names":false,"suffix":""},{"dropping-particle":"","family":"Walters","given":"William A","non-dropping-particle":"","parse-names":false,"suffix":""},{"dropping-particle":"","family":"Berg-Lyons","given":"Donna","non-dropping-particle":"","parse-names":false,"suffix":""},{"dropping-particle":"","family":"Lozupone","given":"Catherine A","non-dropping-particle":"","parse-names":false,"suffix":""},{"dropping-particle":"","family":"Turnbaugh","given":"Peter J","non-dropping-particle":"","parse-names":false,"suffix":""},{"dropping-particle":"","family":"Fierer","given":"Noah","non-dropping-particle":"","parse-names":false,"suffix":""},{"dropping-particle":"","family":"Knight","given":"Rob","non-dropping-particle":"","parse-names":false,"suffix":""}],"container-title":"Proceedings of the National Academy of Sciences","id":"ITEM-1","issue":"Supplement_1","issued":{"date-parts":[["2011"]]},"page":"4516-4522","title":"Global patterns of 16S rRNA diversity at a depth of millions of sequences per sample","type":"article-journal","volume":"108"},"uris":["http://www.mendeley.com/documents/?uuid=fb67dd18-715d-32ee-be71-bbd5a7cfaba6"]}],"mendeley":{"formattedCitation":"[1]","plainTextFormattedCitation":"[1]","previouslyFormattedCitation":"&lt;sup&gt;1&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[1]</w:t>
      </w:r>
      <w:r w:rsidRPr="00A96F8D">
        <w:rPr>
          <w:rFonts w:ascii="Arial" w:eastAsia="Calibri" w:hAnsi="Arial" w:cs="Arial"/>
        </w:rPr>
        <w:fldChar w:fldCharType="end"/>
      </w:r>
      <w:r w:rsidRPr="00A96F8D">
        <w:rPr>
          <w:rFonts w:ascii="Arial" w:eastAsia="Calibri" w:hAnsi="Arial" w:cs="Arial"/>
        </w:rPr>
        <w:t xml:space="preserve"> were used to amplify the hypervariable V4 region of bacterial 16S rRNA. Primers:</w:t>
      </w:r>
    </w:p>
    <w:p w14:paraId="1A985AB4"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F: 5'ACACTCTTTCCCTACACGACGCTCTTCCGATCTNNNNNGTGCCAGCMGCCGCGGTAA3'</w:t>
      </w:r>
    </w:p>
    <w:p w14:paraId="61DC7C16"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R: 5'GTGACTGGAGTTCAGACGTGTGCTCTTCCGATCTGGACTACHVGGGTWTCTAAT3'</w:t>
      </w:r>
    </w:p>
    <w:p w14:paraId="629149E2" w14:textId="77777777" w:rsidR="00A96F8D" w:rsidRPr="00A96F8D" w:rsidRDefault="00A96F8D" w:rsidP="00A96F8D">
      <w:pPr>
        <w:spacing w:line="480" w:lineRule="auto"/>
        <w:jc w:val="both"/>
        <w:rPr>
          <w:rFonts w:ascii="Arial" w:eastAsia="Calibri" w:hAnsi="Arial" w:cs="Arial"/>
        </w:rPr>
      </w:pPr>
    </w:p>
    <w:p w14:paraId="7ACC4089" w14:textId="77777777" w:rsidR="00A96F8D" w:rsidRPr="00A96F8D" w:rsidRDefault="00A96F8D" w:rsidP="00A96F8D">
      <w:pPr>
        <w:spacing w:line="480" w:lineRule="auto"/>
        <w:jc w:val="both"/>
        <w:rPr>
          <w:rFonts w:ascii="Arial" w:eastAsia="Calibri" w:hAnsi="Arial" w:cs="Arial"/>
        </w:rPr>
      </w:pPr>
      <w:proofErr w:type="spellStart"/>
      <w:r w:rsidRPr="00A96F8D">
        <w:rPr>
          <w:rFonts w:ascii="Arial" w:eastAsia="Calibri" w:hAnsi="Arial" w:cs="Arial"/>
        </w:rPr>
        <w:t>NEBNext</w:t>
      </w:r>
      <w:proofErr w:type="spellEnd"/>
      <w:r w:rsidRPr="00A96F8D">
        <w:rPr>
          <w:rFonts w:ascii="Arial" w:eastAsia="Calibri" w:hAnsi="Arial" w:cs="Arial"/>
          <w:vertAlign w:val="superscript"/>
        </w:rPr>
        <w:t>®</w:t>
      </w:r>
      <w:r w:rsidRPr="00A96F8D">
        <w:rPr>
          <w:rFonts w:ascii="Arial" w:eastAsia="Calibri" w:hAnsi="Arial" w:cs="Arial"/>
        </w:rPr>
        <w:t xml:space="preserve"> High-Fidelity 2X PCR Master Mix (New England Biolabs, France) was used in both PCRs. 5µl of DNA entered a first round PCR with conditions: denaturation for 10 seconds at 98°C, annealing for 30 seconds at 50°C, extension for 30 seconds at 70°C for 20 cycles and finally a 10 minute extension at 72°C. Samples were then purified with </w:t>
      </w:r>
      <w:proofErr w:type="spellStart"/>
      <w:r w:rsidRPr="00A96F8D">
        <w:rPr>
          <w:rFonts w:ascii="Arial" w:eastAsia="Calibri" w:hAnsi="Arial" w:cs="Arial"/>
        </w:rPr>
        <w:t>AMPure</w:t>
      </w:r>
      <w:proofErr w:type="spellEnd"/>
      <w:r w:rsidRPr="00A96F8D">
        <w:rPr>
          <w:rFonts w:ascii="Arial" w:eastAsia="Calibri" w:hAnsi="Arial" w:cs="Arial"/>
        </w:rPr>
        <w:t xml:space="preserve"> SPRI Beads before entering the second PCR with barcodes incorporated for sample identification. The barcode sequences are the same as those described in the Illumina </w:t>
      </w:r>
      <w:proofErr w:type="spellStart"/>
      <w:r w:rsidRPr="00A96F8D">
        <w:rPr>
          <w:rFonts w:ascii="Arial" w:eastAsia="Calibri" w:hAnsi="Arial" w:cs="Arial"/>
        </w:rPr>
        <w:t>Nextera</w:t>
      </w:r>
      <w:proofErr w:type="spellEnd"/>
      <w:r w:rsidRPr="00A96F8D">
        <w:rPr>
          <w:rFonts w:ascii="Arial" w:eastAsia="Calibri" w:hAnsi="Arial" w:cs="Arial"/>
        </w:rPr>
        <w:t xml:space="preserve"> protocol. The general sequences of the forward and reverse primers are illustrated below. The 8 bp barcode is underlined.</w:t>
      </w:r>
    </w:p>
    <w:p w14:paraId="08D4B505" w14:textId="77777777" w:rsidR="00A96F8D" w:rsidRPr="00A96F8D" w:rsidRDefault="00A96F8D" w:rsidP="00A96F8D">
      <w:pPr>
        <w:spacing w:line="480" w:lineRule="auto"/>
        <w:jc w:val="both"/>
        <w:rPr>
          <w:rFonts w:ascii="Arial" w:eastAsia="Calibri" w:hAnsi="Arial" w:cs="Arial"/>
        </w:rPr>
      </w:pPr>
    </w:p>
    <w:p w14:paraId="63312DFF"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N501 f:</w:t>
      </w:r>
    </w:p>
    <w:p w14:paraId="70BE7DC7"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5'AATGATACGGCGACCACCGAGATCTACAC</w:t>
      </w:r>
      <w:r w:rsidRPr="00A96F8D">
        <w:rPr>
          <w:rFonts w:ascii="Arial" w:eastAsia="Calibri" w:hAnsi="Arial" w:cs="Arial"/>
          <w:u w:val="single"/>
        </w:rPr>
        <w:t>TAGATCGC</w:t>
      </w:r>
      <w:r w:rsidRPr="00A96F8D">
        <w:rPr>
          <w:rFonts w:ascii="Arial" w:eastAsia="Calibri" w:hAnsi="Arial" w:cs="Arial"/>
        </w:rPr>
        <w:t>ACACTCTTTCCCTACACGACGCTC3'</w:t>
      </w:r>
    </w:p>
    <w:p w14:paraId="56EC3BF2"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N701 r:</w:t>
      </w:r>
    </w:p>
    <w:p w14:paraId="3FC4881C"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lastRenderedPageBreak/>
        <w:t>5'CAAGCAGAAGACGGCATACGAGAT</w:t>
      </w:r>
      <w:r w:rsidRPr="00A96F8D">
        <w:rPr>
          <w:rFonts w:ascii="Arial" w:eastAsia="Calibri" w:hAnsi="Arial" w:cs="Arial"/>
          <w:u w:val="single"/>
        </w:rPr>
        <w:t>TCGCCTTA</w:t>
      </w:r>
      <w:r w:rsidRPr="00A96F8D">
        <w:rPr>
          <w:rFonts w:ascii="Arial" w:eastAsia="Calibri" w:hAnsi="Arial" w:cs="Arial"/>
        </w:rPr>
        <w:t>GTGACTGGAGTTCAGACGTGTGCTC3'</w:t>
      </w:r>
    </w:p>
    <w:p w14:paraId="71A661CD" w14:textId="77777777" w:rsidR="00A96F8D" w:rsidRPr="00A96F8D" w:rsidRDefault="00A96F8D" w:rsidP="00A96F8D">
      <w:pPr>
        <w:spacing w:line="480" w:lineRule="auto"/>
        <w:jc w:val="both"/>
        <w:rPr>
          <w:rFonts w:ascii="Arial" w:eastAsia="Calibri" w:hAnsi="Arial" w:cs="Arial"/>
        </w:rPr>
      </w:pPr>
    </w:p>
    <w:p w14:paraId="1702E831"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15 cycles of second round PCR were performed using the same conditions as above for a total of 35 cycles. Samples were purified again with </w:t>
      </w:r>
      <w:proofErr w:type="spellStart"/>
      <w:r w:rsidRPr="00A96F8D">
        <w:rPr>
          <w:rFonts w:ascii="Arial" w:eastAsia="Calibri" w:hAnsi="Arial" w:cs="Arial"/>
        </w:rPr>
        <w:t>AMPure</w:t>
      </w:r>
      <w:proofErr w:type="spellEnd"/>
      <w:r w:rsidRPr="00A96F8D">
        <w:rPr>
          <w:rFonts w:ascii="Arial" w:eastAsia="Calibri" w:hAnsi="Arial" w:cs="Arial"/>
        </w:rPr>
        <w:t xml:space="preserve"> SPRI Beads before being quantified using Qubit and assessed using the Fragment Analyzer. Successfully generated amplicon libraries were taken forward.</w:t>
      </w:r>
    </w:p>
    <w:p w14:paraId="659256DF" w14:textId="77777777" w:rsidR="00A96F8D" w:rsidRPr="00A96F8D" w:rsidRDefault="00A96F8D" w:rsidP="00A96F8D">
      <w:pPr>
        <w:spacing w:line="480" w:lineRule="auto"/>
        <w:jc w:val="both"/>
        <w:rPr>
          <w:rFonts w:ascii="Arial" w:eastAsia="Calibri" w:hAnsi="Arial" w:cs="Arial"/>
        </w:rPr>
      </w:pPr>
    </w:p>
    <w:p w14:paraId="3A1B9642"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Final libraries were pooled in equimolar amounts using the Qubit and Fragment Analyzer data and size selected on the Pippin prep using a size range of 300-600bps. The quantity and quality of each pool was assessed by Bioanalyzer and subsequently by qPCR using the Illumina Library Quantification Kit from Kapa on a Roche Light Cycler LC480II according to the manufacturer's instructions. The 16S rRNA gene libraries were sequenced on an Illumina </w:t>
      </w:r>
      <w:proofErr w:type="spellStart"/>
      <w:r w:rsidRPr="00A96F8D">
        <w:rPr>
          <w:rFonts w:ascii="Arial" w:eastAsia="Calibri" w:hAnsi="Arial" w:cs="Arial"/>
        </w:rPr>
        <w:t>MiSeq</w:t>
      </w:r>
      <w:proofErr w:type="spellEnd"/>
      <w:r w:rsidRPr="00A96F8D">
        <w:rPr>
          <w:rFonts w:ascii="Arial" w:eastAsia="Calibri" w:hAnsi="Arial" w:cs="Arial"/>
        </w:rPr>
        <w:t xml:space="preserve"> platform with version 2 chemistry using sequencing by synthesis technology to generate 2 x 250 bp paired end reads. To help balance the complexity of the amplicon library 15% </w:t>
      </w:r>
      <w:proofErr w:type="spellStart"/>
      <w:r w:rsidRPr="00A96F8D">
        <w:rPr>
          <w:rFonts w:ascii="Arial" w:eastAsia="Calibri" w:hAnsi="Arial" w:cs="Arial"/>
        </w:rPr>
        <w:t>PhiX</w:t>
      </w:r>
      <w:proofErr w:type="spellEnd"/>
      <w:r w:rsidRPr="00A96F8D">
        <w:rPr>
          <w:rFonts w:ascii="Arial" w:eastAsia="Calibri" w:hAnsi="Arial" w:cs="Arial"/>
        </w:rPr>
        <w:t xml:space="preserve"> was spiked in.</w:t>
      </w:r>
    </w:p>
    <w:p w14:paraId="4F60355F" w14:textId="77777777" w:rsidR="00A96F8D" w:rsidRPr="00A96F8D" w:rsidRDefault="00A96F8D" w:rsidP="00A96F8D">
      <w:pPr>
        <w:spacing w:line="480" w:lineRule="auto"/>
        <w:jc w:val="both"/>
        <w:rPr>
          <w:rFonts w:ascii="Arial" w:eastAsia="Calibri" w:hAnsi="Arial" w:cs="Arial"/>
        </w:rPr>
      </w:pPr>
    </w:p>
    <w:p w14:paraId="38EC5DB8" w14:textId="77777777" w:rsidR="00A96F8D" w:rsidRPr="00A96F8D" w:rsidRDefault="00A96F8D" w:rsidP="00A96F8D">
      <w:pPr>
        <w:spacing w:line="480" w:lineRule="auto"/>
        <w:jc w:val="both"/>
        <w:rPr>
          <w:rFonts w:ascii="Arial" w:eastAsia="Calibri" w:hAnsi="Arial" w:cs="Arial"/>
          <w:i/>
          <w:iCs/>
        </w:rPr>
      </w:pPr>
      <w:r w:rsidRPr="00A96F8D">
        <w:rPr>
          <w:rFonts w:ascii="Arial" w:eastAsia="Calibri" w:hAnsi="Arial" w:cs="Arial"/>
          <w:i/>
          <w:iCs/>
        </w:rPr>
        <w:t xml:space="preserve">Bioinformatic analysis </w:t>
      </w:r>
    </w:p>
    <w:p w14:paraId="5ED43E5F" w14:textId="3E03D9C1"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Base-calling and de-multiplexing of indexed reads was performed by CASAVA version 1.8.2 (Illumina) to produce 195 samples sequence files, in FASTQ format. The raw FASTQ files were trimmed to remove Illumina adapter sequences using </w:t>
      </w:r>
      <w:proofErr w:type="spellStart"/>
      <w:r w:rsidRPr="00A96F8D">
        <w:rPr>
          <w:rFonts w:ascii="Arial" w:eastAsia="Calibri" w:hAnsi="Arial" w:cs="Arial"/>
        </w:rPr>
        <w:t>Cutadapt</w:t>
      </w:r>
      <w:proofErr w:type="spellEnd"/>
      <w:r w:rsidRPr="00A96F8D">
        <w:rPr>
          <w:rFonts w:ascii="Arial" w:eastAsia="Calibri" w:hAnsi="Arial" w:cs="Arial"/>
        </w:rPr>
        <w:t xml:space="preserve"> version 1.2.1 </w:t>
      </w:r>
      <w:r w:rsidRPr="00A96F8D">
        <w:rPr>
          <w:rFonts w:ascii="Arial" w:eastAsia="Calibri" w:hAnsi="Arial" w:cs="Arial"/>
        </w:rPr>
        <w:fldChar w:fldCharType="begin" w:fldLock="1"/>
      </w:r>
      <w:r>
        <w:rPr>
          <w:rFonts w:ascii="Arial" w:eastAsia="Calibri" w:hAnsi="Arial" w:cs="Arial"/>
        </w:rPr>
        <w:instrText>ADDIN CSL_CITATION {"citationItems":[{"id":"ITEM-1","itemData":{"DOI":"10.14806/ej.17.1.200","abstract":"When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author":[{"dropping-particle":"","family":"Martin","given":"Marcel","non-dropping-particle":"","parse-names":false,"suffix":""}],"container-title":"EMBnet.journal","id":"ITEM-1","issue":"1","issued":{"date-parts":[["2011","5","2"]]},"page":"10","publisher":"EMBnet Stichting","title":"Cutadapt removes adapter sequences from high-throughput sequencing reads","type":"article-journal","volume":"17"},"uris":["http://www.mendeley.com/documents/?uuid=0b93e55f-254e-3d98-a567-d264a85af674"]}],"mendeley":{"formattedCitation":"[2]","plainTextFormattedCitation":"[2]","previouslyFormattedCitation":"&lt;sup&gt;2&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[2]</w:t>
      </w:r>
      <w:r w:rsidRPr="00A96F8D">
        <w:rPr>
          <w:rFonts w:ascii="Arial" w:eastAsia="Calibri" w:hAnsi="Arial" w:cs="Arial"/>
        </w:rPr>
        <w:fldChar w:fldCharType="end"/>
      </w:r>
      <w:r w:rsidRPr="00A96F8D">
        <w:rPr>
          <w:rFonts w:ascii="Arial" w:eastAsia="Calibri" w:hAnsi="Arial" w:cs="Arial"/>
        </w:rPr>
        <w:t xml:space="preserve">. The reads were further trimmed to remove low quality bases. After trimming, reads shorter than 20 bp were removed. The raw sequence pairs for each sample, were processed for analysis using a custom pipeline based on QIIME2 2018.11 </w:t>
      </w:r>
      <w:r w:rsidRPr="00A96F8D">
        <w:rPr>
          <w:rFonts w:ascii="Arial" w:eastAsia="Calibri" w:hAnsi="Arial" w:cs="Arial"/>
        </w:rPr>
        <w:fldChar w:fldCharType="begin" w:fldLock="1"/>
      </w:r>
      <w:r>
        <w:rPr>
          <w:rFonts w:ascii="Arial" w:eastAsia="Calibri" w:hAnsi="Arial" w:cs="Arial"/>
        </w:rPr>
        <w:instrText>ADDIN CSL_CITATION {"citationItems":[{"id":"ITEM-1","itemData":{"DOI":"10.1038/s41587-019-0209-9","ISSN":"15461696","PMID":"31341288","author":[{"dropping-particle":"","family":"Bolyen","given":"Evan","non-dropping-particle":"","parse-names":false,"suffix":""},{"dropping-particle":"","family":"Rideout","given":"Jai Ram","non-dropping-particle":"","parse-names":false,"suffix":""},{"dropping-particle":"","family":"Dillon","given":"Matthew R.","non-dropping-particle":"","parse-names":false,"suffix":""},{"dropping-particle":"","family":"Bokulich","given":"Nicholas A.","non-dropping-particle":"","parse-names":false,"suffix":""},{"dropping-particle":"","family":"Abnet","given":"Christian C.","non-dropping-particle":"","parse-names":false,"suffix":""},{"dropping-particle":"","family":"Al-Ghalith","given":"Gabriel A.","non-dropping-particle":"","parse-names":false,"suffix":""},{"dropping-particle":"","family":"Alexander","given":"Harriet","non-dropping-particle":"","parse-names":false,"suffix":""},{"dropping-particle":"","family":"Alm","given":"Eric J.","non-dropping-particle":"","parse-names":false,"suffix":""},{"dropping-particle":"","family":"Arumugam","given":"Manimozhiyan","non-dropping-particle":"","parse-names":false,"suffix":""},{"dropping-particle":"","family":"Asnicar","given":"Francesco","non-dropping-particle":"","parse-names":false,"suffix":""},{"dropping-particle":"","family":"Bai","given":"Yang","non-dropping-particle":"","parse-names":false,"suffix":""},{"dropping-particle":"","family":"Bisanz","given":"Jordan E.","non-dropping-particle":"","parse-names":false,"suffix":""},{"dropping-particle":"","family":"Bittinger","given":"Kyle","non-dropping-particle":"","parse-names":false,"suffix":""},{"dropping-particle":"","family":"Brejnrod","given":"Asker","non-dropping-particle":"","parse-names":false,"suffix":""},{"dropping-particle":"","family":"Brislawn","given":"Colin J.","non-dropping-particle":"","parse-names":false,"suffix":""},{"dropping-particle":"","family":"Brown","given":"C. Titus","non-dropping-particle":"","parse-names":false,"suffix":""},{"dropping-particle":"","family":"Callahan","given":"Benjamin J.","non-dropping-particle":"","parse-names":false,"suffix":""},{"dropping-particle":"","family":"Caraballo-Rodríguez","given":"Andrés Mauricio","non-dropping-particle":"","parse-names":false,"suffix":""},{"dropping-particle":"","family":"Chase","given":"John","non-dropping-particle":"","parse-names":false,"suffix":""},{"dropping-particle":"","family":"Cope","given":"Emily K.","non-dropping-particle":"","parse-names":false,"suffix":""},{"dropping-particle":"","family":"Silva","given":"Ricardo","non-dropping-particle":"Da","parse-names":false,"suffix":""},{"dropping-particle":"","family":"Diener","given":"Christian","non-dropping-particle":"","parse-names":false,"suffix":""},{"dropping-particle":"","family":"Dorrestein","given":"Pieter C.","non-dropping-particle":"","parse-names":false,"suffix":""},{"dropping-particle":"","family":"Douglas","given":"Gavin M.","non-dropping-particle":"","parse-names":false,"suffix":""},{"dropping-particle":"","family":"Durall","given":"Daniel M.","non-dropping-particle":"","parse-names":false,"suffix":""},{"dropping-particle":"","family":"Duvallet","given":"Claire","non-dropping-particle":"","parse-names":false,"suffix":""},{"dropping-particle":"","family":"Edwardson","given":"Christian F.","non-dropping-particle":"","parse-names":false,"suffix":""},{"dropping-particle":"","family":"Ernst","given":"Madeleine","non-dropping-particle":"","parse-names":false,"suffix":""},{"dropping-particle":"","family":"Estaki","given":"Mehrbod","non-dropping-particle":"","parse-names":false,"suffix":""},{"dropping-particle":"","family":"Fouquier","given":"Jennifer","non-dropping-particle":"","parse-names":false,"suffix":""},{"dropping-particle":"","family":"Gauglitz","given":"Julia M.","non-dropping-particle":"","parse-names":false,"suffix":""},{"dropping-particle":"","family":"Gibbons","given":"Sean M.","non-dropping-particle":"","parse-names":false,"suffix":""},{"dropping-particle":"","family":"Gibson","given":"Deanna L.","non-dropping-particle":"","parse-names":false,"suffix":""},{"dropping-particle":"","family":"Gonzalez","given":"Antonio","non-dropping-particle":"","parse-names":false,"suffix":""},{"dropping-particle":"","family":"Gorlick","given":"Kestrel","non-dropping-particle":"","parse-names":false,"suffix":""},{"dropping-particle":"","family":"Guo","given":"Jiarong","non-dropping-particle":"","parse-names":false,"suffix":""},{"dropping-particle":"","family":"Hillmann","given":"Benjamin","non-dropping-particle":"","parse-names":false,"suffix":""},{"dropping-particle":"","family":"Holmes","given":"Susan","non-dropping-particle":"","parse-names":false,"suffix":""},{"dropping-particle":"","family":"Holste","given":"Hannes","non-dropping-particle":"","parse-names":false,"suffix":""},{"dropping-particle":"","family":"Huttenhower","given":"Curtis","non-dropping-particle":"","parse-names":false,"suffix":""},{"dropping-particle":"","family":"Huttley","given":"Gavin A.","non-dropping-particle":"","parse-names":false,"suffix":""},{"dropping-particle":"","family":"Janssen","given":"Stefan","non-dropping-particle":"","parse-names":false,"suffix":""},{"dropping-particle":"","family":"Jarmusch","given":"Alan K.","non-dropping-particle":"","parse-names":false,"suffix":""},{"dropping-particle":"","family":"Jiang","given":"Lingjing","non-dropping-particle":"","parse-names":false,"suffix":""},{"dropping-particle":"","family":"Kaehler","given":"Benjamin D.","non-dropping-particle":"","parse-names":false,"suffix":""},{"dropping-particle":"Bin","family":"Kang","given":"Kyo","non-dropping-particle":"","parse-names":false,"suffix":""},{"dropping-particle":"","family":"Keefe","given":"Christopher R.","non-dropping-particle":"","parse-names":false,"suffix":""},{"dropping-particle":"","family":"Keim","given":"Paul","non-dropping-particle":"","parse-names":false,"suffix":""},{"dropping-particle":"","family":"Kelley","given":"Scott T.","non-dropping-particle":"","parse-names":false,"suffix":""},{"dropping-particle":"","family":"Knights","given":"Dan","non-dropping-particle":"","parse-names":false,"suffix":""},{"dropping-particle":"","family":"Koester","given":"Irina","non-dropping-particle":"","parse-names":false,"suffix":""},{"dropping-particle":"","family":"Kosciolek","given":"Tomasz","non-dropping-particle":"","parse-names":false,"suffix":""},{"dropping-particle":"","family":"Kreps","given":"Jorden","non-dropping-particle":"","parse-names":false,"suffix":""},{"dropping-particle":"","family":"Langille","given":"Morgan G.I.","non-dropping-particle":"","parse-names":false,"suffix":""},{"dropping-particle":"","family":"Lee","given":"Joslynn","non-dropping-particle":"","parse-names":false,"suffix":""},{"dropping-particle":"","family":"Ley","given":"Ruth","non-dropping-particle":"","parse-names":false,"suffix":""},{"dropping-particle":"","family":"Liu","given":"Yong Xin","non-dropping-particle":"","parse-names":false,"suffix":""},{"dropping-particle":"","family":"Loftfield","given":"Erikka","non-dropping-particle":"","parse-names":false,"suffix":""},{"dropping-particle":"","family":"Lozupone","given":"Catherine","non-dropping-particle":"","parse-names":false,"suffix":""},{"dropping-particle":"","family":"Maher","given":"Massoud","non-dropping-particle":"","parse-names":false,"suffix":""},{"dropping-particle":"","family":"Marotz","given":"Clarisse","non-dropping-particle":"","parse-names":false,"suffix":""},{"dropping-particle":"","family":"Martin","given":"Bryan D.","non-dropping-particle":"","parse-names":false,"suffix":""},{"dropping-particle":"","family":"McDonald","given":"Daniel","non-dropping-particle":"","parse-names":false,"suffix":""},{"dropping-particle":"","family":"McIver","given":"Lauren J.","non-dropping-particle":"","parse-names":false,"suffix":""},{"dropping-particle":"V.","family":"Melnik","given":"Alexey","non-dropping-particle":"","parse-names":false,"suffix":""},{"dropping-particle":"","family":"Metcalf","given":"Jessica L.","non-dropping-particle":"","parse-names":false,"suffix":""},{"dropping-particle":"","family":"Morgan","given":"Sydney C.","non-dropping-particle":"","parse-names":false,"suffix":""},{"dropping-particle":"","family":"Morton","given":"Jamie T.","non-dropping-particle":"","parse-names":false,"suffix":""},{"dropping-particle":"","family":"Naimey","given":"Ahmad Turan","non-dropping-particle":"","parse-names":false,"suffix":""},{"dropping-particle":"","family":"Navas-Molina","given":"Jose A.","non-dropping-particle":"","parse-names":false,"suffix":""},{"dropping-particle":"","family":"Nothias","given":"Louis Felix","non-dropping-particle":"","parse-names":false,"suffix":""},{"dropping-particle":"","family":"Orchanian","given":"Stephanie B.","non-dropping-particle":"","parse-names":false,"suffix":""},{"dropping-particle":"","family":"Pearson","given":"Talima","non-dropping-particle":"","parse-names":false,"suffix":""},{"dropping-particle":"","family":"Peoples","given":"Samuel L.","non-dropping-particle":"","parse-names":false,"suffix":""},{"dropping-particle":"","family":"Petras","given":"Daniel","non-dropping-particle":"","parse-names":false,"suffix":""},{"dropping-particle":"","family":"Preuss","given":"Mary Lai","non-dropping-particle":"","parse-names":false,"suffix":""},{"dropping-particle":"","family":"Pruesse","given":"Elmar","non-dropping-particle":"","parse-names":false,"suffix":""},{"dropping-particle":"","family":"Rasmussen","given":"Lasse Buur","non-dropping-particle":"","parse-names":false,"suffix":""},{"dropping-particle":"","family":"Rivers","given":"Adam","non-dropping-particle":"","parse-names":false,"suffix":""},{"dropping-particle":"","family":"Robeson","given":"Michael S.","non-dropping-particle":"","parse-names":false,"suffix":""},{"dropping-particle":"","family":"Rosenthal","given":"Patrick","non-dropping-particle":"","parse-names":false,"suffix":""},{"dropping-particle":"","family":"Segata","given":"Nicola","non-dropping-particle":"","parse-names":false,"suffix":""},{"dropping-particle":"","family":"Shaffer","given":"Michael","non-dropping-particle":"","parse-names":false,"suffix":""},{"dropping-particle":"","family":"Shiffer","given":"Arron","non-dropping-particle":"","parse-names":false,"suffix":""},{"dropping-particle":"","family":"Sinha","given":"Rashmi","non-dropping-particle":"","parse-names":false,"suffix":""},{"dropping-particle":"","family":"Song","given":"Se Jin","non-dropping-particle":"","parse-names":false,"suffix":""},{"dropping-particle":"","family":"Spear","given":"John R.","non-dropping-particle":"","parse-names":false,"suffix":""},{"dropping-particle":"","family":"Swafford","given":"Austin D.","non-dropping-particle":"","parse-names":false,"suffix":""},{"dropping-particle":"","family":"Thompson","given":"Luke R.","non-dropping-particle":"","parse-names":false,"suffix":""},{"dropping-particle":"","family":"Torres","given":"Pedro J.","non-dropping-particle":"","parse-names":false,"suffix":""},{"dropping-particle":"","family":"Trinh","given":"Pauline","non-dropping-particle":"","parse-names":false,"suffix":""},{"dropping-particle":"","family":"Tripathi","given":"Anupriya","non-dropping-particle":"","parse-names":false,"suffix":""},{"dropping-particle":"","family":"Turnbaugh","given":"Peter J.","non-dropping-particle":"","parse-names":false,"suffix":""},{"dropping-particle":"","family":"Ul-Hasan","given":"Sabah","non-dropping-particle":"","parse-names":false,"suffix":""},{"dropping-particle":"","family":"Hooft","given":"Justin J.J.","non-dropping-particle":"van der","parse-names":false,"suffix":""},{"dropping-particle":"","family":"Vargas","given":"Fernando","non-dropping-particle":"","parse-names":false,"suffix":""},{"dropping-particle":"","family":"Vázquez-Baeza","given":"Yoshiki","non-dropping-particle":"","parse-names":false,"suffix":""},{"dropping-particle":"","family":"Vogtmann","given":"Emily","non-dropping-particle":"","parse-names":false,"suffix":""},{"dropping-particle":"","family":"Hippel","given":"Max","non-dropping-particle":"von","parse-names":false,"suffix":""},{"dropping-particle":"","family":"Walters","given":"William","non-dropping-particle":"","parse-names":false,"suffix":""},{"dropping-particle":"","family":"Wan","given":"Yunhu","non-dropping-particle":"","parse-names":false,"suffix":""},{"dropping-particle":"","family":"Wang","given":"Mingxun","non-dropping-particle":"","parse-names":false,"suffix":""},{"dropping-particle":"","family":"Warren","given":"Jonathan","non-dropping-particle":"","parse-names":false,"suffix":""},{"dropping-particle":"","family":"Weber","given":"Kyle C.","non-dropping-particle":"","parse-names":false,"suffix":""},{"dropping-particle":"","family":"Williamson","given":"Charles H.D.","non-dropping-particle":"","parse-names":false,"suffix":""},{"dropping-particle":"","family":"Willis","given":"Amy D.","non-dropping-particle":"","parse-names":false,"suffix":""},{"dropping-particle":"","family":"Xu","given":"Zhenjiang Zech","non-dropping-particle":"","parse-names":false,"suffix":""},{"dropping-particle":"","family":"Zaneveld","given":"Jesse R.","non-dropping-particle":"","parse-names":false,"suffix":""},{"dropping-particle":"","family":"Zhang","given":"Yilong","non-dropping-particle":"","parse-names":false,"suffix":""},{"dropping-particle":"","family":"Zhu","given":"Qiyun","non-dropping-particle":"","parse-names":false,"suffix":""},{"dropping-particle":"","family":"Knight","given":"Rob","non-dropping-particle":"","parse-names":false,"suffix":""},{"dropping-particle":"","family":"Caporaso","given":"J. Gregory","non-dropping-particle":"","parse-names":false,"suffix":""}],"container-title":"Nature Biotechnology","id":"ITEM-1","issue":"8","issued":{"date-parts":[["2019","8","1"]]},"page":"852-857","publisher":"Nature Publishing Group","title":"Reproducible, interactive, scalable and extensible microbiome data science using QIIME 2","type":"article","volume":"37"},"uris":["http://www.mendeley.com/documents/?uuid=fee2108d-4ab4-3211-9484-716ced56773f"]}],"mendeley":{"formattedCitation":"[3]","plainTextFormattedCitation":"[3]","previouslyFormattedCitation":"&lt;sup&gt;3&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[3]</w:t>
      </w:r>
      <w:r w:rsidRPr="00A96F8D">
        <w:rPr>
          <w:rFonts w:ascii="Arial" w:eastAsia="Calibri" w:hAnsi="Arial" w:cs="Arial"/>
        </w:rPr>
        <w:fldChar w:fldCharType="end"/>
      </w:r>
      <w:r w:rsidRPr="00A96F8D">
        <w:rPr>
          <w:rFonts w:ascii="Arial" w:eastAsia="Calibri" w:hAnsi="Arial" w:cs="Arial"/>
        </w:rPr>
        <w:t>. The SILVA (version 123) was used throughout the analysis. The raw reads were subjected to a “</w:t>
      </w:r>
      <w:proofErr w:type="spellStart"/>
      <w:r w:rsidRPr="00A96F8D">
        <w:rPr>
          <w:rFonts w:ascii="Arial" w:eastAsia="Calibri" w:hAnsi="Arial" w:cs="Arial"/>
        </w:rPr>
        <w:t>Cutadapt</w:t>
      </w:r>
      <w:proofErr w:type="spellEnd"/>
      <w:r w:rsidRPr="00A96F8D">
        <w:rPr>
          <w:rFonts w:ascii="Arial" w:eastAsia="Calibri" w:hAnsi="Arial" w:cs="Arial"/>
        </w:rPr>
        <w:t xml:space="preserve">” trimming step to </w:t>
      </w:r>
      <w:r w:rsidRPr="00A96F8D">
        <w:rPr>
          <w:rFonts w:ascii="Arial" w:eastAsia="Calibri" w:hAnsi="Arial" w:cs="Arial"/>
        </w:rPr>
        <w:lastRenderedPageBreak/>
        <w:t>remove PCR primer sequences that could potentially introduce an artificial level of complexity in the samples.</w:t>
      </w:r>
    </w:p>
    <w:p w14:paraId="0F69BD3F"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The amplicon sequence variants (ASVs) are defined as the biological sequences present in samples prior to the PCR amplification step. The “dada2” process was performed using the denoise-paired QIIME2 plug-in; it includes the following steps:</w:t>
      </w:r>
    </w:p>
    <w:p w14:paraId="668DE197"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1. Excluding sequences shorter than the selected thresholds, prior to denoising.</w:t>
      </w:r>
    </w:p>
    <w:p w14:paraId="6C145789"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2. De-noising step.</w:t>
      </w:r>
    </w:p>
    <w:p w14:paraId="636F225F"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3. Merge step to pair the denoised forward and reverse reads.</w:t>
      </w:r>
    </w:p>
    <w:p w14:paraId="39867D3D"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4. Remove the chimeric sequences derived by the PCR step.</w:t>
      </w:r>
    </w:p>
    <w:p w14:paraId="777F681F" w14:textId="77777777"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5. Remove the sequences derived by </w:t>
      </w:r>
      <w:proofErr w:type="spellStart"/>
      <w:r w:rsidRPr="00A96F8D">
        <w:rPr>
          <w:rFonts w:ascii="Arial" w:eastAsia="Calibri" w:hAnsi="Arial" w:cs="Arial"/>
        </w:rPr>
        <w:t>PhiX</w:t>
      </w:r>
      <w:proofErr w:type="spellEnd"/>
      <w:r w:rsidRPr="00A96F8D">
        <w:rPr>
          <w:rFonts w:ascii="Arial" w:eastAsia="Calibri" w:hAnsi="Arial" w:cs="Arial"/>
        </w:rPr>
        <w:t xml:space="preserve"> phage (added to sequence library to increase sequence complexity).</w:t>
      </w:r>
    </w:p>
    <w:p w14:paraId="6DCA5ABB" w14:textId="4FBF06F3"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After the de-noising step, these sequences were further investigated to define the phylogenetic relationship among the identified ASVs. To do this, the alignment of the sequences was obtained using MAFFT </w:t>
      </w:r>
      <w:r w:rsidRPr="00A96F8D">
        <w:rPr>
          <w:rFonts w:ascii="Arial" w:eastAsia="Calibri" w:hAnsi="Arial" w:cs="Arial"/>
        </w:rPr>
        <w:fldChar w:fldCharType="begin" w:fldLock="1"/>
      </w:r>
      <w:r>
        <w:rPr>
          <w:rFonts w:ascii="Arial" w:eastAsia="Calibri" w:hAnsi="Arial" w:cs="Arial"/>
        </w:rPr>
        <w:instrText>ADDIN CSL_CITATION {"citationItems":[{"id":"ITEM-1","itemData":{"DOI":"10.1093/molbev/mst010","ISSN":"07374038","PMID":"23329690","abstract":"We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 © 2013 The Author 2013. Published by Oxford University Press on behalf of the Society for Molecular Biology and Evolution.","author":[{"dropping-particle":"","family":"Katoh","given":"Kazutaka","non-dropping-particle":"","parse-names":false,"suffix":""},{"dropping-particle":"","family":"Standley","given":"Daron M.","non-dropping-particle":"","parse-names":false,"suffix":""}],"container-title":"Molecular Biology and Evolution","id":"ITEM-1","issue":"4","issued":{"date-parts":[["2013","4"]]},"page":"772-780","title":"MAFFT multiple sequence alignment software version 7: Improvements in performance and usability","type":"article-journal","volume":"30"},"uris":["http://www.mendeley.com/documents/?uuid=f2076684-9b32-3f71-9cca-875f982f07ae"]}],"mendeley":{"formattedCitation":"[4]","plainTextFormattedCitation":"[4]","previouslyFormattedCitation":"&lt;sup&gt;4&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[4]</w:t>
      </w:r>
      <w:r w:rsidRPr="00A96F8D">
        <w:rPr>
          <w:rFonts w:ascii="Arial" w:eastAsia="Calibri" w:hAnsi="Arial" w:cs="Arial"/>
        </w:rPr>
        <w:fldChar w:fldCharType="end"/>
      </w:r>
      <w:r w:rsidRPr="00A96F8D">
        <w:rPr>
          <w:rFonts w:ascii="Arial" w:eastAsia="Calibri" w:hAnsi="Arial" w:cs="Arial"/>
        </w:rPr>
        <w:t xml:space="preserve">. The phylogenetic tree was built using the resulting alignment. The uninformative regions of the obtained alignment were masked before the inference of the tree using the </w:t>
      </w:r>
      <w:proofErr w:type="spellStart"/>
      <w:r w:rsidRPr="00A96F8D">
        <w:rPr>
          <w:rFonts w:ascii="Arial" w:eastAsia="Calibri" w:hAnsi="Arial" w:cs="Arial"/>
        </w:rPr>
        <w:t>FastTree</w:t>
      </w:r>
      <w:proofErr w:type="spellEnd"/>
      <w:r w:rsidRPr="00A96F8D">
        <w:rPr>
          <w:rFonts w:ascii="Arial" w:eastAsia="Calibri" w:hAnsi="Arial" w:cs="Arial"/>
        </w:rPr>
        <w:t xml:space="preserve"> tool </w:t>
      </w:r>
      <w:r w:rsidRPr="00A96F8D">
        <w:rPr>
          <w:rFonts w:ascii="Arial" w:eastAsia="Calibri" w:hAnsi="Arial" w:cs="Arial"/>
        </w:rPr>
        <w:fldChar w:fldCharType="begin" w:fldLock="1"/>
      </w:r>
      <w:r>
        <w:rPr>
          <w:rFonts w:ascii="Arial" w:eastAsia="Calibri" w:hAnsi="Arial" w:cs="Arial"/>
        </w:rPr>
        <w:instrText>ADDIN CSL_CITATION {"citationItems":[{"id":"ITEM-1","itemData":{"DOI":"10.1371/journal.pone.0009490","ISSN":"19326203","abstract":"Background: We recently described FastTree, a tool for inferring phylogenies for alignments with up to hundreds of thousands of sequences. Here, we describe improvements to FastTree that improve its accuracy without sacrificing scalability. Methodology/Principal Findings: Where FastTree 1 used nearest-neighbor interchanges (NNIs) and the minimum-evolution criterion to improve the tree, FastTree 2 adds minimum-evolution subtree-pruning-regrafting (SPRs) and maximum-likelihood NNIs. FastTree 2 uses heuristics to restrict the search for better trees and estimates a rate of evolution for each site (the \"CAT\" approximation). Nevertheless, for both simulated and genuine alignments, FastTree 2 is slightly more accurate than a standard implementation of maximum-likelihood NNIs (PhyML 3 with default settings). Although FastTree 2 is not quite as accurate as methods that use maximum-likelihood SPRs, most of the splits that disagree are poorly supported, and for large alignments, FastTree 2 is 100-1,000 times faster. FastTree 2 inferred a topology and likelihood-based local support values for 237,882 distinct 16S ribosomal RNAs on a desktop computer in 22 hours and 5.8 gigabytes of memory. Conclusions/Significance: FastTree 2 allows the inference of maximum-likelihood phylogenies for huge alignments. FastTree 2 is freely available at http://www.microbesonline.org/fasttree. © 2010 Price et al.","author":[{"dropping-particle":"","family":"Price","given":"Morgan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ONE","id":"ITEM-1","issue":"3","issued":{"date-parts":[["2010","3","10"]]},"page":"e9490","publisher":"Public Library of Science","title":"FastTree 2 - Approximately maximum-likelihood trees for large alignments","type":"article-journal","volume":"5"},"uris":["http://www.mendeley.com/documents/?uuid=9f31702a-1fcc-35d1-85a9-8938489b9331"]}],"mendeley":{"formattedCitation":"[5]","plainTextFormattedCitation":"[5]","previouslyFormattedCitation":"&lt;sup&gt;5&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[5]</w:t>
      </w:r>
      <w:r w:rsidRPr="00A96F8D">
        <w:rPr>
          <w:rFonts w:ascii="Arial" w:eastAsia="Calibri" w:hAnsi="Arial" w:cs="Arial"/>
        </w:rPr>
        <w:fldChar w:fldCharType="end"/>
      </w:r>
      <w:r w:rsidRPr="00A96F8D">
        <w:rPr>
          <w:rFonts w:ascii="Arial" w:eastAsia="Calibri" w:hAnsi="Arial" w:cs="Arial"/>
        </w:rPr>
        <w:t xml:space="preserve">. As a final step, the tree was converted from an unrooted to a rooted tree by predicting the branch mid points. The tree construction was performed using “align </w:t>
      </w:r>
      <w:proofErr w:type="spellStart"/>
      <w:r w:rsidRPr="00A96F8D">
        <w:rPr>
          <w:rFonts w:ascii="Arial" w:eastAsia="Calibri" w:hAnsi="Arial" w:cs="Arial"/>
        </w:rPr>
        <w:t>mafft</w:t>
      </w:r>
      <w:proofErr w:type="spellEnd"/>
      <w:r w:rsidRPr="00A96F8D">
        <w:rPr>
          <w:rFonts w:ascii="Arial" w:eastAsia="Calibri" w:hAnsi="Arial" w:cs="Arial"/>
        </w:rPr>
        <w:t xml:space="preserve">”, “alignment mask”, “phylogeny </w:t>
      </w:r>
      <w:proofErr w:type="spellStart"/>
      <w:r w:rsidRPr="00A96F8D">
        <w:rPr>
          <w:rFonts w:ascii="Arial" w:eastAsia="Calibri" w:hAnsi="Arial" w:cs="Arial"/>
        </w:rPr>
        <w:t>fasttree</w:t>
      </w:r>
      <w:proofErr w:type="spellEnd"/>
      <w:r w:rsidRPr="00A96F8D">
        <w:rPr>
          <w:rFonts w:ascii="Arial" w:eastAsia="Calibri" w:hAnsi="Arial" w:cs="Arial"/>
        </w:rPr>
        <w:t xml:space="preserve">”, and “midpoint-root” QIIME2 plug-ins. The taxonomy assignment of the identified ASVs, was performed by using the </w:t>
      </w:r>
      <w:proofErr w:type="spellStart"/>
      <w:r w:rsidRPr="00A96F8D">
        <w:rPr>
          <w:rFonts w:ascii="Arial" w:eastAsia="Calibri" w:hAnsi="Arial" w:cs="Arial"/>
        </w:rPr>
        <w:t>sk</w:t>
      </w:r>
      <w:proofErr w:type="spellEnd"/>
      <w:r w:rsidRPr="00A96F8D">
        <w:rPr>
          <w:rFonts w:ascii="Arial" w:eastAsia="Calibri" w:hAnsi="Arial" w:cs="Arial"/>
        </w:rPr>
        <w:t xml:space="preserve">-learn tool </w:t>
      </w:r>
      <w:r w:rsidRPr="00A96F8D">
        <w:rPr>
          <w:rFonts w:ascii="Arial" w:eastAsia="Calibri" w:hAnsi="Arial" w:cs="Arial"/>
        </w:rPr>
        <w:fldChar w:fldCharType="begin" w:fldLock="1"/>
      </w:r>
      <w:r>
        <w:rPr>
          <w:rFonts w:ascii="Arial" w:eastAsia="Calibri" w:hAnsi="Arial" w:cs="Arial"/>
        </w:rPr>
        <w:instrText>ADDIN CSL_CITATION {"citationItems":[{"id":"ITEM-1","itemData":{"ISSN":"15324435","abstract":"Scikit-learn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author":[{"dropping-particle":"","family":"Pedregosa","given":"Fabian","non-dropping-particle":"","parse-names":false,"suffix":""},{"dropping-particle":"","family":"Varoquaux","given":"Gael","non-dropping-particle":"","parse-names":false,"suffix":""},{"dropping-particle":"","family":"Gramfort","given":"Alexandre","non-dropping-particle":"","parse-names":false,"suffix":""},{"dropping-particle":"","family":"Michel","given":"Vincent","non-dropping-particle":"","parse-names":false,"suffix":""},{"dropping-particle":"","family":"Thirion","given":"Bertrand","non-dropping-particle":"","parse-names":false,"suffix":""},{"dropping-particle":"","family":"Grisel","given":"Olivier","non-dropping-particle":"","parse-names":false,"suffix":""},{"dropping-particle":"","family":"Blondel","given":"Mathieu","non-dropping-particle":"","parse-names":false,"suffix":""},{"dropping-particle":"","family":"Prettenhofer","given":"Peter","non-dropping-particle":"","parse-names":false,"suffix":""},{"dropping-particle":"","family":"Weiss","given":"Ron","non-dropping-particle":"","parse-names":false,"suffix":""},{"dropping-particle":"","family":"Dubourg","given":"Vincent","non-dropping-particle":"","parse-names":false,"suffix":""},{"dropping-particle":"","family":"Vanderplas","given":"Jake","non-dropping-particle":"","parse-names":false,"suffix":""},{"dropping-particle":"","family":"Passos","given":"Alexandre","non-dropping-particle":"","parse-names":false,"suffix":""},{"dropping-particle":"","family":"Cournapeau","given":"David","non-dropping-particle":"","parse-names":false,"suffix":""},{"dropping-particle":"","family":"Brucher","given":"Matthieu","non-dropping-particle":"","parse-names":false,"suffix":""},{"dropping-particle":"","family":"Perrot","given":"Matthieu","non-dropping-particle":"","parse-names":false,"suffix":""},{"dropping-particle":"","family":"Duchesnay","given":"Édouard","non-dropping-particle":"","parse-names":false,"suffix":""}],"container-title":"Journal of Machine Learning Research","id":"ITEM-1","issued":{"date-parts":[["2011","10","2"]]},"page":"2825-2830","title":"Scikit-learn: Machine learning in Python","type":"article-journal","volume":"12"},"uris":["http://www.mendeley.com/documents/?uuid=a7cce72c-a561-3ac6-bb01-a5a8a37ff92d"]}],"mendeley":{"formattedCitation":"[6]","plainTextFormattedCitation":"[6]","previouslyFormattedCitation":"&lt;sup&gt;6&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[6]</w:t>
      </w:r>
      <w:r w:rsidRPr="00A96F8D">
        <w:rPr>
          <w:rFonts w:ascii="Arial" w:eastAsia="Calibri" w:hAnsi="Arial" w:cs="Arial"/>
        </w:rPr>
        <w:fldChar w:fldCharType="end"/>
      </w:r>
      <w:r w:rsidRPr="00A96F8D">
        <w:rPr>
          <w:rFonts w:ascii="Arial" w:eastAsia="Calibri" w:hAnsi="Arial" w:cs="Arial"/>
        </w:rPr>
        <w:t xml:space="preserve">. </w:t>
      </w:r>
    </w:p>
    <w:p w14:paraId="0707A050" w14:textId="0C4DDC10"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The negative control samples were excluded from alpha-diversity, beta-diversity, and differential abundance analysis. The sequencing depth of all samples were explored using the ‘Shannon’ </w:t>
      </w:r>
      <w:r w:rsidRPr="00A96F8D">
        <w:rPr>
          <w:rFonts w:ascii="Arial" w:eastAsia="Calibri" w:hAnsi="Arial" w:cs="Arial"/>
        </w:rPr>
        <w:fldChar w:fldCharType="begin" w:fldLock="1"/>
      </w:r>
      <w:r>
        <w:rPr>
          <w:rFonts w:ascii="Arial" w:eastAsia="Calibri" w:hAnsi="Arial" w:cs="Arial"/>
        </w:rPr>
        <w:instrText>ADDIN CSL_CITATION {"citationItems":[{"id":"ITEM-1","itemData":{"DOI":"10.1002/j.1538-7305.1948.tb01338.x","ISSN":"00058580","PMID":"9230594","author":[{"dropping-particle":"","family":"Shannon","given":"C E","non-dropping-particle":"","parse-names":false,"suffix":""}],"container-title":"Bell System Technical Journal","id":"ITEM-1","issue":"3","issued":{"date-parts":[["1948","7"]]},"page":"379-423","title":"A Mathematical Theory of Communication","type":"article-journal","volume":"27"},"uris":["http://www.mendeley.com/documents/?uuid=b469a9f6-9cf0-41b6-96cf-a2bed2f3bd9f"]}],"mendeley":{"formattedCitation":"[7]","plainTextFormattedCitation":"[7]","previouslyFormattedCitation":"&lt;sup&gt;7&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[7]</w:t>
      </w:r>
      <w:r w:rsidRPr="00A96F8D">
        <w:rPr>
          <w:rFonts w:ascii="Arial" w:eastAsia="Calibri" w:hAnsi="Arial" w:cs="Arial"/>
        </w:rPr>
        <w:fldChar w:fldCharType="end"/>
      </w:r>
      <w:r w:rsidRPr="00A96F8D">
        <w:rPr>
          <w:rFonts w:ascii="Arial" w:eastAsia="Calibri" w:hAnsi="Arial" w:cs="Arial"/>
        </w:rPr>
        <w:t xml:space="preserve"> richness index plotted as a rarefaction curve. The diversity analyses (both alpha- and beta- diversity) were performed using the “diversity core-metrics phylogenetic” QIIME2 plug-in, following normalisation of the abundance counts by rarefaction at a threshold of </w:t>
      </w:r>
      <w:r w:rsidRPr="00A96F8D">
        <w:rPr>
          <w:rFonts w:ascii="Arial" w:eastAsia="Calibri" w:hAnsi="Arial" w:cs="Arial"/>
        </w:rPr>
        <w:lastRenderedPageBreak/>
        <w:t xml:space="preserve">12,000 sequences. Samples with a lower number of sequences than this threshold were excluded from the analysis. </w:t>
      </w:r>
    </w:p>
    <w:p w14:paraId="4A9DD196" w14:textId="736D4761"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The richness diversity between samples was investigated using the Shannon richness index which was calculated for each sample type and then further split by sample timepoint, animal age, animal type and sample type. To study how the taxonomic composition changed between samples, the rarefied abundance was used to build pairwise sample distance matrices, using the Bray-Curtis </w:t>
      </w:r>
      <w:r w:rsidRPr="00A96F8D">
        <w:rPr>
          <w:rFonts w:ascii="Arial" w:eastAsia="Calibri" w:hAnsi="Arial" w:cs="Arial"/>
        </w:rPr>
        <w:fldChar w:fldCharType="begin" w:fldLock="1"/>
      </w:r>
      <w:r>
        <w:rPr>
          <w:rFonts w:ascii="Arial" w:eastAsia="Calibri" w:hAnsi="Arial" w:cs="Arial"/>
        </w:rPr>
        <w:instrText>ADDIN CSL_CITATION {"citationItems":[{"id":"ITEM-1","itemData":{"DOI":"10.2307/1942268","abstract":"Bray &amp; Curtis Distance","author":[{"dropping-particle":"","family":"Bray","given":"J. Roger","non-dropping-particle":"","parse-names":false,"suffix":""},{"dropping-particle":"","family":"Curtis","given":"J. T.","non-dropping-particle":"","parse-names":false,"suffix":""}],"container-title":"Ecological Monographs","id":"ITEM-1","issue":"4","issued":{"date-parts":[["1957","2","1"]]},"page":"325-349","publisher":"Wiley","title":"An Ordination of the Upland Forest Communities of Southern Wisconsin","type":"article-journal","volume":"27"},"uris":["http://www.mendeley.com/documents/?uuid=c4fe270f-2047-3fab-a3b5-1085cb67b071"]}],"mendeley":{"formattedCitation":"[8]","plainTextFormattedCitation":"[8]","previouslyFormattedCitation":"&lt;sup&gt;8&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[8]</w:t>
      </w:r>
      <w:r w:rsidRPr="00A96F8D">
        <w:rPr>
          <w:rFonts w:ascii="Arial" w:eastAsia="Calibri" w:hAnsi="Arial" w:cs="Arial"/>
        </w:rPr>
        <w:fldChar w:fldCharType="end"/>
      </w:r>
      <w:r w:rsidRPr="00A96F8D">
        <w:rPr>
          <w:rFonts w:ascii="Arial" w:eastAsia="Calibri" w:hAnsi="Arial" w:cs="Arial"/>
        </w:rPr>
        <w:t xml:space="preserve"> and the Weighted and Unweighted </w:t>
      </w:r>
      <w:proofErr w:type="spellStart"/>
      <w:r w:rsidRPr="00A96F8D">
        <w:rPr>
          <w:rFonts w:ascii="Arial" w:eastAsia="Calibri" w:hAnsi="Arial" w:cs="Arial"/>
        </w:rPr>
        <w:t>UniFrac</w:t>
      </w:r>
      <w:proofErr w:type="spellEnd"/>
      <w:r w:rsidRPr="00A96F8D">
        <w:rPr>
          <w:rFonts w:ascii="Arial" w:eastAsia="Calibri" w:hAnsi="Arial" w:cs="Arial"/>
        </w:rPr>
        <w:t xml:space="preserve">  dissimilarity measures </w:t>
      </w:r>
      <w:r w:rsidRPr="00A96F8D">
        <w:rPr>
          <w:rFonts w:ascii="Arial" w:eastAsia="Calibri" w:hAnsi="Arial" w:cs="Arial"/>
        </w:rPr>
        <w:fldChar w:fldCharType="begin" w:fldLock="1"/>
      </w:r>
      <w:r>
        <w:rPr>
          <w:rFonts w:ascii="Arial" w:eastAsia="Calibri" w:hAnsi="Arial" w:cs="Arial"/>
        </w:rPr>
        <w:instrText>ADDIN CSL_CITATION {"citationItems":[{"id":"ITEM-1","itemData":{"DOI":"10.1128/AEM.71.12.8228-8235.2005","ISSN":"00992240","PMID":"16332807","abstract":"We introduce here a new method for computing differences between microbial communities based on phylogenetic information. This method, UniFrac, measures the phylogenetic distance between sets of taxa in a phylogenetic tree as the fraction of the branch length of the tree that leads to descendants from either one environment or the other, but not both. UniFrac can be used to determine whether communities are significantly different, to compare many communities simultaneously using clustering and ordination techniques, and to measure the relative contributions of different factors, such as chemistry and geography, to similarities between samples. We demonstrate the utility of UniFrac by applying it to published 16S rRNA gene libraries from cultured isolates and environmental clones of bacteria in marine sediment, water, and ice. Our results reveal that (i) cultured isolates from ice, water, and sediment resemble each other and environmental clone sequences from sea ice, but not environmental clone sequences from sediment and water; (ii) the geographical location does not correlate strongly with bacterial community differences in ice and sediment from the Arctic and Antarctic; and (iii) bacterial communities differ between terrestrially impacted seawater (whether polar or temperate) and warm oligotrophic seawater, whereas those in individual seawater samples are not more similar to each other than to those in sediment or ice samples. These results illustrate that UniFrac provides a new way of characterizing microbial communities, using the wealth of environmental rRNA sequences, and allows quantitative insight into the factors that underlie the distribution of lineages among environments. Copyright © 2005, American Society for Microbiology. All Rights Reserved.","author":[{"dropping-particle":"","family":"Lozupone","given":"Catherine","non-dropping-particle":"","parse-names":false,"suffix":""},{"dropping-particle":"","family":"Knight","given":"Rob","non-dropping-particle":"","parse-names":false,"suffix":""}],"container-title":"Applied and Environmental Microbiology","id":"ITEM-1","issue":"12","issued":{"date-parts":[["2005","12"]]},"page":"8228-8235","publisher":"American Society for Microbiology (ASM)","title":"UniFrac: A new phylogenetic method for comparing microbial communities","type":"article-journal","volume":"71"},"uris":["http://www.mendeley.com/documents/?uuid=3a25bb28-9ab2-3f9a-98ed-54f3f21462d2"]}],"mendeley":{"formattedCitation":"[9]","plainTextFormattedCitation":"[9]","previouslyFormattedCitation":"&lt;sup&gt;9&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[9]</w:t>
      </w:r>
      <w:r w:rsidRPr="00A96F8D">
        <w:rPr>
          <w:rFonts w:ascii="Arial" w:eastAsia="Calibri" w:hAnsi="Arial" w:cs="Arial"/>
        </w:rPr>
        <w:fldChar w:fldCharType="end"/>
      </w:r>
      <w:r w:rsidRPr="00A96F8D">
        <w:rPr>
          <w:rFonts w:ascii="Arial" w:eastAsia="Calibri" w:hAnsi="Arial" w:cs="Arial"/>
        </w:rPr>
        <w:t>. These diversity matrices were produced by the “diversity core-metrics-phylogenetic” QIIME2 plug-in. The Principal Coordinate Analysis (</w:t>
      </w:r>
      <w:proofErr w:type="spellStart"/>
      <w:r w:rsidRPr="00A96F8D">
        <w:rPr>
          <w:rFonts w:ascii="Arial" w:eastAsia="Calibri" w:hAnsi="Arial" w:cs="Arial"/>
        </w:rPr>
        <w:t>PCoA</w:t>
      </w:r>
      <w:proofErr w:type="spellEnd"/>
      <w:r w:rsidRPr="00A96F8D">
        <w:rPr>
          <w:rFonts w:ascii="Arial" w:eastAsia="Calibri" w:hAnsi="Arial" w:cs="Arial"/>
        </w:rPr>
        <w:t xml:space="preserve">) methods were then used and plotted using </w:t>
      </w:r>
      <w:proofErr w:type="spellStart"/>
      <w:r w:rsidRPr="00A96F8D">
        <w:rPr>
          <w:rFonts w:ascii="Arial" w:eastAsia="Calibri" w:hAnsi="Arial" w:cs="Arial"/>
        </w:rPr>
        <w:t>EMPeror</w:t>
      </w:r>
      <w:proofErr w:type="spellEnd"/>
      <w:r w:rsidRPr="00A96F8D">
        <w:rPr>
          <w:rFonts w:ascii="Arial" w:eastAsia="Calibri" w:hAnsi="Arial" w:cs="Arial"/>
        </w:rPr>
        <w:t xml:space="preserve"> </w:t>
      </w:r>
      <w:r w:rsidRPr="00A96F8D">
        <w:rPr>
          <w:rFonts w:ascii="Arial" w:eastAsia="Calibri" w:hAnsi="Arial" w:cs="Arial"/>
        </w:rPr>
        <w:fldChar w:fldCharType="begin" w:fldLock="1"/>
      </w:r>
      <w:r>
        <w:rPr>
          <w:rFonts w:ascii="Arial" w:eastAsia="Calibri" w:hAnsi="Arial" w:cs="Arial"/>
        </w:rPr>
        <w:instrText>ADDIN CSL_CITATION {"citationItems":[{"id":"ITEM-1","itemData":{"DOI":"10.1186/2047-217X-2-16","ISSN":"2047-217X","PMID":"24280061","abstract":"Background: As microbial ecologists take advantage of high-throughput sequencing technologies to describe microbial communities across ever-increasing numbers of samples, new analysis tools are required to relate the distribution of microbes among larger numbers of communities, and to use increasingly rich and standards-compliant metadata to understand the biological factors driving these relationships. In particular, the Earth Microbiome Project drives these needs by profiling the genomic content of tens of thousands of samples across multiple environment types. Findings: Features of EMPeror include: ability to visualize gradients and categorical data, visualize different principal coordinates axes, present the data in the form of parallel coordinates, show taxa as well as environmental samples, dynamically adjust the size and transparency of the spheres representing the communities on a per-category basis, dynamically scale the axes according to the fraction of variance each explains, show, hide or recolor points according to arbitrary metadata including that compliant with the MIxS family of standards developed by the Genomic Standards Consortium, display jackknifed-resampled data to assess statistical confidence in clustering, perform coordinate comparisons (useful for procrustes analysis plots), and greatly reduce loading times and overall memory footprint compared with existing approaches. Additionally, ease of sharing, given EMPeror's small output file size, enables agile collaboration by allowing users to embed these visualizations via emails or web pages without the need for extra plugins. Conclusions: Here we present EMPeror, an open source and web browser enabled tool with a versatile command line interface that allows researchers to perform rapid exploratory investigations of 3D visualizations of microbial community data, such as the widely used principal coordinates plots. EMPeror includes a rich set of controllers to modify features as a function of the metadata. By being specifically tailored to the requirements of microbial ecologists, EMPeror thus increases the speed with which insight can be gained from large microbiome datasets.","author":[{"dropping-particle":"","family":"Vázquez-Baeza","given":"Yoshiki","non-dropping-particle":"","parse-names":false,"suffix":""},{"dropping-particle":"","family":"Pirrung","given":"Meg","non-dropping-particle":"","parse-names":false,"suffix":""},{"dropping-particle":"","family":"Gonzalez","given":"Antonio","non-dropping-particle":"","parse-names":false,"suffix":""},{"dropping-particle":"","family":"Knight","given":"Rob","non-dropping-particle":"","parse-names":false,"suffix":""}],"container-title":"GigaScience","id":"ITEM-1","issue":"1","issued":{"date-parts":[["2013","12","26"]]},"page":"16","publisher":"BioMed Central Ltd.","title":"EMPeror: a tool for visualizing high-throughput microbial community data","type":"article-journal","volume":"2"},"uris":["http://www.mendeley.com/documents/?uuid=3fb753da-a3a5-3ac9-b993-e0a0648be6ba"]}],"mendeley":{"formattedCitation":"[10]","plainTextFormattedCitation":"[10]","previouslyFormattedCitation":"&lt;sup&gt;10&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[10]</w:t>
      </w:r>
      <w:r w:rsidRPr="00A96F8D">
        <w:rPr>
          <w:rFonts w:ascii="Arial" w:eastAsia="Calibri" w:hAnsi="Arial" w:cs="Arial"/>
        </w:rPr>
        <w:fldChar w:fldCharType="end"/>
      </w:r>
      <w:r w:rsidRPr="00A96F8D">
        <w:rPr>
          <w:rFonts w:ascii="Arial" w:eastAsia="Calibri" w:hAnsi="Arial" w:cs="Arial"/>
        </w:rPr>
        <w:t>. The compositional differences between non-rarefied samples were assessed by permutational analysis of variance (PERMANOVA) using R (R Core Team, Vienna, Austria).</w:t>
      </w:r>
    </w:p>
    <w:p w14:paraId="237E4DFF" w14:textId="42500898" w:rsidR="00A96F8D" w:rsidRPr="00A96F8D" w:rsidRDefault="00A96F8D" w:rsidP="00A96F8D">
      <w:pPr>
        <w:spacing w:line="480" w:lineRule="auto"/>
        <w:jc w:val="both"/>
        <w:rPr>
          <w:rFonts w:ascii="Arial" w:eastAsia="Calibri" w:hAnsi="Arial" w:cs="Arial"/>
        </w:rPr>
      </w:pPr>
      <w:r w:rsidRPr="00A96F8D">
        <w:rPr>
          <w:rFonts w:ascii="Arial" w:eastAsia="Calibri" w:hAnsi="Arial" w:cs="Arial"/>
        </w:rPr>
        <w:t xml:space="preserve">Gneiss analysis was used to visualise ASV abundance between sample groups </w:t>
      </w:r>
      <w:r w:rsidRPr="00A96F8D">
        <w:rPr>
          <w:rFonts w:ascii="Arial" w:eastAsia="Calibri" w:hAnsi="Arial" w:cs="Arial"/>
        </w:rPr>
        <w:fldChar w:fldCharType="begin" w:fldLock="1"/>
      </w:r>
      <w:r>
        <w:rPr>
          <w:rFonts w:ascii="Arial" w:eastAsia="Calibri" w:hAnsi="Arial" w:cs="Arial"/>
        </w:rPr>
        <w:instrText>ADDIN CSL_CITATION {"citationItems":[{"id":"ITEM-1","itemData":{"DOI":"10.1128/mSystems.00162-16","ISSN":"2379-5077","abstract":"By explicitly accounting for the compositional nature of 16S rRNA gene data through the concept of balances, balance trees yield novel biological insights into niche differentiation. The software to perform this analysis is available under an open-source license and can be obtained at https://github.com/biocore/gneiss . Advances in sequencing technologies have enabled novel insights into microbial niche differentiation, from analyzing environmental samples to understanding human diseases and informing dietary studies. However, identifying the microbial taxa that differentiate these samples can be challenging. These issues stem from the compositional nature of 16S rRNA gene data (or, more generally, taxon or functional gene data); the changes in the relative abundance of one taxon influence the apparent abundances of the others. Here we acknowledge that inferring properties of individual bacteria is a difficult problem and instead introduce the concept of balances to infer meaningful properties of subcommunities, rather than properties of individual species. We show that balances can yield insights about niche differentiation across multiple microbial environments, including soil environments and lung sputum. These techniques have the potential to reshape how we carry out future ecological analyses aimed at revealing differences in relative taxonomic abundances across different samples. IMPORTANCE By explicitly accounting for the compositional nature of 16S rRNA gene data through the concept of balances, balance trees yield novel biological insights into niche differentiation. The software to perform this analysis is available under an open-source license and can be obtained at https://github.com/biocore/gneiss . Author Video : An author video summary of this article is available.","author":[{"dropping-particle":"","family":"Morton","given":"James T.","non-dropping-particle":"","parse-names":false,"suffix":""},{"dropping-particle":"","family":"Sanders","given":"Jon","non-dropping-particle":"","parse-names":false,"suffix":""},{"dropping-particle":"","family":"Quinn","given":"Robert A.","non-dropping-particle":"","parse-names":false,"suffix":""},{"dropping-particle":"","family":"McDonald","given":"Daniel","non-dropping-particle":"","parse-names":false,"suffix":""},{"dropping-particle":"","family":"Gonzalez","given":"Antonio","non-dropping-particle":"","parse-names":false,"suffix":""},{"dropping-particle":"","family":"Vázquez-Baeza","given":"Yoshiki","non-dropping-particle":"","parse-names":false,"suffix":""},{"dropping-particle":"","family":"Navas-Molina","given":"Jose A.","non-dropping-particle":"","parse-names":false,"suffix":""},{"dropping-particle":"","family":"Song","given":"Se Jin","non-dropping-particle":"","parse-names":false,"suffix":""},{"dropping-particle":"","family":"Metcalf","given":"Jessica L.","non-dropping-particle":"","parse-names":false,"suffix":""},{"dropping-particle":"","family":"Hyde","given":"Embriette R.","non-dropping-particle":"","parse-names":false,"suffix":""},{"dropping-particle":"","family":"Lladser","given":"Manuel","non-dropping-particle":"","parse-names":false,"suffix":""},{"dropping-particle":"","family":"Dorrestein","given":"Pieter C.","non-dropping-particle":"","parse-names":false,"suffix":""},{"dropping-particle":"","family":"Knight","given":"Rob","non-dropping-particle":"","parse-names":false,"suffix":""}],"container-title":"mSystems","editor":[{"dropping-particle":"","family":"Jansson","given":"Janet K.","non-dropping-particle":"","parse-names":false,"suffix":""}],"id":"ITEM-1","issue":"1","issued":{"date-parts":[["2017","2","28"]]},"publisher":"American Society for Microbiology","title":"Balance Trees Reveal Microbial Niche Differentiation","type":"article-journal","volume":"2"},"uris":["http://www.mendeley.com/documents/?uuid=07963818-aa0c-3eb5-af71-69960a9783f8"]}],"mendeley":{"formattedCitation":"[11]","plainTextFormattedCitation":"[11]","previouslyFormattedCitation":"&lt;sup&gt;11&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[11]</w:t>
      </w:r>
      <w:r w:rsidRPr="00A96F8D">
        <w:rPr>
          <w:rFonts w:ascii="Arial" w:eastAsia="Calibri" w:hAnsi="Arial" w:cs="Arial"/>
        </w:rPr>
        <w:fldChar w:fldCharType="end"/>
      </w:r>
      <w:r w:rsidRPr="00A96F8D">
        <w:rPr>
          <w:rFonts w:ascii="Arial" w:eastAsia="Calibri" w:hAnsi="Arial" w:cs="Arial"/>
        </w:rPr>
        <w:t xml:space="preserve">.  To facilitate interpretation of results, the most abundant 1000 ASVs were included in the analysis by filtering ASVs with a total frequency of less than 1045. This removed 13,125 ASVs from the analysis. Gneiss was run using the gneiss plugin (https://biocore.github.io/gneiss/). First, a dendrogram of ASVs was created using Ward's hierarchical clustering. This method clusters ASVs which co-occur in samples together. An isometric log abundance of each ASV was calculated using the </w:t>
      </w:r>
      <w:proofErr w:type="spellStart"/>
      <w:r w:rsidRPr="00A96F8D">
        <w:rPr>
          <w:rFonts w:ascii="Arial" w:eastAsia="Calibri" w:hAnsi="Arial" w:cs="Arial"/>
        </w:rPr>
        <w:t>ilr</w:t>
      </w:r>
      <w:proofErr w:type="spellEnd"/>
      <w:r w:rsidRPr="00A96F8D">
        <w:rPr>
          <w:rFonts w:ascii="Arial" w:eastAsia="Calibri" w:hAnsi="Arial" w:cs="Arial"/>
        </w:rPr>
        <w:t>-transform command. Results were visualised through a dendrogram heatmap (Supplementary Figure 4).</w:t>
      </w:r>
    </w:p>
    <w:p w14:paraId="3F82F5B2" w14:textId="20BCAAB0" w:rsidR="00A96F8D" w:rsidRDefault="00A96F8D" w:rsidP="00A96F8D">
      <w:pPr>
        <w:spacing w:line="480" w:lineRule="auto"/>
        <w:jc w:val="both"/>
        <w:rPr>
          <w:rFonts w:ascii="Arial" w:eastAsia="Calibri" w:hAnsi="Arial" w:cs="Arial"/>
        </w:rPr>
      </w:pPr>
      <w:r w:rsidRPr="00A96F8D">
        <w:rPr>
          <w:rFonts w:ascii="Arial" w:eastAsia="Calibri" w:hAnsi="Arial" w:cs="Arial"/>
        </w:rPr>
        <w:t xml:space="preserve">ASVs present in an unfiltered ASV table of all samples was used to define ASVs which were “present” in each sample group. An ASV was defined as “present” in a sample group if its relative abundance across all samples was higher than 0.01%. Once lists of ASVs present in each sample group were compiled, intersections between sets of ASVs were visualised using </w:t>
      </w:r>
      <w:proofErr w:type="spellStart"/>
      <w:r w:rsidRPr="00A96F8D">
        <w:rPr>
          <w:rFonts w:ascii="Arial" w:eastAsia="Calibri" w:hAnsi="Arial" w:cs="Arial"/>
        </w:rPr>
        <w:t>UpSet</w:t>
      </w:r>
      <w:proofErr w:type="spellEnd"/>
      <w:r w:rsidRPr="00A96F8D">
        <w:rPr>
          <w:rFonts w:ascii="Arial" w:eastAsia="Calibri" w:hAnsi="Arial" w:cs="Arial"/>
        </w:rPr>
        <w:t xml:space="preserve"> </w:t>
      </w:r>
      <w:r w:rsidRPr="00A96F8D">
        <w:rPr>
          <w:rFonts w:ascii="Arial" w:eastAsia="Calibri" w:hAnsi="Arial" w:cs="Arial"/>
        </w:rPr>
        <w:fldChar w:fldCharType="begin" w:fldLock="1"/>
      </w:r>
      <w:r>
        <w:rPr>
          <w:rFonts w:ascii="Arial" w:eastAsia="Calibri" w:hAnsi="Arial" w:cs="Arial"/>
        </w:rPr>
        <w:instrText>ADDIN CSL_CITATION {"citationItems":[{"id":"ITEM-1","itemData":{"DOI":"10.1109/TVCG.2014.2346248","ISSN":"10772626","abstract":"Understanding relationships between sets is an important analysis task that has received widespread attention in the visualization community. The major challenge in this context is the combinatorial explosion of the number of set intersections if the number of sets exceeds a trivial threshold. In this paper we introduce UpSet, a novel visualization technique for the quantitative analysis of sets, their intersections, and aggregates of intersections. UpSet is focused on creating task-driven aggregates, communicating the size and properties of aggregates and intersections, and a duality between the visualization of the elements in a dataset and their set membership. UpSet visualizes set intersections in a matrix layout and introduces aggregates based on groupings and queries. The matrix layout enables the effective representation of associated data, such as the number of elements in the aggregates and intersections, as well as additional summary statistics derived from subset or element attributes. Sorting according to various measures enables a task-driven analysis of relevant intersections and aggregates. The elements represented in the sets and their associated attributes are visualized in a separate view. Queries based on containment in specific intersections, aggregates or driven by attribute filters are propagated between both views. We also introduce several advanced visual encodings and interaction methods to overcome the problems of varying scales and to address scalability. UpSet is web-based and open source. We demonstrate its general utility in multiple use cases from various domains.","author":[{"dropping-particle":"","family":"Lex","given":"Alexander","non-dropping-particle":"","parse-names":false,"suffix":""},{"dropping-particle":"","family":"Gehlenborg","given":"Nils","non-dropping-particle":"","parse-names":false,"suffix":""},{"dropping-particle":"","family":"Strobelt","given":"Hendrik","non-dropping-particle":"","parse-names":false,"suffix":""},{"dropping-particle":"","family":"Vuillemot","given":"Romain","non-dropping-particle":"","parse-names":false,"suffix":""},{"dropping-particle":"","family":"Pfister","given":"Hanspeter","non-dropping-particle":"","parse-names":false,"suffix":""}],"container-title":"IEEE Transactions on Visualization and Computer Graphics","id":"ITEM-1","issue":"12","issued":{"date-parts":[["2014","12","31"]]},"page":"1983-1992","publisher":"IEEE Computer Society","title":"UpSet: Visualization of intersecting sets","type":"article-journal","volume":"20"},"uris":["http://www.mendeley.com/documents/?uuid=709fdfb3-9882-397e-9240-74aa44f0682d"]}],"mendeley":{"formattedCitation":"[12]","plainTextFormattedCitation":"[12]","previouslyFormattedCitation":"&lt;sup&gt;12&lt;/sup&gt;"},"properties":{"noteIndex":0},"schema":"https://github.com/citation-style-language/schema/raw/master/csl-citation.json"}</w:instrText>
      </w:r>
      <w:r w:rsidRPr="00A96F8D">
        <w:rPr>
          <w:rFonts w:ascii="Arial" w:eastAsia="Calibri" w:hAnsi="Arial" w:cs="Arial"/>
        </w:rPr>
        <w:fldChar w:fldCharType="separate"/>
      </w:r>
      <w:r w:rsidRPr="00A96F8D">
        <w:rPr>
          <w:rFonts w:ascii="Arial" w:eastAsia="Calibri" w:hAnsi="Arial" w:cs="Arial"/>
          <w:noProof/>
        </w:rPr>
        <w:t>[12]</w:t>
      </w:r>
      <w:r w:rsidRPr="00A96F8D">
        <w:rPr>
          <w:rFonts w:ascii="Arial" w:eastAsia="Calibri" w:hAnsi="Arial" w:cs="Arial"/>
        </w:rPr>
        <w:fldChar w:fldCharType="end"/>
      </w:r>
      <w:r w:rsidRPr="00A96F8D">
        <w:rPr>
          <w:rFonts w:ascii="Arial" w:eastAsia="Calibri" w:hAnsi="Arial" w:cs="Arial"/>
        </w:rPr>
        <w:t>.</w:t>
      </w:r>
    </w:p>
    <w:p w14:paraId="42AF6CEB" w14:textId="293F065B" w:rsidR="00A96F8D" w:rsidRPr="00A96F8D" w:rsidRDefault="00A96F8D" w:rsidP="00A96F8D">
      <w:pPr>
        <w:widowControl w:val="0"/>
        <w:autoSpaceDE w:val="0"/>
        <w:autoSpaceDN w:val="0"/>
        <w:adjustRightInd w:val="0"/>
        <w:spacing w:line="480" w:lineRule="auto"/>
        <w:rPr>
          <w:rFonts w:ascii="Arial" w:hAnsi="Arial" w:cs="Arial"/>
          <w:noProof/>
          <w:szCs w:val="24"/>
        </w:rPr>
      </w:pPr>
      <w:r>
        <w:rPr>
          <w:rFonts w:ascii="Arial" w:eastAsia="Calibri" w:hAnsi="Arial" w:cs="Arial"/>
        </w:rPr>
        <w:fldChar w:fldCharType="begin" w:fldLock="1"/>
      </w:r>
      <w:r>
        <w:rPr>
          <w:rFonts w:ascii="Arial" w:eastAsia="Calibri" w:hAnsi="Arial" w:cs="Arial"/>
        </w:rPr>
        <w:instrText xml:space="preserve">ADDIN Mendeley Bibliography CSL_BIBLIOGRAPHY </w:instrText>
      </w:r>
      <w:r>
        <w:rPr>
          <w:rFonts w:ascii="Arial" w:eastAsia="Calibri" w:hAnsi="Arial" w:cs="Arial"/>
        </w:rPr>
        <w:fldChar w:fldCharType="separate"/>
      </w:r>
      <w:r w:rsidRPr="00A96F8D">
        <w:rPr>
          <w:rFonts w:ascii="Arial" w:hAnsi="Arial" w:cs="Arial"/>
          <w:noProof/>
          <w:szCs w:val="24"/>
        </w:rPr>
        <w:t xml:space="preserve">1. Caporaso JG, Lauber CL, Walters WA, Berg-Lyons D, Lozupone CA, Turnbaugh PJ, et al. </w:t>
      </w:r>
      <w:r w:rsidRPr="00A96F8D">
        <w:rPr>
          <w:rFonts w:ascii="Arial" w:hAnsi="Arial" w:cs="Arial"/>
          <w:noProof/>
          <w:szCs w:val="24"/>
        </w:rPr>
        <w:lastRenderedPageBreak/>
        <w:t>Global patterns of 16S rRNA diversity at a depth of millions of sequences per sample. Proc Natl Acad Sci. 2011;108 Supplement_1:4516–22. doi:10.1073/pnas.1000080107.</w:t>
      </w:r>
    </w:p>
    <w:p w14:paraId="5EF23C80"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2. Martin M. Cutadapt removes adapter sequences from high-throughput sequencing reads. EMBnet.journal. 2011;17:10.</w:t>
      </w:r>
    </w:p>
    <w:p w14:paraId="0E07DF22"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3. Bolyen E, Rideout JR, Dillon MR, Bokulich NA, Abnet CC, Al-Ghalith GA, et al. Reproducible, interactive, scalable and extensible microbiome data science using QIIME 2. Nature Biotechnology. 2019;37:852–7.</w:t>
      </w:r>
    </w:p>
    <w:p w14:paraId="5F07CCA7"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4. Katoh K, Standley DM. MAFFT multiple sequence alignment software version 7: Improvements in performance and usability. Mol Biol Evol. 2013;30:772–80.</w:t>
      </w:r>
    </w:p>
    <w:p w14:paraId="49431070"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5. Price MN, Dehal PS, Arkin AP. FastTree 2 - Approximately maximum-likelihood trees for large alignments. PLoS One. 2010;5:e9490.</w:t>
      </w:r>
    </w:p>
    <w:p w14:paraId="2CDA7680"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6. Pedregosa F, Varoquaux G, Gramfort A, Michel V, Thirion B, Grisel O, et al. Scikit-learn: Machine learning in Python. J Mach Learn Res. 2011;12:2825–30.</w:t>
      </w:r>
    </w:p>
    <w:p w14:paraId="5400CFDC"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7. Shannon CE. A Mathematical Theory of Communication. Bell Syst Tech J. 1948;27:379–423. doi:10.1002/j.1538-7305.1948.tb01338.x.</w:t>
      </w:r>
    </w:p>
    <w:p w14:paraId="3E331013"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8. Bray JR, Curtis JT. An Ordination of the Upland Forest Communities of Southern Wisconsin. Ecol Monogr. 1957;27:325–49. doi:10.2307/1942268.</w:t>
      </w:r>
    </w:p>
    <w:p w14:paraId="47FC8AFC"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9. Lozupone C, Knight R. UniFrac: A new phylogenetic method for comparing microbial communities. Appl Environ Microbiol. 2005;71:8228–35.</w:t>
      </w:r>
    </w:p>
    <w:p w14:paraId="3E6CB678"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10. Vázquez-Baeza Y, Pirrung M, Gonzalez A, Knight R. EMPeror: a tool for visualizing high-throughput microbial community data. Gigascience. 2013;2:16. doi:10.1186/2047-217X-2-16.</w:t>
      </w:r>
    </w:p>
    <w:p w14:paraId="6BA0FA06" w14:textId="77777777" w:rsidR="00A96F8D" w:rsidRPr="00A96F8D" w:rsidRDefault="00A96F8D" w:rsidP="00A96F8D">
      <w:pPr>
        <w:widowControl w:val="0"/>
        <w:autoSpaceDE w:val="0"/>
        <w:autoSpaceDN w:val="0"/>
        <w:adjustRightInd w:val="0"/>
        <w:spacing w:line="480" w:lineRule="auto"/>
        <w:rPr>
          <w:rFonts w:ascii="Arial" w:hAnsi="Arial" w:cs="Arial"/>
          <w:noProof/>
          <w:szCs w:val="24"/>
        </w:rPr>
      </w:pPr>
      <w:r w:rsidRPr="00A96F8D">
        <w:rPr>
          <w:rFonts w:ascii="Arial" w:hAnsi="Arial" w:cs="Arial"/>
          <w:noProof/>
          <w:szCs w:val="24"/>
        </w:rPr>
        <w:t>11. Morton JT, Sanders J, Quinn RA, McDonald D, Gonzalez A, Vázquez-Baeza Y, et al. Balance Trees Reveal Microbial Niche Differentiation. mSystems. 2017;2. doi:10.1128/mSystems.00162-16.</w:t>
      </w:r>
    </w:p>
    <w:p w14:paraId="19A4AF9E" w14:textId="77777777" w:rsidR="00A96F8D" w:rsidRPr="00A96F8D" w:rsidRDefault="00A96F8D" w:rsidP="00A96F8D">
      <w:pPr>
        <w:widowControl w:val="0"/>
        <w:autoSpaceDE w:val="0"/>
        <w:autoSpaceDN w:val="0"/>
        <w:adjustRightInd w:val="0"/>
        <w:spacing w:line="480" w:lineRule="auto"/>
        <w:rPr>
          <w:rFonts w:ascii="Arial" w:hAnsi="Arial" w:cs="Arial"/>
          <w:noProof/>
        </w:rPr>
      </w:pPr>
      <w:r w:rsidRPr="00A96F8D">
        <w:rPr>
          <w:rFonts w:ascii="Arial" w:hAnsi="Arial" w:cs="Arial"/>
          <w:noProof/>
          <w:szCs w:val="24"/>
        </w:rPr>
        <w:lastRenderedPageBreak/>
        <w:t>12. Lex A, Gehlenborg N, Strobelt H, Vuillemot R, Pfister H. UpSet: Visualization of intersecting sets. IEEE Trans Vis Comput Graph. 2014;20:1983–92.</w:t>
      </w:r>
    </w:p>
    <w:p w14:paraId="2D1EDC88" w14:textId="23DF6B88" w:rsidR="00A96F8D" w:rsidRPr="00A96F8D" w:rsidRDefault="00A96F8D" w:rsidP="00A96F8D">
      <w:pPr>
        <w:spacing w:line="480" w:lineRule="auto"/>
        <w:jc w:val="both"/>
        <w:rPr>
          <w:rFonts w:ascii="Arial" w:eastAsia="Calibri" w:hAnsi="Arial" w:cs="Arial"/>
        </w:rPr>
      </w:pPr>
      <w:r>
        <w:rPr>
          <w:rFonts w:ascii="Arial" w:eastAsia="Calibri" w:hAnsi="Arial" w:cs="Arial"/>
        </w:rPr>
        <w:fldChar w:fldCharType="end"/>
      </w:r>
    </w:p>
    <w:p w14:paraId="084DC967" w14:textId="77777777" w:rsidR="00A1022A" w:rsidRDefault="00A1022A"/>
    <w:sectPr w:rsidR="00A102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F8D"/>
    <w:rsid w:val="009450AD"/>
    <w:rsid w:val="00A1022A"/>
    <w:rsid w:val="00A96F8D"/>
    <w:rsid w:val="00BC4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D8C9"/>
  <w15:chartTrackingRefBased/>
  <w15:docId w15:val="{E0A1F93B-EAE4-4617-A4A0-A4073A601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768199">
      <w:bodyDiv w:val="1"/>
      <w:marLeft w:val="0"/>
      <w:marRight w:val="0"/>
      <w:marTop w:val="0"/>
      <w:marBottom w:val="0"/>
      <w:divBdr>
        <w:top w:val="none" w:sz="0" w:space="0" w:color="auto"/>
        <w:left w:val="none" w:sz="0" w:space="0" w:color="auto"/>
        <w:bottom w:val="none" w:sz="0" w:space="0" w:color="auto"/>
        <w:right w:val="none" w:sz="0" w:space="0" w:color="auto"/>
      </w:divBdr>
    </w:div>
    <w:div w:id="148500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904A0-8C18-4200-BEB3-4F36936C0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6</Pages>
  <Words>7485</Words>
  <Characters>42671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Barden</dc:creator>
  <cp:keywords/>
  <dc:description/>
  <cp:lastModifiedBy>Matt Barden</cp:lastModifiedBy>
  <cp:revision>1</cp:revision>
  <dcterms:created xsi:type="dcterms:W3CDTF">2020-08-18T16:51:00Z</dcterms:created>
  <dcterms:modified xsi:type="dcterms:W3CDTF">2020-08-19T09:25:00Z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http://www.zotero.org/styles/biomed-central</vt:lpwstr>
  </property>
  <property fmtid="{D5CDD505-2E9C-101B-9397-08002B2CF9AE}" pid="7" name="Mendeley Recent Style Name 2_1">
    <vt:lpwstr>BioMed Central</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http://www.zotero.org/styles/journal-of-dairy-science</vt:lpwstr>
  </property>
  <property fmtid="{D5CDD505-2E9C-101B-9397-08002B2CF9AE}" pid="13" name="Mendeley Recent Style Name 5_1">
    <vt:lpwstr>Journal of Dairy Science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http://www.zotero.org/styles/preventive-veterinary-medicine</vt:lpwstr>
  </property>
  <property fmtid="{D5CDD505-2E9C-101B-9397-08002B2CF9AE}" pid="17" name="Mendeley Recent Style Name 7_1">
    <vt:lpwstr>Preventive Veterinary Medicine</vt:lpwstr>
  </property>
  <property fmtid="{D5CDD505-2E9C-101B-9397-08002B2CF9AE}" pid="18" name="Mendeley Recent Style Id 8_1">
    <vt:lpwstr>http://csl.mendeley.com/styles/497920761/harvard-the-university-of-sheffield-school-of-east-asian-studies</vt:lpwstr>
  </property>
  <property fmtid="{D5CDD505-2E9C-101B-9397-08002B2CF9AE}" pid="19" name="Mendeley Recent Style Name 8_1">
    <vt:lpwstr>SVEPM Matt Barden</vt:lpwstr>
  </property>
  <property fmtid="{D5CDD505-2E9C-101B-9397-08002B2CF9AE}" pid="20" name="Mendeley Recent Style Id 9_1">
    <vt:lpwstr>http://csl.mendeley.com/styles/497920761/harvard-the-university-of-sheffield2</vt:lpwstr>
  </property>
  <property fmtid="{D5CDD505-2E9C-101B-9397-08002B2CF9AE}" pid="21" name="Mendeley Recent Style Name 9_1">
    <vt:lpwstr>The University of Sheffield - School of East Asian Studies - Harvard - Matt Barden</vt:lpwstr>
  </property>
  <property fmtid="{D5CDD505-2E9C-101B-9397-08002B2CF9AE}" pid="22" name="Mendeley Document_1">
    <vt:lpwstr>True</vt:lpwstr>
  </property>
  <property fmtid="{D5CDD505-2E9C-101B-9397-08002B2CF9AE}" pid="23" name="Mendeley Unique User Id_1">
    <vt:lpwstr>7e9a74f8-fecf-34ac-a072-c2ac145444f4</vt:lpwstr>
  </property>
  <property fmtid="{D5CDD505-2E9C-101B-9397-08002B2CF9AE}" pid="24" name="Mendeley Citation Style_1">
    <vt:lpwstr>http://www.zotero.org/styles/biomed-central</vt:lpwstr>
  </property>
</Properties>
</file>