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after="0" w:before="0" w:lineRule="auto"/>
        <w:rPr>
          <w:sz w:val="22"/>
          <w:szCs w:val="22"/>
        </w:rPr>
      </w:pPr>
      <w:bookmarkStart w:colFirst="0" w:colLast="0" w:name="_vxkud2y0yntt" w:id="0"/>
      <w:bookmarkEnd w:id="0"/>
      <w:r w:rsidDel="00000000" w:rsidR="00000000" w:rsidRPr="00000000">
        <w:rPr>
          <w:b w:val="1"/>
          <w:sz w:val="22"/>
          <w:szCs w:val="22"/>
          <w:rtl w:val="0"/>
        </w:rPr>
        <w:t xml:space="preserve">Supplemental Table 2. </w:t>
      </w:r>
      <w:r w:rsidDel="00000000" w:rsidR="00000000" w:rsidRPr="00000000">
        <w:rPr>
          <w:sz w:val="22"/>
          <w:szCs w:val="22"/>
          <w:rtl w:val="0"/>
        </w:rPr>
        <w:t xml:space="preserve">Measures of gut microbial evenness and 𝛂-diversity at weeks 0, 4, and 6 at sequencing coverage 380,000 reads</w:t>
      </w:r>
    </w:p>
    <w:tbl>
      <w:tblPr>
        <w:tblStyle w:val="Table1"/>
        <w:tblW w:w="9359.999999999998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64.2105263157894"/>
        <w:gridCol w:w="780"/>
        <w:gridCol w:w="1820"/>
        <w:gridCol w:w="807.3684210526314"/>
        <w:gridCol w:w="2052.6315789473683"/>
        <w:gridCol w:w="793.6842105263157"/>
        <w:gridCol w:w="821.0526315789473"/>
        <w:gridCol w:w="821.0526315789473"/>
        <w:tblGridChange w:id="0">
          <w:tblGrid>
            <w:gridCol w:w="1464.2105263157894"/>
            <w:gridCol w:w="780"/>
            <w:gridCol w:w="1820"/>
            <w:gridCol w:w="807.3684210526314"/>
            <w:gridCol w:w="2052.6315789473683"/>
            <w:gridCol w:w="793.6842105263157"/>
            <w:gridCol w:w="821.0526315789473"/>
            <w:gridCol w:w="821.0526315789473"/>
          </w:tblGrid>
        </w:tblGridChange>
      </w:tblGrid>
      <w:tr>
        <w:trPr>
          <w:trHeight w:val="42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Measure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Week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Synbiotics</w:t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(SN, n=23)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Placebo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(PL, n=19)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P**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P***</w:t>
            </w:r>
          </w:p>
        </w:tc>
      </w:tr>
      <w:tr>
        <w:trPr>
          <w:trHeight w:val="4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Median (IQR)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b w:val="1"/>
                <w:sz w:val="18"/>
                <w:szCs w:val="18"/>
                <w:vertAlign w:val="subscript"/>
                <w:rtl w:val="0"/>
              </w:rPr>
              <w:t xml:space="preserve">vs M0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Median (IQR)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b w:val="1"/>
                <w:sz w:val="18"/>
                <w:szCs w:val="18"/>
                <w:vertAlign w:val="subscript"/>
                <w:rtl w:val="0"/>
              </w:rPr>
              <w:t xml:space="preserve">vs M0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Evenness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Richness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Shannon’s diversity index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Simpson’s diversity index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0.59 (0.55-0.63)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0.60 (0.53-0.63)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0.57 (0.53-0.63)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692 (601-744)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690 (618-757)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670 (622-779)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2.76 (2.58-2.95)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2.65 (2.45-2.92)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2.67 (2.40-2.88)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2.76 (2.58-2.95)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2.65 (2.45-2.92)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2.67 (2.40-2.88)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0.870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0.393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0.823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0.633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0.870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0.393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0.870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0.393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0.57 (0.50-0.60)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0.55 (0.51-0.60)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677 (592-757)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694 (622-763)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2.63 (2.31-2.80)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2.58 (2.38-2.81)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2.63 (2.31-2.80)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2.58 (2.38-2.81)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0.568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0.294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0.568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0.568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0.137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0.548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0.960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0.920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0.137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0.548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0.137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0.548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0.653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0.617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0.653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0.653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</w:t>
            </w:r>
          </w:p>
        </w:tc>
      </w:tr>
    </w:tbl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* Wilcoxon signed-rank test comparing week 4 or 6 and week 0 within each group. 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** Wilcoxon rank sum test comparing each time point between SN and PL.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*** Wilcoxon rank sum test comparing changes from week 0 to week 4 between SN and PL.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NA: not applicable.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