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Supplemental Table 3.</w:t>
      </w:r>
      <w:r w:rsidDel="00000000" w:rsidR="00000000" w:rsidRPr="00000000">
        <w:rPr>
          <w:rtl w:val="0"/>
        </w:rPr>
        <w:t xml:space="preserve"> Breeds and diet of study participants </w:t>
      </w:r>
      <w:r w:rsidDel="00000000" w:rsidR="00000000" w:rsidRPr="00000000">
        <w:rPr>
          <w:highlight w:val="yellow"/>
          <w:rtl w:val="0"/>
        </w:rPr>
        <w:t xml:space="preserve">(placebo n=19, synbiotic n=24)</w:t>
      </w:r>
    </w:p>
    <w:tbl>
      <w:tblPr>
        <w:tblStyle w:val="Table1"/>
        <w:tblW w:w="129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1020"/>
        <w:gridCol w:w="1635"/>
        <w:gridCol w:w="810"/>
        <w:gridCol w:w="4230"/>
        <w:gridCol w:w="2625"/>
        <w:gridCol w:w="1515"/>
        <w:tblGridChange w:id="0">
          <w:tblGrid>
            <w:gridCol w:w="1140"/>
            <w:gridCol w:w="1020"/>
            <w:gridCol w:w="1635"/>
            <w:gridCol w:w="810"/>
            <w:gridCol w:w="4230"/>
            <w:gridCol w:w="2625"/>
            <w:gridCol w:w="151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Subject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Group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Age, in years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Sex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Breed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Body Condition Score*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Recipe**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S01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Zuchon (Bichon Frise/Shih Tzu mix)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B,T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8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Yorkshire Terrier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Brussels Griffon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Havanese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B,P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S12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Dachshund (miniature)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Dachshund (miniature)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B,T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8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Japanese Chin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French Bulldog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B,C,P,T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Miniature Pinscher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Boston Terrier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B,P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Mixed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No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S33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Bichon Frise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B,C,P,T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Yorkshire Terrier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B,C,P,T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S37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Great Pyrenees/German Shepherd mix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Chihuahua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B,C,P,T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Weimaraner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Boxer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C,T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Maltese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C,T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MR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No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HR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Pit Bull Terrier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LR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Australian Cattle Dog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HR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American Cocker Spaniel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S11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LR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Maltese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S13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HR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Biewer Yorkie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S14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HR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Goldendoodle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S15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LR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Chiweenie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LR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Poodle Mix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C,T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MR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Pointer/Chihuahua Mix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LR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Schnauzer (miniature)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LR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Shetland Sheepdog (sheltie)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S28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LR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Dachshund (miniature)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S30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MR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Chihuahua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S32***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Chihuahua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HR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8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Daschund (miniature)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HR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0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Cavalier King Charles Spaniel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S39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MR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American Staffordshire Terrier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HR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E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Schnoodle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B,C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MR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6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Jack Russell Terrier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8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B,C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MR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American Staffordshire Terrier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LR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4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Boston Terrier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6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HR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Yorkshire Terrier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D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4-5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</w:t>
            </w:r>
          </w:p>
        </w:tc>
      </w:tr>
      <w:t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S49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SN, MR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1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2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Cavalier King Charles Spaniel/Bichon Frise mix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4">
            <w:pPr>
              <w:widowControl w:val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3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C,T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highlight w:val="yellow"/>
        </w:rPr>
      </w:pPr>
      <w:r w:rsidDel="00000000" w:rsidR="00000000" w:rsidRPr="00000000">
        <w:rPr>
          <w:rtl w:val="0"/>
        </w:rPr>
        <w:t xml:space="preserve">PL: placebo, SN: synbiotics, </w:t>
      </w:r>
      <w:r w:rsidDel="00000000" w:rsidR="00000000" w:rsidRPr="00000000">
        <w:rPr>
          <w:highlight w:val="yellow"/>
          <w:rtl w:val="0"/>
        </w:rPr>
        <w:t xml:space="preserve">LR: low-responder, MR: mid-responder, HR: high-responder (see section 3.3.1 for the definition of LR, MR, HR)</w:t>
      </w:r>
    </w:p>
    <w:p w:rsidR="00000000" w:rsidDel="00000000" w:rsidP="00000000" w:rsidRDefault="00000000" w:rsidRPr="00000000" w14:paraId="00000138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*9-point body condition score: 3 (mildly underweight), 4-5 (normal weight), 6 (mildly overweight), 7 (overweight)</w:t>
      </w:r>
    </w:p>
    <w:p w:rsidR="00000000" w:rsidDel="00000000" w:rsidP="00000000" w:rsidRDefault="00000000" w:rsidRPr="00000000" w14:paraId="00000139">
      <w:pPr>
        <w:rPr>
          <w:highlight w:val="yellow"/>
        </w:rPr>
      </w:pPr>
      <w:r w:rsidDel="00000000" w:rsidR="00000000" w:rsidRPr="00000000">
        <w:rPr>
          <w:rtl w:val="0"/>
        </w:rPr>
        <w:t xml:space="preserve">**Each participant was on one, two, or four of the four available recipes which were B (beef), C (chicken), P (pork), and T (turkey). </w:t>
      </w:r>
      <w:r w:rsidDel="00000000" w:rsidR="00000000" w:rsidRPr="00000000">
        <w:rPr>
          <w:highlight w:val="yellow"/>
          <w:rtl w:val="0"/>
        </w:rPr>
        <w:t xml:space="preserve">Ingredients and nutritional profiles of each recipe are available in Supplemental Table 1 and </w:t>
      </w:r>
      <w:hyperlink r:id="rId6">
        <w:r w:rsidDel="00000000" w:rsidR="00000000" w:rsidRPr="00000000">
          <w:rPr>
            <w:color w:val="1155cc"/>
            <w:highlight w:val="yellow"/>
            <w:u w:val="single"/>
            <w:rtl w:val="0"/>
          </w:rPr>
          <w:t xml:space="preserve">www.nomnomnow.com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*** S32 not included in the gut microbiome analysis because fecal sample was not processed on the same batch as other samples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nomnomnow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