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after="0" w:before="0" w:lineRule="auto"/>
        <w:rPr>
          <w:sz w:val="22"/>
          <w:szCs w:val="22"/>
        </w:rPr>
      </w:pPr>
      <w:bookmarkStart w:colFirst="0" w:colLast="0" w:name="_m9hd0kvk4z0r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Supplemental Table 6. </w:t>
      </w:r>
      <w:r w:rsidDel="00000000" w:rsidR="00000000" w:rsidRPr="00000000">
        <w:rPr>
          <w:sz w:val="22"/>
          <w:szCs w:val="22"/>
          <w:rtl w:val="0"/>
        </w:rPr>
        <w:t xml:space="preserve">B</w:t>
      </w:r>
      <w:r w:rsidDel="00000000" w:rsidR="00000000" w:rsidRPr="00000000">
        <w:rPr>
          <w:sz w:val="22"/>
          <w:szCs w:val="22"/>
          <w:rtl w:val="0"/>
        </w:rPr>
        <w:t xml:space="preserve">aseline subject characteristics of high- (HR), mid- (MR), and low-responders (LR) in the synbiotics group.</w:t>
      </w:r>
    </w:p>
    <w:tbl>
      <w:tblPr>
        <w:tblStyle w:val="Table1"/>
        <w:tblW w:w="93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1780.0000000000002"/>
        <w:gridCol w:w="1780.0000000000002"/>
        <w:gridCol w:w="1780.0000000000002"/>
        <w:gridCol w:w="1395"/>
        <w:tblGridChange w:id="0">
          <w:tblGrid>
            <w:gridCol w:w="2640"/>
            <w:gridCol w:w="1780.0000000000002"/>
            <w:gridCol w:w="1780.0000000000002"/>
            <w:gridCol w:w="1780.0000000000002"/>
            <w:gridCol w:w="13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HR</w:t>
              <w:br w:type="textWrapping"/>
              <w:t xml:space="preserve">(n = 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MR</w:t>
              <w:br w:type="textWrapping"/>
              <w:t xml:space="preserve">(n = 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LR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(n = 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 value*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Age, in years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Male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Spayed or neutered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Body condition score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1-3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4-5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6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Ideal body weight, in kg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activity level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Normal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Active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Very active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3.9 ± 2.2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(63%)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 (100%)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(13%)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(75%)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(13%)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10.7 ± 8.5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(63%)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(25%)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5.3 ± 3.3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(57%)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 (100%)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(14%)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(86%)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(0%)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12.9 ± 10.2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(71%)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(14%)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(14%)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5.8 ± 3.7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(63%)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(75%)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 (0%)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 (88%)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(13%)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8.2 ± 4.7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(63%)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(25%)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(13%)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0.572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0.304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0.693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* Kruskal-Wallis test for continuous variables and Fisher’s exact test for categorical variables.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