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both"/>
        <w:rPr>
          <w:rFonts w:ascii="Times New Roman" w:hAnsi="Times New Roman" w:eastAsia="Times New Roman" w:cs="Times New Roman"/>
          <w:b/>
          <w:b/>
          <w:sz w:val="24"/>
          <w:szCs w:val="24"/>
        </w:rPr>
      </w:pPr>
      <w: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5943600" cy="291211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943600" cy="2912110"/>
                    </a:xfrm>
                    <a:prstGeom prst="rect">
                      <a:avLst/>
                    </a:prstGeom>
                  </pic:spPr>
                </pic:pic>
              </a:graphicData>
            </a:graphic>
          </wp:anchor>
        </w:drawing>
      </w:r>
      <w:r>
        <w:rPr>
          <w:rFonts w:eastAsia="Times New Roman" w:cs="Times New Roman" w:ascii="Times New Roman" w:hAnsi="Times New Roman"/>
          <w:b/>
          <w:sz w:val="24"/>
          <w:szCs w:val="24"/>
        </w:rPr>
        <w:t>S</w:t>
      </w:r>
      <w:r>
        <w:rPr>
          <w:rFonts w:eastAsia="Times New Roman" w:cs="Times New Roman" w:ascii="Times New Roman" w:hAnsi="Times New Roman"/>
          <w:b/>
          <w:sz w:val="24"/>
          <w:szCs w:val="24"/>
        </w:rPr>
        <w:t xml:space="preserve">upplementary Figure S1. </w:t>
      </w:r>
      <w:r>
        <w:rPr>
          <w:rFonts w:eastAsia="Times New Roman" w:cs="Times New Roman" w:ascii="Times New Roman" w:hAnsi="Times New Roman"/>
          <w:sz w:val="24"/>
          <w:szCs w:val="24"/>
        </w:rPr>
        <w:t>Rarefaction curves for all 2015, 2016 (A) and 2020 (B) collected samples.</w:t>
      </w:r>
      <w:r>
        <w:br w:type="page"/>
      </w:r>
    </w:p>
    <w:p>
      <w:pPr>
        <w:pStyle w:val="Normal"/>
        <w:spacing w:lineRule="auto" w:line="360"/>
        <w:jc w:val="both"/>
        <w:rPr>
          <w:rFonts w:ascii="Times New Roman" w:hAnsi="Times New Roman" w:eastAsia="Times New Roman" w:cs="Times New Roman"/>
          <w:sz w:val="24"/>
          <w:szCs w:val="24"/>
        </w:rPr>
      </w:pPr>
      <w:r>
        <w:rPr/>
        <w:drawing>
          <wp:inline distT="0" distB="0" distL="0" distR="0">
            <wp:extent cx="4449445" cy="7443470"/>
            <wp:effectExtent l="0" t="0" r="0" b="0"/>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3"/>
                    <a:stretch>
                      <a:fillRect/>
                    </a:stretch>
                  </pic:blipFill>
                  <pic:spPr bwMode="auto">
                    <a:xfrm>
                      <a:off x="0" y="0"/>
                      <a:ext cx="4449445" cy="7443470"/>
                    </a:xfrm>
                    <a:prstGeom prst="rect">
                      <a:avLst/>
                    </a:prstGeom>
                  </pic:spPr>
                </pic:pic>
              </a:graphicData>
            </a:graphic>
          </wp:inline>
        </w:drawing>
      </w:r>
    </w:p>
    <w:p>
      <w:pPr>
        <w:pStyle w:val="Normal"/>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Supplementary Figure S2. </w:t>
      </w:r>
      <w:r>
        <w:rPr>
          <w:rFonts w:eastAsia="Times New Roman" w:cs="Times New Roman" w:ascii="Times New Roman" w:hAnsi="Times New Roman"/>
          <w:sz w:val="24"/>
          <w:szCs w:val="24"/>
        </w:rPr>
        <w:t xml:space="preserve">Tukey’s test of significance for different diversity indices between different time points and body sites during </w:t>
      </w:r>
      <w:r>
        <w:rPr>
          <w:rFonts w:eastAsia="Times New Roman" w:cs="Times New Roman" w:ascii="Times New Roman" w:hAnsi="Times New Roman"/>
          <w:i/>
          <w:sz w:val="24"/>
          <w:szCs w:val="24"/>
        </w:rPr>
        <w:t xml:space="preserve">V. harveyi </w:t>
      </w:r>
      <w:r>
        <w:rPr>
          <w:rFonts w:eastAsia="Times New Roman" w:cs="Times New Roman" w:ascii="Times New Roman" w:hAnsi="Times New Roman"/>
          <w:sz w:val="24"/>
          <w:szCs w:val="24"/>
        </w:rPr>
        <w:t>infection in summer, 2015 and winter 2016.</w:t>
      </w:r>
      <w:r>
        <w:br w:type="page"/>
      </w:r>
    </w:p>
    <w:p>
      <w:pPr>
        <w:pStyle w:val="Normal"/>
        <w:spacing w:lineRule="auto" w:line="360"/>
        <w:jc w:val="both"/>
        <w:rPr>
          <w:rFonts w:ascii="Times New Roman" w:hAnsi="Times New Roman" w:eastAsia="Times New Roman" w:cs="Times New Roman"/>
          <w:sz w:val="24"/>
          <w:szCs w:val="24"/>
        </w:rPr>
      </w:pPr>
      <w:r>
        <w:rPr/>
        <w:drawing>
          <wp:inline distT="0" distB="0" distL="0" distR="0">
            <wp:extent cx="5943600" cy="4724400"/>
            <wp:effectExtent l="0" t="0" r="0" b="0"/>
            <wp:docPr id="3"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
                    <pic:cNvPicPr>
                      <a:picLocks noChangeAspect="1" noChangeArrowheads="1"/>
                    </pic:cNvPicPr>
                  </pic:nvPicPr>
                  <pic:blipFill>
                    <a:blip r:embed="rId4"/>
                    <a:stretch>
                      <a:fillRect/>
                    </a:stretch>
                  </pic:blipFill>
                  <pic:spPr bwMode="auto">
                    <a:xfrm>
                      <a:off x="0" y="0"/>
                      <a:ext cx="5943600" cy="4724400"/>
                    </a:xfrm>
                    <a:prstGeom prst="rect">
                      <a:avLst/>
                    </a:prstGeom>
                  </pic:spPr>
                </pic:pic>
              </a:graphicData>
            </a:graphic>
          </wp:inline>
        </w:drawing>
      </w:r>
    </w:p>
    <w:p>
      <w:pPr>
        <w:pStyle w:val="Normal"/>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Supplementary Figure S3.</w:t>
      </w:r>
      <w:r>
        <w:rPr>
          <w:rFonts w:eastAsia="Times New Roman" w:cs="Times New Roman" w:ascii="Times New Roman" w:hAnsi="Times New Roman"/>
          <w:sz w:val="24"/>
          <w:szCs w:val="24"/>
        </w:rPr>
        <w:t xml:space="preserve"> Bar graph illustrating DeSeq analysis showing relative abundances of differential significant ASV’s (different colors). Each bar represents one (tagged) fish at different time points (T</w:t>
      </w:r>
      <w:r>
        <w:rPr>
          <w:rFonts w:eastAsia="Times New Roman" w:cs="Times New Roman" w:ascii="Times New Roman" w:hAnsi="Times New Roman"/>
          <w:sz w:val="24"/>
          <w:szCs w:val="24"/>
          <w:vertAlign w:val="subscript"/>
        </w:rPr>
        <w:t>0</w:t>
      </w:r>
      <w:r>
        <w:rPr>
          <w:rFonts w:eastAsia="Times New Roman" w:cs="Times New Roman" w:ascii="Times New Roman" w:hAnsi="Times New Roman"/>
          <w:sz w:val="24"/>
          <w:szCs w:val="24"/>
        </w:rPr>
        <w:t xml:space="preserve"> before infection, T</w:t>
      </w:r>
      <w:r>
        <w:rPr>
          <w:rFonts w:eastAsia="Times New Roman" w:cs="Times New Roman" w:ascii="Times New Roman" w:hAnsi="Times New Roman"/>
          <w:sz w:val="24"/>
          <w:szCs w:val="24"/>
          <w:vertAlign w:val="subscript"/>
        </w:rPr>
        <w:t>1</w:t>
      </w:r>
      <w:r>
        <w:rPr>
          <w:rFonts w:eastAsia="Times New Roman" w:cs="Times New Roman" w:ascii="Times New Roman" w:hAnsi="Times New Roman"/>
          <w:sz w:val="24"/>
          <w:szCs w:val="24"/>
        </w:rPr>
        <w:t xml:space="preserve"> 24h, T</w:t>
      </w:r>
      <w:r>
        <w:rPr>
          <w:rFonts w:eastAsia="Times New Roman" w:cs="Times New Roman" w:ascii="Times New Roman" w:hAnsi="Times New Roman"/>
          <w:sz w:val="24"/>
          <w:szCs w:val="24"/>
          <w:vertAlign w:val="subscript"/>
        </w:rPr>
        <w:t>2</w:t>
      </w:r>
      <w:r>
        <w:rPr>
          <w:rFonts w:eastAsia="Times New Roman" w:cs="Times New Roman" w:ascii="Times New Roman" w:hAnsi="Times New Roman"/>
          <w:sz w:val="24"/>
          <w:szCs w:val="24"/>
        </w:rPr>
        <w:t xml:space="preserve"> one week, T</w:t>
      </w:r>
      <w:r>
        <w:rPr>
          <w:rFonts w:eastAsia="Times New Roman" w:cs="Times New Roman" w:ascii="Times New Roman" w:hAnsi="Times New Roman"/>
          <w:sz w:val="24"/>
          <w:szCs w:val="24"/>
          <w:vertAlign w:val="subscript"/>
        </w:rPr>
        <w:t>3</w:t>
      </w:r>
      <w:r>
        <w:rPr>
          <w:rFonts w:eastAsia="Times New Roman" w:cs="Times New Roman" w:ascii="Times New Roman" w:hAnsi="Times New Roman"/>
          <w:sz w:val="24"/>
          <w:szCs w:val="24"/>
        </w:rPr>
        <w:t xml:space="preserve"> three weeks post infection), body sites (Abdomen (A); Gills (G); Lateral line (L)) for non-UV treatment during </w:t>
      </w:r>
      <w:r>
        <w:rPr>
          <w:rFonts w:eastAsia="Times New Roman" w:cs="Times New Roman" w:ascii="Times New Roman" w:hAnsi="Times New Roman"/>
          <w:i/>
          <w:sz w:val="24"/>
          <w:szCs w:val="24"/>
        </w:rPr>
        <w:t xml:space="preserve">V. harveyi </w:t>
      </w:r>
      <w:r>
        <w:rPr>
          <w:rFonts w:eastAsia="Times New Roman" w:cs="Times New Roman" w:ascii="Times New Roman" w:hAnsi="Times New Roman"/>
          <w:sz w:val="24"/>
          <w:szCs w:val="24"/>
        </w:rPr>
        <w:t>infection in summer, 2015.</w:t>
      </w:r>
      <w:r>
        <w:br w:type="page"/>
      </w:r>
    </w:p>
    <w:p>
      <w:pPr>
        <w:pStyle w:val="Normal"/>
        <w:spacing w:lineRule="auto" w:line="360"/>
        <w:jc w:val="both"/>
        <w:rPr>
          <w:rFonts w:ascii="Times New Roman" w:hAnsi="Times New Roman" w:eastAsia="Times New Roman" w:cs="Times New Roman"/>
          <w:b/>
          <w:b/>
          <w:sz w:val="24"/>
          <w:szCs w:val="24"/>
        </w:rPr>
      </w:pPr>
      <w:r>
        <w:rPr/>
        <w:drawing>
          <wp:inline distT="0" distB="0" distL="0" distR="0">
            <wp:extent cx="5943600" cy="4533900"/>
            <wp:effectExtent l="0" t="0" r="0" b="0"/>
            <wp:docPr id="4" name="image8.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png" descr=""/>
                    <pic:cNvPicPr>
                      <a:picLocks noChangeAspect="1" noChangeArrowheads="1"/>
                    </pic:cNvPicPr>
                  </pic:nvPicPr>
                  <pic:blipFill>
                    <a:blip r:embed="rId5"/>
                    <a:stretch>
                      <a:fillRect/>
                    </a:stretch>
                  </pic:blipFill>
                  <pic:spPr bwMode="auto">
                    <a:xfrm>
                      <a:off x="0" y="0"/>
                      <a:ext cx="5943600" cy="4533900"/>
                    </a:xfrm>
                    <a:prstGeom prst="rect">
                      <a:avLst/>
                    </a:prstGeom>
                  </pic:spPr>
                </pic:pic>
              </a:graphicData>
            </a:graphic>
          </wp:inline>
        </w:drawing>
      </w:r>
    </w:p>
    <w:p>
      <w:pPr>
        <w:pStyle w:val="Normal"/>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Supplementary Figure S4.</w:t>
      </w:r>
      <w:r>
        <w:rPr>
          <w:rFonts w:eastAsia="Times New Roman" w:cs="Times New Roman" w:ascii="Times New Roman" w:hAnsi="Times New Roman"/>
          <w:sz w:val="24"/>
          <w:szCs w:val="24"/>
        </w:rPr>
        <w:t xml:space="preserve"> Bar graph illustrating DeSeq analysis showing relative abundances of differential significant ASV’s (different colors). Each bar represents one (tagged) fish at different time points (T</w:t>
      </w:r>
      <w:r>
        <w:rPr>
          <w:rFonts w:eastAsia="Times New Roman" w:cs="Times New Roman" w:ascii="Times New Roman" w:hAnsi="Times New Roman"/>
          <w:sz w:val="24"/>
          <w:szCs w:val="24"/>
          <w:vertAlign w:val="subscript"/>
        </w:rPr>
        <w:t>0</w:t>
      </w:r>
      <w:r>
        <w:rPr>
          <w:rFonts w:eastAsia="Times New Roman" w:cs="Times New Roman" w:ascii="Times New Roman" w:hAnsi="Times New Roman"/>
          <w:sz w:val="24"/>
          <w:szCs w:val="24"/>
        </w:rPr>
        <w:t xml:space="preserve"> before infection, T</w:t>
      </w:r>
      <w:r>
        <w:rPr>
          <w:rFonts w:eastAsia="Times New Roman" w:cs="Times New Roman" w:ascii="Times New Roman" w:hAnsi="Times New Roman"/>
          <w:sz w:val="24"/>
          <w:szCs w:val="24"/>
          <w:vertAlign w:val="subscript"/>
        </w:rPr>
        <w:t>1</w:t>
      </w:r>
      <w:r>
        <w:rPr>
          <w:rFonts w:eastAsia="Times New Roman" w:cs="Times New Roman" w:ascii="Times New Roman" w:hAnsi="Times New Roman"/>
          <w:sz w:val="24"/>
          <w:szCs w:val="24"/>
        </w:rPr>
        <w:t xml:space="preserve"> 24h, T2 one week, T</w:t>
      </w:r>
      <w:r>
        <w:rPr>
          <w:rFonts w:eastAsia="Times New Roman" w:cs="Times New Roman" w:ascii="Times New Roman" w:hAnsi="Times New Roman"/>
          <w:sz w:val="24"/>
          <w:szCs w:val="24"/>
          <w:vertAlign w:val="subscript"/>
        </w:rPr>
        <w:t>3</w:t>
      </w:r>
      <w:r>
        <w:rPr>
          <w:rFonts w:eastAsia="Times New Roman" w:cs="Times New Roman" w:ascii="Times New Roman" w:hAnsi="Times New Roman"/>
          <w:sz w:val="24"/>
          <w:szCs w:val="24"/>
        </w:rPr>
        <w:t xml:space="preserve"> three weeks post infection), different body sites (Abdomen (A); Gills (G); Lateral line (L)) and at different UV treatments during </w:t>
      </w:r>
      <w:r>
        <w:rPr>
          <w:rFonts w:eastAsia="Times New Roman" w:cs="Times New Roman" w:ascii="Times New Roman" w:hAnsi="Times New Roman"/>
          <w:i/>
          <w:sz w:val="24"/>
          <w:szCs w:val="24"/>
        </w:rPr>
        <w:t xml:space="preserve">V. harveyi </w:t>
      </w:r>
      <w:r>
        <w:rPr>
          <w:rFonts w:eastAsia="Times New Roman" w:cs="Times New Roman" w:ascii="Times New Roman" w:hAnsi="Times New Roman"/>
          <w:sz w:val="24"/>
          <w:szCs w:val="24"/>
        </w:rPr>
        <w:t>infection in winter, 2016.</w:t>
      </w:r>
      <w:r>
        <w:br w:type="page"/>
      </w:r>
    </w:p>
    <w:p>
      <w:pPr>
        <w:pStyle w:val="Normal"/>
        <w:spacing w:lineRule="auto" w:line="360"/>
        <w:jc w:val="both"/>
        <w:rPr>
          <w:rFonts w:ascii="Times New Roman" w:hAnsi="Times New Roman" w:eastAsia="Times New Roman" w:cs="Times New Roman"/>
          <w:b/>
          <w:b/>
          <w:sz w:val="24"/>
          <w:szCs w:val="24"/>
        </w:rPr>
      </w:pPr>
      <w:r>
        <w:rPr/>
        <w:drawing>
          <wp:inline distT="0" distB="0" distL="0" distR="0">
            <wp:extent cx="5943600" cy="4203700"/>
            <wp:effectExtent l="0" t="0" r="0" b="0"/>
            <wp:docPr id="5" name="image7.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descr=""/>
                    <pic:cNvPicPr>
                      <a:picLocks noChangeAspect="1" noChangeArrowheads="1"/>
                    </pic:cNvPicPr>
                  </pic:nvPicPr>
                  <pic:blipFill>
                    <a:blip r:embed="rId6"/>
                    <a:stretch>
                      <a:fillRect/>
                    </a:stretch>
                  </pic:blipFill>
                  <pic:spPr bwMode="auto">
                    <a:xfrm>
                      <a:off x="0" y="0"/>
                      <a:ext cx="5943600" cy="4203700"/>
                    </a:xfrm>
                    <a:prstGeom prst="rect">
                      <a:avLst/>
                    </a:prstGeom>
                  </pic:spPr>
                </pic:pic>
              </a:graphicData>
            </a:graphic>
          </wp:inline>
        </w:drawing>
      </w:r>
    </w:p>
    <w:p>
      <w:pPr>
        <w:pStyle w:val="Normal"/>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Supplementary Figure S5.</w:t>
      </w:r>
      <w:r>
        <w:rPr>
          <w:rFonts w:eastAsia="Times New Roman" w:cs="Times New Roman" w:ascii="Times New Roman" w:hAnsi="Times New Roman"/>
          <w:sz w:val="24"/>
          <w:szCs w:val="24"/>
        </w:rPr>
        <w:t xml:space="preserve"> Bar graph illustrating DeSeq analysis showing relative abundances of differential significant ASV’s (different colors). Each bar represents one (tagged) fish at different time points (T</w:t>
      </w:r>
      <w:r>
        <w:rPr>
          <w:rFonts w:eastAsia="Times New Roman" w:cs="Times New Roman" w:ascii="Times New Roman" w:hAnsi="Times New Roman"/>
          <w:sz w:val="24"/>
          <w:szCs w:val="24"/>
          <w:vertAlign w:val="subscript"/>
        </w:rPr>
        <w:t>0</w:t>
      </w:r>
      <w:r>
        <w:rPr>
          <w:rFonts w:eastAsia="Times New Roman" w:cs="Times New Roman" w:ascii="Times New Roman" w:hAnsi="Times New Roman"/>
          <w:sz w:val="24"/>
          <w:szCs w:val="24"/>
        </w:rPr>
        <w:t xml:space="preserve"> before infection, T</w:t>
      </w:r>
      <w:r>
        <w:rPr>
          <w:rFonts w:eastAsia="Times New Roman" w:cs="Times New Roman" w:ascii="Times New Roman" w:hAnsi="Times New Roman"/>
          <w:sz w:val="24"/>
          <w:szCs w:val="24"/>
          <w:vertAlign w:val="subscript"/>
        </w:rPr>
        <w:t>1</w:t>
      </w:r>
      <w:r>
        <w:rPr>
          <w:rFonts w:eastAsia="Times New Roman" w:cs="Times New Roman" w:ascii="Times New Roman" w:hAnsi="Times New Roman"/>
          <w:sz w:val="24"/>
          <w:szCs w:val="24"/>
        </w:rPr>
        <w:t xml:space="preserve"> 24 h, T</w:t>
      </w:r>
      <w:r>
        <w:rPr>
          <w:rFonts w:eastAsia="Times New Roman" w:cs="Times New Roman" w:ascii="Times New Roman" w:hAnsi="Times New Roman"/>
          <w:sz w:val="24"/>
          <w:szCs w:val="24"/>
          <w:vertAlign w:val="subscript"/>
        </w:rPr>
        <w:t>1-2</w:t>
      </w:r>
      <w:r>
        <w:rPr>
          <w:rFonts w:eastAsia="Times New Roman" w:cs="Times New Roman" w:ascii="Times New Roman" w:hAnsi="Times New Roman"/>
          <w:sz w:val="24"/>
          <w:szCs w:val="24"/>
        </w:rPr>
        <w:t xml:space="preserve"> 48 h, T</w:t>
      </w:r>
      <w:r>
        <w:rPr>
          <w:rFonts w:eastAsia="Times New Roman" w:cs="Times New Roman" w:ascii="Times New Roman" w:hAnsi="Times New Roman"/>
          <w:sz w:val="24"/>
          <w:szCs w:val="24"/>
          <w:vertAlign w:val="subscript"/>
        </w:rPr>
        <w:t>1-3</w:t>
      </w:r>
      <w:r>
        <w:rPr>
          <w:rFonts w:eastAsia="Times New Roman" w:cs="Times New Roman" w:ascii="Times New Roman" w:hAnsi="Times New Roman"/>
          <w:sz w:val="24"/>
          <w:szCs w:val="24"/>
        </w:rPr>
        <w:t xml:space="preserve"> 72 h, T</w:t>
      </w:r>
      <w:r>
        <w:rPr>
          <w:rFonts w:eastAsia="Times New Roman" w:cs="Times New Roman" w:ascii="Times New Roman" w:hAnsi="Times New Roman"/>
          <w:sz w:val="24"/>
          <w:szCs w:val="24"/>
          <w:vertAlign w:val="subscript"/>
        </w:rPr>
        <w:t>1-5</w:t>
      </w:r>
      <w:r>
        <w:rPr>
          <w:rFonts w:eastAsia="Times New Roman" w:cs="Times New Roman" w:ascii="Times New Roman" w:hAnsi="Times New Roman"/>
          <w:sz w:val="24"/>
          <w:szCs w:val="24"/>
        </w:rPr>
        <w:t xml:space="preserve"> five days, T</w:t>
      </w:r>
      <w:r>
        <w:rPr>
          <w:rFonts w:eastAsia="Times New Roman" w:cs="Times New Roman" w:ascii="Times New Roman" w:hAnsi="Times New Roman"/>
          <w:sz w:val="24"/>
          <w:szCs w:val="24"/>
          <w:vertAlign w:val="subscript"/>
        </w:rPr>
        <w:t>2</w:t>
      </w:r>
      <w:r>
        <w:rPr>
          <w:rFonts w:eastAsia="Times New Roman" w:cs="Times New Roman" w:ascii="Times New Roman" w:hAnsi="Times New Roman"/>
          <w:sz w:val="24"/>
          <w:szCs w:val="24"/>
        </w:rPr>
        <w:t xml:space="preserve"> one week, T</w:t>
      </w:r>
      <w:r>
        <w:rPr>
          <w:rFonts w:eastAsia="Times New Roman" w:cs="Times New Roman" w:ascii="Times New Roman" w:hAnsi="Times New Roman"/>
          <w:sz w:val="24"/>
          <w:szCs w:val="24"/>
          <w:vertAlign w:val="subscript"/>
        </w:rPr>
        <w:t>2-2</w:t>
      </w:r>
      <w:r>
        <w:rPr>
          <w:rFonts w:eastAsia="Times New Roman" w:cs="Times New Roman" w:ascii="Times New Roman" w:hAnsi="Times New Roman"/>
          <w:sz w:val="24"/>
          <w:szCs w:val="24"/>
        </w:rPr>
        <w:t xml:space="preserve"> two weeks and T</w:t>
      </w:r>
      <w:r>
        <w:rPr>
          <w:rFonts w:eastAsia="Times New Roman" w:cs="Times New Roman" w:ascii="Times New Roman" w:hAnsi="Times New Roman"/>
          <w:sz w:val="24"/>
          <w:szCs w:val="24"/>
          <w:vertAlign w:val="subscript"/>
        </w:rPr>
        <w:t>3</w:t>
      </w:r>
      <w:r>
        <w:rPr>
          <w:rFonts w:eastAsia="Times New Roman" w:cs="Times New Roman" w:ascii="Times New Roman" w:hAnsi="Times New Roman"/>
          <w:sz w:val="24"/>
          <w:szCs w:val="24"/>
        </w:rPr>
        <w:t xml:space="preserve"> three weeks post infection), for UV and non-UV treatments during </w:t>
      </w:r>
      <w:r>
        <w:rPr>
          <w:rFonts w:eastAsia="Times New Roman" w:cs="Times New Roman" w:ascii="Times New Roman" w:hAnsi="Times New Roman"/>
          <w:i/>
          <w:sz w:val="24"/>
          <w:szCs w:val="24"/>
        </w:rPr>
        <w:t xml:space="preserve">S. iniae </w:t>
      </w:r>
      <w:r>
        <w:rPr>
          <w:rFonts w:eastAsia="Times New Roman" w:cs="Times New Roman" w:ascii="Times New Roman" w:hAnsi="Times New Roman"/>
          <w:sz w:val="24"/>
          <w:szCs w:val="24"/>
        </w:rPr>
        <w:t xml:space="preserve">infection in </w:t>
      </w:r>
      <w:r>
        <w:rPr>
          <w:rFonts w:eastAsia="Times New Roman" w:cs="Times New Roman" w:ascii="Times New Roman" w:hAnsi="Times New Roman"/>
          <w:i/>
          <w:sz w:val="24"/>
          <w:szCs w:val="24"/>
        </w:rPr>
        <w:t>S. aurata.</w:t>
      </w:r>
      <w:r>
        <w:br w:type="page"/>
      </w:r>
    </w:p>
    <w:p>
      <w:pPr>
        <w:pStyle w:val="Normal"/>
        <w:spacing w:lineRule="auto" w:line="360"/>
        <w:jc w:val="both"/>
        <w:rPr>
          <w:rFonts w:ascii="Times New Roman" w:hAnsi="Times New Roman" w:eastAsia="Times New Roman" w:cs="Times New Roman"/>
          <w:sz w:val="24"/>
          <w:szCs w:val="24"/>
        </w:rPr>
      </w:pPr>
      <w:r>
        <w:rPr/>
        <w:drawing>
          <wp:inline distT="0" distB="0" distL="0" distR="0">
            <wp:extent cx="5943600" cy="6083300"/>
            <wp:effectExtent l="0" t="0" r="0" b="0"/>
            <wp:docPr id="6" name="image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descr=""/>
                    <pic:cNvPicPr>
                      <a:picLocks noChangeAspect="1" noChangeArrowheads="1"/>
                    </pic:cNvPicPr>
                  </pic:nvPicPr>
                  <pic:blipFill>
                    <a:blip r:embed="rId7"/>
                    <a:stretch>
                      <a:fillRect/>
                    </a:stretch>
                  </pic:blipFill>
                  <pic:spPr bwMode="auto">
                    <a:xfrm>
                      <a:off x="0" y="0"/>
                      <a:ext cx="5943600" cy="6083300"/>
                    </a:xfrm>
                    <a:prstGeom prst="rect">
                      <a:avLst/>
                    </a:prstGeom>
                  </pic:spPr>
                </pic:pic>
              </a:graphicData>
            </a:graphic>
          </wp:inline>
        </w:drawing>
      </w:r>
      <w:r>
        <w:rPr>
          <w:rFonts w:eastAsia="Times New Roman" w:cs="Times New Roman" w:ascii="Times New Roman" w:hAnsi="Times New Roman"/>
          <w:b/>
          <w:sz w:val="24"/>
          <w:szCs w:val="24"/>
        </w:rPr>
        <w:t>Supplementary Figure S6.</w:t>
      </w:r>
      <w:r>
        <w:rPr>
          <w:rFonts w:eastAsia="Times New Roman" w:cs="Times New Roman" w:ascii="Times New Roman" w:hAnsi="Times New Roman"/>
          <w:sz w:val="24"/>
          <w:szCs w:val="24"/>
        </w:rPr>
        <w:t xml:space="preserve"> Bar graph illustrating DeSeq analysis showing relative abundances of differential significant ASV’s (different colors). Each bar represents one (tagged) fish at different time points (T</w:t>
      </w:r>
      <w:r>
        <w:rPr>
          <w:rFonts w:eastAsia="Times New Roman" w:cs="Times New Roman" w:ascii="Times New Roman" w:hAnsi="Times New Roman"/>
          <w:sz w:val="24"/>
          <w:szCs w:val="24"/>
          <w:vertAlign w:val="subscript"/>
        </w:rPr>
        <w:t>0</w:t>
      </w:r>
      <w:r>
        <w:rPr>
          <w:rFonts w:eastAsia="Times New Roman" w:cs="Times New Roman" w:ascii="Times New Roman" w:hAnsi="Times New Roman"/>
          <w:sz w:val="24"/>
          <w:szCs w:val="24"/>
        </w:rPr>
        <w:t xml:space="preserve"> before infection, T</w:t>
      </w:r>
      <w:r>
        <w:rPr>
          <w:rFonts w:eastAsia="Times New Roman" w:cs="Times New Roman" w:ascii="Times New Roman" w:hAnsi="Times New Roman"/>
          <w:sz w:val="24"/>
          <w:szCs w:val="24"/>
          <w:vertAlign w:val="subscript"/>
        </w:rPr>
        <w:t>1</w:t>
      </w:r>
      <w:r>
        <w:rPr>
          <w:rFonts w:eastAsia="Times New Roman" w:cs="Times New Roman" w:ascii="Times New Roman" w:hAnsi="Times New Roman"/>
          <w:sz w:val="24"/>
          <w:szCs w:val="24"/>
        </w:rPr>
        <w:t xml:space="preserve"> 24 h, T</w:t>
      </w:r>
      <w:r>
        <w:rPr>
          <w:rFonts w:eastAsia="Times New Roman" w:cs="Times New Roman" w:ascii="Times New Roman" w:hAnsi="Times New Roman"/>
          <w:sz w:val="24"/>
          <w:szCs w:val="24"/>
          <w:vertAlign w:val="subscript"/>
        </w:rPr>
        <w:t>1-2</w:t>
      </w:r>
      <w:r>
        <w:rPr>
          <w:rFonts w:eastAsia="Times New Roman" w:cs="Times New Roman" w:ascii="Times New Roman" w:hAnsi="Times New Roman"/>
          <w:sz w:val="24"/>
          <w:szCs w:val="24"/>
        </w:rPr>
        <w:t xml:space="preserve"> 48 h, T</w:t>
      </w:r>
      <w:r>
        <w:rPr>
          <w:rFonts w:eastAsia="Times New Roman" w:cs="Times New Roman" w:ascii="Times New Roman" w:hAnsi="Times New Roman"/>
          <w:sz w:val="24"/>
          <w:szCs w:val="24"/>
          <w:vertAlign w:val="subscript"/>
        </w:rPr>
        <w:t>1-3</w:t>
      </w:r>
      <w:r>
        <w:rPr>
          <w:rFonts w:eastAsia="Times New Roman" w:cs="Times New Roman" w:ascii="Times New Roman" w:hAnsi="Times New Roman"/>
          <w:sz w:val="24"/>
          <w:szCs w:val="24"/>
        </w:rPr>
        <w:t xml:space="preserve"> 72 h, T</w:t>
      </w:r>
      <w:r>
        <w:rPr>
          <w:rFonts w:eastAsia="Times New Roman" w:cs="Times New Roman" w:ascii="Times New Roman" w:hAnsi="Times New Roman"/>
          <w:sz w:val="24"/>
          <w:szCs w:val="24"/>
          <w:vertAlign w:val="subscript"/>
        </w:rPr>
        <w:t>1-5</w:t>
      </w:r>
      <w:r>
        <w:rPr>
          <w:rFonts w:eastAsia="Times New Roman" w:cs="Times New Roman" w:ascii="Times New Roman" w:hAnsi="Times New Roman"/>
          <w:sz w:val="24"/>
          <w:szCs w:val="24"/>
        </w:rPr>
        <w:t xml:space="preserve"> five days, T</w:t>
      </w:r>
      <w:r>
        <w:rPr>
          <w:rFonts w:eastAsia="Times New Roman" w:cs="Times New Roman" w:ascii="Times New Roman" w:hAnsi="Times New Roman"/>
          <w:sz w:val="24"/>
          <w:szCs w:val="24"/>
          <w:vertAlign w:val="subscript"/>
        </w:rPr>
        <w:t>2</w:t>
      </w:r>
      <w:r>
        <w:rPr>
          <w:rFonts w:eastAsia="Times New Roman" w:cs="Times New Roman" w:ascii="Times New Roman" w:hAnsi="Times New Roman"/>
          <w:sz w:val="24"/>
          <w:szCs w:val="24"/>
        </w:rPr>
        <w:t xml:space="preserve"> one week, T</w:t>
      </w:r>
      <w:r>
        <w:rPr>
          <w:rFonts w:eastAsia="Times New Roman" w:cs="Times New Roman" w:ascii="Times New Roman" w:hAnsi="Times New Roman"/>
          <w:sz w:val="24"/>
          <w:szCs w:val="24"/>
          <w:vertAlign w:val="subscript"/>
        </w:rPr>
        <w:t>2-2</w:t>
      </w:r>
      <w:r>
        <w:rPr>
          <w:rFonts w:eastAsia="Times New Roman" w:cs="Times New Roman" w:ascii="Times New Roman" w:hAnsi="Times New Roman"/>
          <w:sz w:val="24"/>
          <w:szCs w:val="24"/>
        </w:rPr>
        <w:t xml:space="preserve"> two weeks and T</w:t>
      </w:r>
      <w:r>
        <w:rPr>
          <w:rFonts w:eastAsia="Times New Roman" w:cs="Times New Roman" w:ascii="Times New Roman" w:hAnsi="Times New Roman"/>
          <w:sz w:val="24"/>
          <w:szCs w:val="24"/>
          <w:vertAlign w:val="subscript"/>
        </w:rPr>
        <w:t>3</w:t>
      </w:r>
      <w:r>
        <w:rPr>
          <w:rFonts w:eastAsia="Times New Roman" w:cs="Times New Roman" w:ascii="Times New Roman" w:hAnsi="Times New Roman"/>
          <w:sz w:val="24"/>
          <w:szCs w:val="24"/>
        </w:rPr>
        <w:t xml:space="preserve"> three weeks post infection), for UV and non-UV treatments during </w:t>
      </w:r>
      <w:r>
        <w:rPr>
          <w:rFonts w:eastAsia="Times New Roman" w:cs="Times New Roman" w:ascii="Times New Roman" w:hAnsi="Times New Roman"/>
          <w:i/>
          <w:sz w:val="24"/>
          <w:szCs w:val="24"/>
        </w:rPr>
        <w:t xml:space="preserve">S. iniae </w:t>
      </w:r>
      <w:r>
        <w:rPr>
          <w:rFonts w:eastAsia="Times New Roman" w:cs="Times New Roman" w:ascii="Times New Roman" w:hAnsi="Times New Roman"/>
          <w:sz w:val="24"/>
          <w:szCs w:val="24"/>
        </w:rPr>
        <w:t xml:space="preserve">infection in </w:t>
      </w:r>
      <w:r>
        <w:rPr>
          <w:rFonts w:eastAsia="Times New Roman" w:cs="Times New Roman" w:ascii="Times New Roman" w:hAnsi="Times New Roman"/>
          <w:i/>
          <w:sz w:val="24"/>
          <w:szCs w:val="24"/>
        </w:rPr>
        <w:t>L. calcarifer</w:t>
      </w:r>
      <w:r>
        <w:rPr>
          <w:rFonts w:eastAsia="Times New Roman" w:cs="Times New Roman" w:ascii="Times New Roman" w:hAnsi="Times New Roman"/>
          <w:sz w:val="24"/>
          <w:szCs w:val="24"/>
        </w:rPr>
        <w:t>.</w:t>
      </w:r>
      <w:r>
        <w:br w:type="page"/>
      </w:r>
    </w:p>
    <w:p>
      <w:pPr>
        <w:pStyle w:val="Normal"/>
        <w:spacing w:lineRule="auto" w:line="360"/>
        <w:jc w:val="both"/>
        <w:rPr>
          <w:rFonts w:ascii="Times New Roman" w:hAnsi="Times New Roman" w:eastAsia="Times New Roman" w:cs="Times New Roman"/>
          <w:b/>
          <w:b/>
          <w:sz w:val="24"/>
          <w:szCs w:val="24"/>
        </w:rPr>
      </w:pPr>
      <w:r>
        <w:rPr/>
        <w:drawing>
          <wp:inline distT="0" distB="0" distL="0" distR="0">
            <wp:extent cx="5943600" cy="5562600"/>
            <wp:effectExtent l="0" t="0" r="0" b="0"/>
            <wp:docPr id="7"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descr=""/>
                    <pic:cNvPicPr>
                      <a:picLocks noChangeAspect="1" noChangeArrowheads="1"/>
                    </pic:cNvPicPr>
                  </pic:nvPicPr>
                  <pic:blipFill>
                    <a:blip r:embed="rId8"/>
                    <a:stretch>
                      <a:fillRect/>
                    </a:stretch>
                  </pic:blipFill>
                  <pic:spPr bwMode="auto">
                    <a:xfrm>
                      <a:off x="0" y="0"/>
                      <a:ext cx="5943600" cy="5562600"/>
                    </a:xfrm>
                    <a:prstGeom prst="rect">
                      <a:avLst/>
                    </a:prstGeom>
                  </pic:spPr>
                </pic:pic>
              </a:graphicData>
            </a:graphic>
          </wp:inline>
        </w:drawing>
      </w:r>
    </w:p>
    <w:p>
      <w:pPr>
        <w:pStyle w:val="Normal"/>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Supplementary Figure S7.</w:t>
      </w:r>
      <w:r>
        <w:rPr>
          <w:rFonts w:eastAsia="Times New Roman" w:cs="Times New Roman" w:ascii="Times New Roman" w:hAnsi="Times New Roman"/>
          <w:sz w:val="24"/>
          <w:szCs w:val="24"/>
        </w:rPr>
        <w:t xml:space="preserve"> PCoA for all taken samples (gray) highlighting only water samples (A), bar graph showing the relative bacterial abundance for different water samples taken at the summer and winter seasons of 2015 and 2016 for UV and non-UV tank (B). (C) showing a statistical pairwise significance between water samples and different fish body sites and (D) a phylogenetic (pd) and (E) Shannon diversity indices for all fish experiments grouped at T</w:t>
      </w:r>
      <w:r>
        <w:rPr>
          <w:rFonts w:eastAsia="Times New Roman" w:cs="Times New Roman" w:ascii="Times New Roman" w:hAnsi="Times New Roman"/>
          <w:sz w:val="24"/>
          <w:szCs w:val="24"/>
          <w:vertAlign w:val="subscript"/>
        </w:rPr>
        <w:t>0</w:t>
      </w:r>
      <w:r>
        <w:rPr>
          <w:rFonts w:eastAsia="Times New Roman" w:cs="Times New Roman" w:ascii="Times New Roman" w:hAnsi="Times New Roman"/>
          <w:sz w:val="24"/>
          <w:szCs w:val="24"/>
        </w:rPr>
        <w:t xml:space="preserve"> before infection for non-UV and UV treated water tanks.</w:t>
      </w:r>
    </w:p>
    <w:p>
      <w:pPr>
        <w:pStyle w:val="Normal"/>
        <w:spacing w:lineRule="auto" w:line="360"/>
        <w:jc w:val="both"/>
        <w:rPr>
          <w:rFonts w:ascii="Times New Roman" w:hAnsi="Times New Roman" w:eastAsia="Times New Roman" w:cs="Times New Roman"/>
          <w:sz w:val="24"/>
          <w:szCs w:val="24"/>
        </w:rPr>
      </w:pPr>
      <w:r>
        <w:rPr/>
        <w:drawing>
          <wp:inline distT="0" distB="0" distL="0" distR="0">
            <wp:extent cx="5895975" cy="2974340"/>
            <wp:effectExtent l="0" t="0" r="0" b="0"/>
            <wp:docPr id="8"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descr=""/>
                    <pic:cNvPicPr>
                      <a:picLocks noChangeAspect="1" noChangeArrowheads="1"/>
                    </pic:cNvPicPr>
                  </pic:nvPicPr>
                  <pic:blipFill>
                    <a:blip r:embed="rId9"/>
                    <a:stretch>
                      <a:fillRect/>
                    </a:stretch>
                  </pic:blipFill>
                  <pic:spPr bwMode="auto">
                    <a:xfrm>
                      <a:off x="0" y="0"/>
                      <a:ext cx="5895975" cy="2974340"/>
                    </a:xfrm>
                    <a:prstGeom prst="rect">
                      <a:avLst/>
                    </a:prstGeom>
                  </pic:spPr>
                </pic:pic>
              </a:graphicData>
            </a:graphic>
          </wp:inline>
        </w:drawing>
      </w:r>
      <w:r>
        <w:rPr>
          <w:rFonts w:eastAsia="Times New Roman" w:cs="Times New Roman" w:ascii="Times New Roman" w:hAnsi="Times New Roman"/>
          <w:sz w:val="24"/>
          <w:szCs w:val="24"/>
        </w:rPr>
        <w:t xml:space="preserve">  </w:t>
      </w:r>
    </w:p>
    <w:p>
      <w:pPr>
        <w:pStyle w:val="Normal"/>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Supplementary Figure S8.</w:t>
      </w:r>
      <w:r>
        <w:rPr>
          <w:rFonts w:eastAsia="Times New Roman" w:cs="Times New Roman" w:ascii="Times New Roman" w:hAnsi="Times New Roman"/>
          <w:sz w:val="24"/>
          <w:szCs w:val="24"/>
        </w:rPr>
        <w:t xml:space="preserve"> PCoA, bar graph and statistical analysis of similarity (adonis) showing no significant difference between the replicate samples when placed in different MiSeq lanes nor was there a significant batch effect within the same MiSeq lane</w:t>
      </w:r>
    </w:p>
    <w:sect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8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en" w:eastAsia="zh-CN" w:bidi="hi-IN"/>
      </w:rPr>
    </w:rPrDefault>
    <w:pPrDefault>
      <w:pPr>
        <w:suppressAutoHyphens w:val="true"/>
      </w:pPr>
    </w:pPrDefault>
  </w:docDefaults>
  <w:style w:type="paragraph" w:styleId="Normal" w:default="1">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 w:eastAsia="zh-CN" w:bidi="hi-IN"/>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Linenumber">
    <w:name w:val="line number"/>
    <w:basedOn w:val="DefaultParagraphFont"/>
    <w:uiPriority w:val="99"/>
    <w:semiHidden/>
    <w:unhideWhenUsed/>
    <w:qFormat/>
    <w:rsid w:val="00b128e1"/>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 w:eastAsia="zh-CN" w:bidi="hi-IN"/>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LOnormal"/>
    <w:next w:val="LOnormal"/>
    <w:uiPriority w:val="11"/>
    <w:qFormat/>
    <w:pPr>
      <w:keepNext w:val="true"/>
      <w:keepLines/>
      <w:spacing w:lineRule="auto" w:line="240" w:before="0" w:after="320"/>
    </w:pPr>
    <w:rPr>
      <w:color w:val="666666"/>
      <w:sz w:val="30"/>
      <w:szCs w:val="30"/>
    </w:rPr>
  </w:style>
  <w:style w:type="numbering" w:styleId="NoList" w:default="1">
    <w:name w:val="No List"/>
    <w:uiPriority w:val="99"/>
    <w:semiHidden/>
    <w:unhideWhenUsed/>
    <w:qFormat/>
  </w:style>
  <w:style w:type="table" w:default="1" w:styleId="TableNormal">
    <w:name w:val="Table Normal"/>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gi/fPXBr/DtRXGT48dVXiJbTPGsg==">AMUW2mU++QEFaoPOTNA+xoFQwS624hSzv4QBN2DWtpDYygEMj+Oq8CWKlKdBDR8WY95PZusZtOCJDYY2H+Q9MRtUxiMEcCxmtBtw8pO/U/vg8fEwBaFE0Sc=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7</TotalTime>
  <Application>LibreOffice/6.4.7.2$Linux_X86_64 LibreOffice_project/40$Build-2</Application>
  <Pages>7</Pages>
  <Words>416</Words>
  <Characters>2299</Characters>
  <CharactersWithSpaces>2709</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2022-03-09T08:49:00Z</dcterms:created>
  <dc:creator/>
  <dc:description/>
  <dc:language>en-US</dc:language>
  <cp:lastModifiedBy/>
  <dcterms:modified xsi:type="dcterms:W3CDTF">2022-05-10T18:11:23Z</dcterms:modified>
  <cp:revision>1</cp:revision>
  <dc:subject/>
  <dc:title/>
</cp:coreProperties>
</file>