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C4333" w14:textId="77777777" w:rsidR="00180EE2" w:rsidRDefault="00180EE2" w:rsidP="00180EE2">
      <w:r>
        <w:t>Supplementary Figures and Tables</w:t>
      </w:r>
    </w:p>
    <w:p w14:paraId="306ADA03" w14:textId="77777777" w:rsidR="00180EE2" w:rsidRDefault="00180EE2" w:rsidP="00180EE2"/>
    <w:p w14:paraId="0E3A80E1" w14:textId="77777777" w:rsidR="00180EE2" w:rsidRDefault="00180EE2" w:rsidP="00180EE2">
      <w:r>
        <w:rPr>
          <w:noProof/>
        </w:rPr>
        <w:drawing>
          <wp:inline distT="0" distB="0" distL="0" distR="0" wp14:anchorId="6ADD08A2" wp14:editId="3CA11A39">
            <wp:extent cx="5943600" cy="64966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
                      <a:extLst>
                        <a:ext uri="{28A0092B-C50C-407E-A947-70E740481C1C}">
                          <a14:useLocalDpi xmlns:a14="http://schemas.microsoft.com/office/drawing/2010/main" val="0"/>
                        </a:ext>
                      </a:extLst>
                    </a:blip>
                    <a:stretch>
                      <a:fillRect/>
                    </a:stretch>
                  </pic:blipFill>
                  <pic:spPr>
                    <a:xfrm>
                      <a:off x="0" y="0"/>
                      <a:ext cx="5943600" cy="6496685"/>
                    </a:xfrm>
                    <a:prstGeom prst="rect">
                      <a:avLst/>
                    </a:prstGeom>
                  </pic:spPr>
                </pic:pic>
              </a:graphicData>
            </a:graphic>
          </wp:inline>
        </w:drawing>
      </w:r>
    </w:p>
    <w:p w14:paraId="756EFEC4" w14:textId="77777777" w:rsidR="00180EE2" w:rsidRDefault="00180EE2" w:rsidP="00180EE2"/>
    <w:p w14:paraId="3E30ACE6" w14:textId="77777777" w:rsidR="00180EE2" w:rsidRDefault="00180EE2" w:rsidP="00180EE2">
      <w:r>
        <w:t>Figure S1. Intra Species Microbiota Differences Between the Inner and Upper Bay Locations</w:t>
      </w:r>
    </w:p>
    <w:p w14:paraId="6C65CB98" w14:textId="77777777" w:rsidR="00180EE2" w:rsidRDefault="00180EE2" w:rsidP="00180EE2">
      <w:proofErr w:type="gramStart"/>
      <w:r>
        <w:t>Genus</w:t>
      </w:r>
      <w:proofErr w:type="gramEnd"/>
      <w:r>
        <w:t xml:space="preserve"> level relative abundance (A) and Principal coordinate analysis of Bray-Curtis Dissimilarity of Fox Island fish samples collected in 2021 (B). </w:t>
      </w:r>
      <w:proofErr w:type="gramStart"/>
      <w:r>
        <w:t>Genus</w:t>
      </w:r>
      <w:proofErr w:type="gramEnd"/>
      <w:r>
        <w:t xml:space="preserve"> level relative abundance (C) and Principal coordinate analysis of Bray-Curtis Dissimilarity of Whale Rock fish samples collected in 2021 (D).</w:t>
      </w:r>
    </w:p>
    <w:p w14:paraId="18407078" w14:textId="77777777" w:rsidR="00180EE2" w:rsidRDefault="00180EE2" w:rsidP="00180EE2"/>
    <w:p w14:paraId="7B2774F2" w14:textId="77777777" w:rsidR="00180EE2" w:rsidRDefault="00180EE2" w:rsidP="00180EE2"/>
    <w:p w14:paraId="33BE6173" w14:textId="77777777" w:rsidR="00180EE2" w:rsidRDefault="00180EE2" w:rsidP="00180EE2"/>
    <w:p w14:paraId="29AD443B" w14:textId="77777777" w:rsidR="00180EE2" w:rsidRDefault="00180EE2" w:rsidP="00180EE2"/>
    <w:p w14:paraId="771F61E6" w14:textId="77777777" w:rsidR="00180EE2" w:rsidRDefault="00180EE2" w:rsidP="00180EE2"/>
    <w:p w14:paraId="09FBA5ED" w14:textId="77777777" w:rsidR="00180EE2" w:rsidRDefault="00180EE2" w:rsidP="00180EE2"/>
    <w:p w14:paraId="161921D5" w14:textId="77777777" w:rsidR="00180EE2" w:rsidRDefault="00180EE2" w:rsidP="00180EE2"/>
    <w:p w14:paraId="5D33ACB6" w14:textId="77777777" w:rsidR="00180EE2" w:rsidRDefault="00180EE2" w:rsidP="00180EE2">
      <w:r>
        <w:rPr>
          <w:noProof/>
        </w:rPr>
        <w:drawing>
          <wp:inline distT="0" distB="0" distL="0" distR="0" wp14:anchorId="0B77E1CA" wp14:editId="111DB723">
            <wp:extent cx="2688336" cy="62238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01247" cy="6253691"/>
                    </a:xfrm>
                    <a:prstGeom prst="rect">
                      <a:avLst/>
                    </a:prstGeom>
                  </pic:spPr>
                </pic:pic>
              </a:graphicData>
            </a:graphic>
          </wp:inline>
        </w:drawing>
      </w:r>
    </w:p>
    <w:p w14:paraId="2275B522" w14:textId="77777777" w:rsidR="00180EE2" w:rsidRDefault="00180EE2" w:rsidP="00180EE2">
      <w:r>
        <w:t>Figure S2. Heterogeneity in Proteobacteria Blooms Associated with ARG Abundance</w:t>
      </w:r>
    </w:p>
    <w:p w14:paraId="18B2AC3A" w14:textId="77777777" w:rsidR="00180EE2" w:rsidRDefault="00180EE2" w:rsidP="00180EE2">
      <w:r>
        <w:t xml:space="preserve">Abundance of ARGs normalized to bacterial reads plotted for each sample separated by species. Below the normalized ARG abundance for each species is the genus taxonomy plot for the corresponding sample. </w:t>
      </w:r>
    </w:p>
    <w:p w14:paraId="1985DC81" w14:textId="77777777" w:rsidR="00180EE2" w:rsidRDefault="00180EE2" w:rsidP="00180EE2"/>
    <w:p w14:paraId="3F68F384" w14:textId="77777777" w:rsidR="00180EE2" w:rsidRDefault="00180EE2" w:rsidP="00180EE2"/>
    <w:p w14:paraId="3852E0B3" w14:textId="77777777" w:rsidR="00180EE2" w:rsidRDefault="00180EE2" w:rsidP="00180EE2"/>
    <w:p w14:paraId="5E831362" w14:textId="77777777" w:rsidR="00180EE2" w:rsidRDefault="00180EE2" w:rsidP="00180EE2"/>
    <w:p w14:paraId="658B8711" w14:textId="77777777" w:rsidR="00180EE2" w:rsidRDefault="00180EE2" w:rsidP="00180EE2"/>
    <w:p w14:paraId="34C989AB" w14:textId="77777777" w:rsidR="00180EE2" w:rsidRDefault="00180EE2" w:rsidP="00180EE2"/>
    <w:p w14:paraId="32B32D94" w14:textId="77777777" w:rsidR="00180EE2" w:rsidRDefault="00180EE2" w:rsidP="00180EE2"/>
    <w:p w14:paraId="1EE8530C" w14:textId="77777777" w:rsidR="00180EE2" w:rsidRDefault="00180EE2" w:rsidP="00180EE2"/>
    <w:p w14:paraId="51C6A363" w14:textId="77777777" w:rsidR="00180EE2" w:rsidRDefault="00180EE2" w:rsidP="00180EE2">
      <w:r>
        <w:rPr>
          <w:noProof/>
        </w:rPr>
        <w:drawing>
          <wp:inline distT="0" distB="0" distL="0" distR="0" wp14:anchorId="3C076865" wp14:editId="033CCAC1">
            <wp:extent cx="4295553" cy="52037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extLst>
                        <a:ext uri="{28A0092B-C50C-407E-A947-70E740481C1C}">
                          <a14:useLocalDpi xmlns:a14="http://schemas.microsoft.com/office/drawing/2010/main" val="0"/>
                        </a:ext>
                      </a:extLst>
                    </a:blip>
                    <a:stretch>
                      <a:fillRect/>
                    </a:stretch>
                  </pic:blipFill>
                  <pic:spPr>
                    <a:xfrm>
                      <a:off x="0" y="0"/>
                      <a:ext cx="4316667" cy="5229347"/>
                    </a:xfrm>
                    <a:prstGeom prst="rect">
                      <a:avLst/>
                    </a:prstGeom>
                  </pic:spPr>
                </pic:pic>
              </a:graphicData>
            </a:graphic>
          </wp:inline>
        </w:drawing>
      </w:r>
    </w:p>
    <w:p w14:paraId="4C76F75D" w14:textId="77777777" w:rsidR="00180EE2" w:rsidRDefault="00180EE2" w:rsidP="00180EE2"/>
    <w:p w14:paraId="0AFC81EE" w14:textId="77777777" w:rsidR="00180EE2" w:rsidRDefault="00180EE2" w:rsidP="00180EE2">
      <w:r>
        <w:t>Figure S3. ARG Abundance and Association between ARGs and Proteobacteria (All Samples)</w:t>
      </w:r>
    </w:p>
    <w:p w14:paraId="14114475" w14:textId="77777777" w:rsidR="00180EE2" w:rsidRDefault="00180EE2" w:rsidP="00180EE2">
      <w:r>
        <w:t xml:space="preserve">ARGs normalized to bacterial reads in each species and water samples with bars representing mean </w:t>
      </w:r>
      <w:r>
        <w:rPr>
          <w:u w:val="single"/>
        </w:rPr>
        <w:t>+</w:t>
      </w:r>
      <w:r>
        <w:t xml:space="preserve"> standard error of the mean (A). Correlation between ARGs (y-axis) and Proteobacteria relative abundance of all fish/shark samples (x-axis) (r = 0.6484, R</w:t>
      </w:r>
      <w:r>
        <w:rPr>
          <w:vertAlign w:val="superscript"/>
        </w:rPr>
        <w:t>2</w:t>
      </w:r>
      <w:r>
        <w:t xml:space="preserve"> = 0.4204, p &lt; 0.0001) (B).</w:t>
      </w:r>
    </w:p>
    <w:p w14:paraId="757BEA6F" w14:textId="77777777" w:rsidR="00180EE2" w:rsidRDefault="00180EE2" w:rsidP="00180EE2"/>
    <w:p w14:paraId="2DDD8B6D" w14:textId="77777777" w:rsidR="00180EE2" w:rsidRDefault="00180EE2" w:rsidP="00180EE2"/>
    <w:p w14:paraId="273AAC0A" w14:textId="77777777" w:rsidR="00180EE2" w:rsidRDefault="00180EE2" w:rsidP="00180EE2"/>
    <w:p w14:paraId="10E6D480" w14:textId="77777777" w:rsidR="00180EE2" w:rsidRDefault="00180EE2" w:rsidP="00180EE2">
      <w:r>
        <w:rPr>
          <w:noProof/>
        </w:rPr>
        <w:lastRenderedPageBreak/>
        <w:drawing>
          <wp:inline distT="0" distB="0" distL="0" distR="0" wp14:anchorId="4E3AFC58" wp14:editId="47EF9895">
            <wp:extent cx="3265781" cy="686863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extLst>
                        <a:ext uri="{28A0092B-C50C-407E-A947-70E740481C1C}">
                          <a14:useLocalDpi xmlns:a14="http://schemas.microsoft.com/office/drawing/2010/main" val="0"/>
                        </a:ext>
                      </a:extLst>
                    </a:blip>
                    <a:stretch>
                      <a:fillRect/>
                    </a:stretch>
                  </pic:blipFill>
                  <pic:spPr>
                    <a:xfrm>
                      <a:off x="0" y="0"/>
                      <a:ext cx="3271759" cy="6881206"/>
                    </a:xfrm>
                    <a:prstGeom prst="rect">
                      <a:avLst/>
                    </a:prstGeom>
                  </pic:spPr>
                </pic:pic>
              </a:graphicData>
            </a:graphic>
          </wp:inline>
        </w:drawing>
      </w:r>
    </w:p>
    <w:p w14:paraId="0272F650" w14:textId="77777777" w:rsidR="00180EE2" w:rsidRDefault="00180EE2" w:rsidP="00180EE2">
      <w:r>
        <w:t>Figure S4. Phylogenic Tree of Assembled Bins</w:t>
      </w:r>
    </w:p>
    <w:p w14:paraId="0F601D4D" w14:textId="77777777" w:rsidR="00180EE2" w:rsidRDefault="00180EE2" w:rsidP="00180EE2">
      <w:r>
        <w:t xml:space="preserve">Phylogenetic tree of MAGs generated using </w:t>
      </w:r>
      <w:proofErr w:type="spellStart"/>
      <w:r>
        <w:t>PhyloPhlAn</w:t>
      </w:r>
      <w:proofErr w:type="spellEnd"/>
      <w:r>
        <w:t xml:space="preserve"> 3.0 with nodes displaying the lowest identified taxonomy assigned by Bin Annotation Tool (BAT). The color of the node labels corresponds to the sample from which they originated – blue: water, green: butterfish, red: scup, yellow: summer flounder, grey: smooth dogfish, purple: shark.</w:t>
      </w:r>
    </w:p>
    <w:p w14:paraId="7550DC54" w14:textId="77777777" w:rsidR="00180EE2" w:rsidRDefault="00180EE2" w:rsidP="00180EE2"/>
    <w:p w14:paraId="3A216CB1" w14:textId="77777777" w:rsidR="00180EE2" w:rsidRDefault="00180EE2" w:rsidP="00180EE2"/>
    <w:p w14:paraId="2F53849D" w14:textId="77777777" w:rsidR="00180EE2" w:rsidRDefault="00180EE2" w:rsidP="00180EE2">
      <w:r>
        <w:rPr>
          <w:noProof/>
        </w:rPr>
        <w:lastRenderedPageBreak/>
        <w:drawing>
          <wp:inline distT="0" distB="0" distL="0" distR="0" wp14:anchorId="4DBD6A17" wp14:editId="769BC5A6">
            <wp:extent cx="5943600" cy="49009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943600" cy="4900930"/>
                    </a:xfrm>
                    <a:prstGeom prst="rect">
                      <a:avLst/>
                    </a:prstGeom>
                  </pic:spPr>
                </pic:pic>
              </a:graphicData>
            </a:graphic>
          </wp:inline>
        </w:drawing>
      </w:r>
    </w:p>
    <w:p w14:paraId="32134B5C" w14:textId="77777777" w:rsidR="00180EE2" w:rsidRDefault="00180EE2" w:rsidP="00180EE2">
      <w:r>
        <w:t xml:space="preserve">Figure S5. Neighbor Joining Tree of </w:t>
      </w:r>
      <w:proofErr w:type="spellStart"/>
      <w:r w:rsidRPr="001068ED">
        <w:rPr>
          <w:i/>
          <w:iCs/>
        </w:rPr>
        <w:t>Clistobothrium</w:t>
      </w:r>
      <w:proofErr w:type="spellEnd"/>
      <w:r w:rsidRPr="001068ED">
        <w:rPr>
          <w:i/>
          <w:iCs/>
        </w:rPr>
        <w:t xml:space="preserve"> </w:t>
      </w:r>
      <w:proofErr w:type="spellStart"/>
      <w:r w:rsidRPr="001068ED">
        <w:rPr>
          <w:i/>
          <w:iCs/>
        </w:rPr>
        <w:t>montaukensis</w:t>
      </w:r>
      <w:proofErr w:type="spellEnd"/>
      <w:r>
        <w:t xml:space="preserve"> COI Sequence</w:t>
      </w:r>
    </w:p>
    <w:p w14:paraId="293ED779" w14:textId="77777777" w:rsidR="00180EE2" w:rsidRDefault="00180EE2" w:rsidP="00180EE2">
      <w:r>
        <w:t xml:space="preserve">Neighbor joining tree of </w:t>
      </w:r>
      <w:proofErr w:type="spellStart"/>
      <w:r w:rsidRPr="001068ED">
        <w:rPr>
          <w:i/>
          <w:iCs/>
        </w:rPr>
        <w:t>Clistobothrium</w:t>
      </w:r>
      <w:proofErr w:type="spellEnd"/>
      <w:r w:rsidRPr="001068ED">
        <w:rPr>
          <w:i/>
          <w:iCs/>
        </w:rPr>
        <w:t xml:space="preserve"> </w:t>
      </w:r>
      <w:proofErr w:type="spellStart"/>
      <w:r w:rsidRPr="001068ED">
        <w:rPr>
          <w:i/>
          <w:iCs/>
        </w:rPr>
        <w:t>montaukensis</w:t>
      </w:r>
      <w:proofErr w:type="spellEnd"/>
      <w:r>
        <w:t xml:space="preserve"> COI sequence from mako shark sample BK28 (labeled in red) with other flatworm COI sequences from NCBI, generated with NCBI Blast Tree Widget.</w:t>
      </w:r>
    </w:p>
    <w:p w14:paraId="2A758C30" w14:textId="7A8FE806" w:rsidR="00567174" w:rsidRDefault="00567174"/>
    <w:p w14:paraId="7DC51F2B" w14:textId="0E49B188" w:rsidR="00567174" w:rsidRDefault="00567174"/>
    <w:p w14:paraId="3C2C5A17" w14:textId="0C88FA3A" w:rsidR="00567174" w:rsidRDefault="00567174"/>
    <w:p w14:paraId="7DF43CB0" w14:textId="1DC91FEE" w:rsidR="00567174" w:rsidRDefault="00567174"/>
    <w:p w14:paraId="47DAA7D4" w14:textId="2A655CF7" w:rsidR="00567174" w:rsidRDefault="00567174"/>
    <w:p w14:paraId="0DAC2741" w14:textId="206AB2F2" w:rsidR="00567174" w:rsidRDefault="00567174"/>
    <w:p w14:paraId="385FA895" w14:textId="48D33E96" w:rsidR="00567174" w:rsidRDefault="00567174"/>
    <w:p w14:paraId="6B14CDE4" w14:textId="182B9606" w:rsidR="00567174" w:rsidRDefault="00567174"/>
    <w:p w14:paraId="5B2710C3" w14:textId="04BAE59B" w:rsidR="00567174" w:rsidRDefault="00567174"/>
    <w:p w14:paraId="110719D8" w14:textId="58771F3A" w:rsidR="00567174" w:rsidRDefault="00567174"/>
    <w:p w14:paraId="6CF5D0E7" w14:textId="2D5C3025" w:rsidR="00567174" w:rsidRDefault="00567174"/>
    <w:p w14:paraId="44AFC997" w14:textId="26D59101" w:rsidR="00567174" w:rsidRDefault="00567174"/>
    <w:p w14:paraId="21F58D49" w14:textId="6439F62B" w:rsidR="00567174" w:rsidRDefault="00567174"/>
    <w:p w14:paraId="1EA5C8DC" w14:textId="3686F117" w:rsidR="00567174" w:rsidRDefault="00567174">
      <w:r>
        <w:lastRenderedPageBreak/>
        <w:t xml:space="preserve">Table S1. </w:t>
      </w:r>
      <w:r w:rsidR="0080605C">
        <w:t>List of each sample collected and associated metadata.</w:t>
      </w:r>
    </w:p>
    <w:p w14:paraId="136FFEAF" w14:textId="4A8A42EF" w:rsidR="00567174" w:rsidRDefault="00567174"/>
    <w:p w14:paraId="3536AFFA" w14:textId="196DF2AD" w:rsidR="00567174" w:rsidRDefault="00567174">
      <w:r>
        <w:t>Table S2</w:t>
      </w:r>
      <w:r w:rsidR="0080605C">
        <w:t>. Differentially abundant genera between summer flounder populations collected at Fox Island and Whale Rock, determined using DESeq2.</w:t>
      </w:r>
    </w:p>
    <w:p w14:paraId="553354D4" w14:textId="2D4A26C1" w:rsidR="00567174" w:rsidRDefault="00567174"/>
    <w:p w14:paraId="44E1F293" w14:textId="07D9A025" w:rsidR="00567174" w:rsidRDefault="00567174">
      <w:r>
        <w:t>Table S3.</w:t>
      </w:r>
      <w:r w:rsidR="0080605C">
        <w:t xml:space="preserve"> Count table of resistance genes and resistance classes identified in each sample using </w:t>
      </w:r>
      <w:proofErr w:type="spellStart"/>
      <w:r w:rsidR="0080605C">
        <w:t>DeepARG</w:t>
      </w:r>
      <w:proofErr w:type="spellEnd"/>
      <w:r w:rsidR="0080605C">
        <w:t>.</w:t>
      </w:r>
    </w:p>
    <w:p w14:paraId="69A3E09F" w14:textId="4EED1ADD" w:rsidR="00567174" w:rsidRDefault="00567174"/>
    <w:p w14:paraId="792C67B9" w14:textId="54A65F2A" w:rsidR="00567174" w:rsidRDefault="00567174">
      <w:r>
        <w:t>Table S4.</w:t>
      </w:r>
      <w:r w:rsidR="0080605C">
        <w:t xml:space="preserve"> Counts table of </w:t>
      </w:r>
      <w:r w:rsidR="0080605C">
        <w:t>chondroitin</w:t>
      </w:r>
      <w:r w:rsidR="0080605C">
        <w:t xml:space="preserve"> associated </w:t>
      </w:r>
      <w:proofErr w:type="spellStart"/>
      <w:r w:rsidR="0080605C">
        <w:t>CAZymes</w:t>
      </w:r>
      <w:proofErr w:type="spellEnd"/>
      <w:r w:rsidR="0080605C">
        <w:t xml:space="preserve"> (PL8, PL8_2, and GH88) identified in the metagenomically assembled genomes.</w:t>
      </w:r>
    </w:p>
    <w:sectPr w:rsidR="00567174" w:rsidSect="00362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EE2"/>
    <w:rsid w:val="00021E24"/>
    <w:rsid w:val="0002600C"/>
    <w:rsid w:val="00080CBE"/>
    <w:rsid w:val="000A7A3A"/>
    <w:rsid w:val="00107F2A"/>
    <w:rsid w:val="0016128A"/>
    <w:rsid w:val="00180EE2"/>
    <w:rsid w:val="001811C3"/>
    <w:rsid w:val="001B7BA5"/>
    <w:rsid w:val="001C43CC"/>
    <w:rsid w:val="001F4D27"/>
    <w:rsid w:val="002251A3"/>
    <w:rsid w:val="00227D99"/>
    <w:rsid w:val="00235A1A"/>
    <w:rsid w:val="0028462D"/>
    <w:rsid w:val="00297059"/>
    <w:rsid w:val="002B3181"/>
    <w:rsid w:val="003042AF"/>
    <w:rsid w:val="00317980"/>
    <w:rsid w:val="0036040D"/>
    <w:rsid w:val="00362C55"/>
    <w:rsid w:val="00396450"/>
    <w:rsid w:val="003D0B86"/>
    <w:rsid w:val="003D2275"/>
    <w:rsid w:val="003F1B2F"/>
    <w:rsid w:val="00406114"/>
    <w:rsid w:val="004D2157"/>
    <w:rsid w:val="00521AA6"/>
    <w:rsid w:val="005229D0"/>
    <w:rsid w:val="00544768"/>
    <w:rsid w:val="00561121"/>
    <w:rsid w:val="00567174"/>
    <w:rsid w:val="005879F9"/>
    <w:rsid w:val="005A648A"/>
    <w:rsid w:val="005A7769"/>
    <w:rsid w:val="005B24AF"/>
    <w:rsid w:val="00613A07"/>
    <w:rsid w:val="006C3190"/>
    <w:rsid w:val="006D3869"/>
    <w:rsid w:val="006F7E7C"/>
    <w:rsid w:val="007C4468"/>
    <w:rsid w:val="007C6424"/>
    <w:rsid w:val="007D19F8"/>
    <w:rsid w:val="00801541"/>
    <w:rsid w:val="0080605C"/>
    <w:rsid w:val="00816619"/>
    <w:rsid w:val="0088167C"/>
    <w:rsid w:val="008920DB"/>
    <w:rsid w:val="008F20F3"/>
    <w:rsid w:val="00942A53"/>
    <w:rsid w:val="009545BF"/>
    <w:rsid w:val="009C7ADF"/>
    <w:rsid w:val="00A37089"/>
    <w:rsid w:val="00A61804"/>
    <w:rsid w:val="00A84EA9"/>
    <w:rsid w:val="00AA4C49"/>
    <w:rsid w:val="00B0237F"/>
    <w:rsid w:val="00B03746"/>
    <w:rsid w:val="00B43417"/>
    <w:rsid w:val="00B52D49"/>
    <w:rsid w:val="00B776AD"/>
    <w:rsid w:val="00B94BFD"/>
    <w:rsid w:val="00BB0BCE"/>
    <w:rsid w:val="00BB24B3"/>
    <w:rsid w:val="00C01EA4"/>
    <w:rsid w:val="00CA368C"/>
    <w:rsid w:val="00D4790F"/>
    <w:rsid w:val="00D754C9"/>
    <w:rsid w:val="00DC47D3"/>
    <w:rsid w:val="00DE5A5A"/>
    <w:rsid w:val="00E72B6A"/>
    <w:rsid w:val="00E770AA"/>
    <w:rsid w:val="00E8599D"/>
    <w:rsid w:val="00EB311F"/>
    <w:rsid w:val="00EB7364"/>
    <w:rsid w:val="00EC2D24"/>
    <w:rsid w:val="00EF1E05"/>
    <w:rsid w:val="00F27B82"/>
    <w:rsid w:val="00F422E8"/>
    <w:rsid w:val="00F749B3"/>
    <w:rsid w:val="00F8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B87896"/>
  <w15:docId w15:val="{C3E67C86-3739-FC47-9BAF-B8F422B9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E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2022-07-18T15:54:00Z</dcterms:created>
  <dcterms:modified xsi:type="dcterms:W3CDTF">2022-08-15T20:51:00Z</dcterms:modified>
</cp:coreProperties>
</file>