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99674" w14:textId="77777777" w:rsidR="00477457" w:rsidRDefault="0012719A" w:rsidP="00477457">
      <w:pPr>
        <w:jc w:val="center"/>
      </w:pPr>
      <w:r>
        <w:rPr>
          <w:noProof/>
        </w:rPr>
        <w:pict w14:anchorId="2CB2D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05pt;height:457.25pt">
            <v:imagedata r:id="rId6" o:title="Fig S1_BSF_chicken_alpha_diet"/>
          </v:shape>
        </w:pict>
      </w:r>
    </w:p>
    <w:p w14:paraId="36CDB88F" w14:textId="7964A174" w:rsidR="00EC2710" w:rsidRPr="00477457" w:rsidRDefault="00EC2710" w:rsidP="00477457">
      <w:r w:rsidRPr="00BF1453">
        <w:rPr>
          <w:rFonts w:ascii="Times New Roman" w:hAnsi="Times New Roman" w:cs="Times New Roman"/>
          <w:b/>
          <w:sz w:val="24"/>
          <w:szCs w:val="24"/>
          <w:lang w:val="en-CA"/>
        </w:rPr>
        <w:t xml:space="preserve">Supplemental Figure </w:t>
      </w:r>
      <w:r>
        <w:rPr>
          <w:rFonts w:ascii="Times New Roman" w:hAnsi="Times New Roman" w:cs="Times New Roman"/>
          <w:b/>
          <w:sz w:val="24"/>
          <w:szCs w:val="24"/>
          <w:lang w:val="en-CA"/>
        </w:rPr>
        <w:t>S</w:t>
      </w:r>
      <w:r w:rsidRPr="00BF1453">
        <w:rPr>
          <w:rFonts w:ascii="Times New Roman" w:hAnsi="Times New Roman" w:cs="Times New Roman"/>
          <w:b/>
          <w:sz w:val="24"/>
          <w:szCs w:val="24"/>
          <w:lang w:val="en-CA"/>
        </w:rPr>
        <w:t xml:space="preserve">1. </w:t>
      </w:r>
      <w:r w:rsidRPr="0072742B">
        <w:rPr>
          <w:rFonts w:ascii="Times New Roman" w:hAnsi="Times New Roman" w:cs="Times New Roman"/>
          <w:bCs/>
          <w:sz w:val="24"/>
          <w:szCs w:val="24"/>
          <w:lang w:val="en-CA"/>
        </w:rPr>
        <w:t>Alpha</w:t>
      </w:r>
      <w:r>
        <w:rPr>
          <w:rFonts w:ascii="Times New Roman" w:hAnsi="Times New Roman" w:cs="Times New Roman"/>
          <w:b/>
          <w:sz w:val="24"/>
          <w:szCs w:val="24"/>
          <w:lang w:val="en-CA"/>
        </w:rPr>
        <w:t xml:space="preserve"> </w:t>
      </w:r>
      <w:r w:rsidRPr="0072742B">
        <w:rPr>
          <w:rFonts w:ascii="Times New Roman" w:hAnsi="Times New Roman" w:cs="Times New Roman"/>
          <w:bCs/>
          <w:sz w:val="24"/>
          <w:szCs w:val="24"/>
          <w:lang w:val="en-CA"/>
        </w:rPr>
        <w:t>diversity</w:t>
      </w:r>
      <w:r>
        <w:rPr>
          <w:rFonts w:ascii="Times New Roman" w:hAnsi="Times New Roman" w:cs="Times New Roman"/>
          <w:b/>
          <w:sz w:val="24"/>
          <w:szCs w:val="24"/>
          <w:lang w:val="en-CA"/>
        </w:rPr>
        <w:t xml:space="preserve"> </w:t>
      </w:r>
      <w:r>
        <w:rPr>
          <w:rFonts w:ascii="Times New Roman" w:hAnsi="Times New Roman" w:cs="Times New Roman"/>
          <w:bCs/>
          <w:sz w:val="24"/>
          <w:szCs w:val="24"/>
          <w:lang w:val="en-CA"/>
        </w:rPr>
        <w:t>metrics of cecal microbiota at each growth phase for broiler chickens fed BMD (A), 0% BSFLM (B), 12.5% BSFLM (C), 25% BSFLM (D), 50% BSFLM (E), and 100% BSFLM</w:t>
      </w:r>
      <w:r w:rsidR="0012719A">
        <w:rPr>
          <w:rFonts w:ascii="Times New Roman" w:hAnsi="Times New Roman" w:cs="Times New Roman"/>
          <w:bCs/>
          <w:sz w:val="24"/>
          <w:szCs w:val="24"/>
          <w:lang w:val="en-CA"/>
        </w:rPr>
        <w:t xml:space="preserve"> (F)</w:t>
      </w:r>
      <w:r>
        <w:rPr>
          <w:rFonts w:ascii="Times New Roman" w:hAnsi="Times New Roman" w:cs="Times New Roman"/>
          <w:bCs/>
          <w:sz w:val="24"/>
          <w:szCs w:val="24"/>
          <w:lang w:val="en-CA"/>
        </w:rPr>
        <w:t xml:space="preserve">. </w:t>
      </w:r>
      <w:r w:rsidRPr="00E062AD">
        <w:rPr>
          <w:rFonts w:ascii="Times New Roman" w:hAnsi="Times New Roman" w:cs="Times New Roman"/>
          <w:sz w:val="24"/>
          <w:szCs w:val="24"/>
          <w:lang w:val="en-CA"/>
        </w:rPr>
        <w:t xml:space="preserve">The box-and-whisker plots show the </w:t>
      </w:r>
      <w:r w:rsidRPr="00E062AD">
        <w:rPr>
          <w:rFonts w:ascii="Times New Roman" w:hAnsi="Times New Roman" w:cs="Times New Roman"/>
          <w:bCs/>
          <w:sz w:val="24"/>
          <w:szCs w:val="24"/>
          <w:lang w:val="en-CA"/>
        </w:rPr>
        <w:t>first and third quartile (bottom and top lines of the box) and the median (horizontal middle line) values of the indicated diversity metrics. Each broiler chicken cecal sample is represented by a solid black dot.</w:t>
      </w:r>
      <w:r>
        <w:rPr>
          <w:rFonts w:ascii="Times New Roman" w:hAnsi="Times New Roman" w:cs="Times New Roman"/>
          <w:bCs/>
          <w:sz w:val="24"/>
          <w:szCs w:val="24"/>
          <w:lang w:val="en-CA"/>
        </w:rPr>
        <w:t xml:space="preserve"> </w:t>
      </w:r>
      <w:r w:rsidRPr="00E062AD">
        <w:rPr>
          <w:rFonts w:ascii="Times New Roman" w:hAnsi="Times New Roman" w:cs="Times New Roman"/>
          <w:bCs/>
          <w:sz w:val="24"/>
          <w:szCs w:val="24"/>
          <w:lang w:val="en-CA"/>
        </w:rPr>
        <w:t xml:space="preserve">Statistical significance of between-group differences were detected using the non-parametric Kruskal-Wallis test followed by post-hoc pairwise Dunn test with Bonferroni correction and are indicated with an asterisks as follows: * </w:t>
      </w:r>
      <w:r w:rsidRPr="00E062AD">
        <w:rPr>
          <w:rFonts w:ascii="Times New Roman" w:hAnsi="Times New Roman" w:cs="Times New Roman"/>
          <w:bCs/>
          <w:i/>
          <w:iCs/>
          <w:sz w:val="24"/>
          <w:szCs w:val="24"/>
          <w:lang w:val="en-CA"/>
        </w:rPr>
        <w:t xml:space="preserve">p </w:t>
      </w:r>
      <w:r w:rsidRPr="00E062AD">
        <w:rPr>
          <w:rFonts w:ascii="Times New Roman" w:hAnsi="Times New Roman" w:cs="Times New Roman"/>
          <w:bCs/>
          <w:sz w:val="24"/>
          <w:szCs w:val="24"/>
          <w:lang w:val="en-CA"/>
        </w:rPr>
        <w:t>&lt; 0.05; **</w:t>
      </w:r>
      <w:r w:rsidRPr="00E062AD">
        <w:rPr>
          <w:rFonts w:ascii="Times New Roman" w:hAnsi="Times New Roman" w:cs="Times New Roman"/>
          <w:bCs/>
          <w:i/>
          <w:iCs/>
          <w:sz w:val="24"/>
          <w:szCs w:val="24"/>
          <w:lang w:val="en-CA"/>
        </w:rPr>
        <w:t xml:space="preserve"> p </w:t>
      </w:r>
      <w:r w:rsidRPr="00E062AD">
        <w:rPr>
          <w:rFonts w:ascii="Times New Roman" w:hAnsi="Times New Roman" w:cs="Times New Roman"/>
          <w:bCs/>
          <w:sz w:val="24"/>
          <w:szCs w:val="24"/>
          <w:lang w:val="en-CA"/>
        </w:rPr>
        <w:t xml:space="preserve">&lt; 0.01; *** </w:t>
      </w:r>
      <w:r w:rsidRPr="00E062AD">
        <w:rPr>
          <w:rFonts w:ascii="Times New Roman" w:hAnsi="Times New Roman" w:cs="Times New Roman"/>
          <w:bCs/>
          <w:i/>
          <w:iCs/>
          <w:sz w:val="24"/>
          <w:szCs w:val="24"/>
          <w:lang w:val="en-CA"/>
        </w:rPr>
        <w:t xml:space="preserve">p </w:t>
      </w:r>
      <w:r w:rsidRPr="00E062AD">
        <w:rPr>
          <w:rFonts w:ascii="Times New Roman" w:hAnsi="Times New Roman" w:cs="Times New Roman"/>
          <w:bCs/>
          <w:sz w:val="24"/>
          <w:szCs w:val="24"/>
          <w:lang w:val="en-CA"/>
        </w:rPr>
        <w:t xml:space="preserve">&lt; 0.001; **** </w:t>
      </w:r>
      <w:r w:rsidRPr="00E062AD">
        <w:rPr>
          <w:rFonts w:ascii="Times New Roman" w:hAnsi="Times New Roman" w:cs="Times New Roman"/>
          <w:bCs/>
          <w:i/>
          <w:iCs/>
          <w:sz w:val="24"/>
          <w:szCs w:val="24"/>
          <w:lang w:val="en-CA"/>
        </w:rPr>
        <w:t xml:space="preserve">p </w:t>
      </w:r>
      <w:r w:rsidRPr="00E062AD">
        <w:rPr>
          <w:rFonts w:ascii="Times New Roman" w:hAnsi="Times New Roman" w:cs="Times New Roman"/>
          <w:bCs/>
          <w:sz w:val="24"/>
          <w:szCs w:val="24"/>
          <w:lang w:val="en-CA"/>
        </w:rPr>
        <w:t>&lt; 0.0001.</w:t>
      </w:r>
      <w:r w:rsidRPr="00E062AD">
        <w:rPr>
          <w:rFonts w:ascii="Times New Roman" w:hAnsi="Times New Roman" w:cs="Times New Roman"/>
          <w:b/>
          <w:bCs/>
          <w:sz w:val="24"/>
          <w:szCs w:val="24"/>
          <w:lang w:val="en-CA"/>
        </w:rPr>
        <w:t xml:space="preserve"> </w:t>
      </w:r>
      <w:r w:rsidRPr="00E062AD">
        <w:rPr>
          <w:rFonts w:ascii="Times New Roman" w:hAnsi="Times New Roman" w:cs="Times New Roman"/>
          <w:sz w:val="24"/>
          <w:szCs w:val="24"/>
          <w:lang w:val="en-CA"/>
        </w:rPr>
        <w:t xml:space="preserve">BMD, bacitracin methylene disalicylate; BSFLM, black solider fly larvae meal; </w:t>
      </w:r>
      <w:r w:rsidRPr="00E062AD">
        <w:rPr>
          <w:rFonts w:ascii="Times New Roman" w:eastAsia="Times New Roman" w:hAnsi="Times New Roman" w:cs="Times New Roman"/>
          <w:bCs/>
          <w:sz w:val="24"/>
          <w:szCs w:val="24"/>
          <w:lang w:eastAsia="en-CA"/>
        </w:rPr>
        <w:t xml:space="preserve">%, </w:t>
      </w:r>
      <w:r w:rsidRPr="00E062AD">
        <w:rPr>
          <w:rFonts w:ascii="Times New Roman" w:hAnsi="Times New Roman" w:cs="Times New Roman"/>
          <w:sz w:val="24"/>
          <w:szCs w:val="24"/>
        </w:rPr>
        <w:t>percentage of soybean meal replaced with</w:t>
      </w:r>
      <w:r w:rsidRPr="00E062AD">
        <w:rPr>
          <w:rFonts w:ascii="Times New Roman" w:eastAsia="Times New Roman" w:hAnsi="Times New Roman" w:cs="Times New Roman"/>
          <w:bCs/>
          <w:sz w:val="24"/>
          <w:szCs w:val="24"/>
          <w:lang w:eastAsia="en-CA"/>
        </w:rPr>
        <w:t xml:space="preserve"> black soldier fly larvae meal (BSFLM).</w:t>
      </w:r>
    </w:p>
    <w:p w14:paraId="0D2E0651" w14:textId="77777777" w:rsidR="00EC2710" w:rsidRPr="00336FA0" w:rsidRDefault="00EC2710" w:rsidP="00EC2710">
      <w:pPr>
        <w:rPr>
          <w:lang w:val="en-CA"/>
        </w:rPr>
      </w:pPr>
    </w:p>
    <w:p w14:paraId="39B50607" w14:textId="77777777" w:rsidR="00EC2710" w:rsidRPr="009F7E52" w:rsidRDefault="0012719A" w:rsidP="00EC2710">
      <w:pPr>
        <w:rPr>
          <w:noProof/>
          <w:lang w:val="en-CA"/>
        </w:rPr>
      </w:pPr>
      <w:r>
        <w:rPr>
          <w:noProof/>
          <w:lang w:val="en-CA"/>
        </w:rPr>
        <w:lastRenderedPageBreak/>
        <w:pict w14:anchorId="64E11ACE">
          <v:shape id="_x0000_i1026" type="#_x0000_t75" style="width:467.8pt;height:280.7pt">
            <v:imagedata r:id="rId7" o:title="Figure S2"/>
          </v:shape>
        </w:pict>
      </w:r>
    </w:p>
    <w:p w14:paraId="70B501A6" w14:textId="77777777" w:rsidR="00EC2710" w:rsidRPr="00B52BA6" w:rsidRDefault="00EC2710" w:rsidP="00EC2710"/>
    <w:p w14:paraId="6B0D259A" w14:textId="77777777" w:rsidR="00EC2710" w:rsidRPr="00477457" w:rsidRDefault="00EC2710" w:rsidP="00EC2710">
      <w:pPr>
        <w:jc w:val="both"/>
        <w:rPr>
          <w:rFonts w:ascii="Times New Roman" w:hAnsi="Times New Roman" w:cs="Times New Roman"/>
          <w:bCs/>
          <w:sz w:val="24"/>
          <w:szCs w:val="24"/>
          <w:lang w:val="en-CA"/>
        </w:rPr>
      </w:pPr>
      <w:r w:rsidRPr="00477457">
        <w:rPr>
          <w:rFonts w:ascii="Times New Roman" w:hAnsi="Times New Roman" w:cs="Times New Roman"/>
          <w:b/>
          <w:sz w:val="24"/>
          <w:szCs w:val="24"/>
          <w:lang w:val="en-CA"/>
        </w:rPr>
        <w:t xml:space="preserve">Supplemental Figure S2. </w:t>
      </w:r>
      <w:r w:rsidRPr="00477457">
        <w:rPr>
          <w:rFonts w:ascii="Times New Roman" w:hAnsi="Times New Roman" w:cs="Times New Roman"/>
          <w:sz w:val="24"/>
          <w:szCs w:val="24"/>
          <w:lang w:val="en-CA"/>
        </w:rPr>
        <w:t xml:space="preserve">Genus-level principal coordinates analysis based on the Bray-Curtis dissimilarity comparing the impact of age on the cecal bacterial </w:t>
      </w:r>
      <w:r w:rsidR="00477457" w:rsidRPr="00477457">
        <w:rPr>
          <w:rFonts w:ascii="Times New Roman" w:hAnsi="Times New Roman" w:cs="Times New Roman"/>
          <w:sz w:val="24"/>
          <w:szCs w:val="24"/>
          <w:lang w:val="en-CA"/>
        </w:rPr>
        <w:t>community</w:t>
      </w:r>
      <w:r w:rsidRPr="00477457">
        <w:rPr>
          <w:rFonts w:ascii="Times New Roman" w:hAnsi="Times New Roman" w:cs="Times New Roman"/>
          <w:sz w:val="24"/>
          <w:szCs w:val="24"/>
          <w:lang w:val="en-CA"/>
        </w:rPr>
        <w:t xml:space="preserve"> of birds fed BMD (A), 0% BSFLM (B), 12.5%  BSFLM (C),  25% BSFLM (D), 50 % BSFLM (E)  and 100% BSFLM (F). Percentages of total variance explained by each principal coordinate (PCo1 and PCo2) are displayed in the axis titles.</w:t>
      </w:r>
      <w:r w:rsidRPr="00477457">
        <w:rPr>
          <w:rFonts w:ascii="Times New Roman" w:hAnsi="Times New Roman" w:cs="Times New Roman"/>
          <w:bCs/>
          <w:sz w:val="24"/>
          <w:szCs w:val="24"/>
          <w:lang w:val="en-CA"/>
        </w:rPr>
        <w:t xml:space="preserve"> Colored solid dots represent broiler chicken cecal samples at different growth phases (red, day 14; green, day 28; blue, day 35). </w:t>
      </w:r>
      <w:r w:rsidRPr="00477457">
        <w:rPr>
          <w:rFonts w:ascii="Times New Roman" w:hAnsi="Times New Roman" w:cs="Times New Roman"/>
          <w:sz w:val="24"/>
          <w:szCs w:val="24"/>
          <w:lang w:val="en-CA"/>
        </w:rPr>
        <w:t>Colored ellipses correspond to the 95% confidence intervals for each growth phase.</w:t>
      </w:r>
    </w:p>
    <w:p w14:paraId="72687F27" w14:textId="77777777" w:rsidR="00EC2710" w:rsidRDefault="00EC2710">
      <w:pPr>
        <w:rPr>
          <w:lang w:val="en-CA"/>
        </w:rPr>
      </w:pPr>
      <w:r>
        <w:rPr>
          <w:lang w:val="en-CA"/>
        </w:rPr>
        <w:br w:type="page"/>
      </w:r>
    </w:p>
    <w:p w14:paraId="2DE2DEE6" w14:textId="77777777" w:rsidR="00EC2710" w:rsidRDefault="00EC2710" w:rsidP="00EC2710">
      <w:pPr>
        <w:jc w:val="both"/>
        <w:rPr>
          <w:rFonts w:ascii="Times New Roman" w:hAnsi="Times New Roman" w:cs="Times New Roman"/>
          <w:b/>
          <w:lang w:val="en-CA"/>
        </w:rPr>
      </w:pPr>
    </w:p>
    <w:p w14:paraId="738DEE66" w14:textId="77777777" w:rsidR="00EC2710" w:rsidRDefault="00EC2710" w:rsidP="00EC2710">
      <w:pPr>
        <w:jc w:val="both"/>
        <w:rPr>
          <w:rFonts w:ascii="Times New Roman" w:hAnsi="Times New Roman" w:cs="Times New Roman"/>
          <w:b/>
          <w:lang w:val="en-CA"/>
        </w:rPr>
      </w:pPr>
    </w:p>
    <w:p w14:paraId="26FFBEE2" w14:textId="77777777" w:rsidR="00EC2710" w:rsidRDefault="0012719A" w:rsidP="00EC2710">
      <w:pPr>
        <w:jc w:val="both"/>
        <w:rPr>
          <w:rFonts w:ascii="Times New Roman" w:hAnsi="Times New Roman" w:cs="Times New Roman"/>
          <w:b/>
          <w:lang w:val="en-CA"/>
        </w:rPr>
      </w:pPr>
      <w:r>
        <w:rPr>
          <w:rFonts w:ascii="Times New Roman" w:hAnsi="Times New Roman" w:cs="Times New Roman"/>
          <w:b/>
          <w:noProof/>
        </w:rPr>
        <w:pict w14:anchorId="2ACE3B63">
          <v:shape id="_x0000_i1027" type="#_x0000_t75" style="width:467.1pt;height:140.15pt">
            <v:imagedata r:id="rId8" o:title="Figure S3"/>
          </v:shape>
        </w:pict>
      </w:r>
    </w:p>
    <w:p w14:paraId="3C4AB972" w14:textId="77777777" w:rsidR="00EC2710" w:rsidRDefault="00EC2710" w:rsidP="00EC2710">
      <w:pPr>
        <w:jc w:val="both"/>
        <w:rPr>
          <w:rFonts w:ascii="Times New Roman" w:hAnsi="Times New Roman" w:cs="Times New Roman"/>
          <w:b/>
          <w:lang w:val="en-CA"/>
        </w:rPr>
      </w:pPr>
    </w:p>
    <w:p w14:paraId="19B91FFC" w14:textId="77777777" w:rsidR="00EC2710" w:rsidRPr="00477457" w:rsidRDefault="00EC2710" w:rsidP="00EC2710">
      <w:pPr>
        <w:jc w:val="both"/>
        <w:rPr>
          <w:rFonts w:ascii="Times New Roman" w:hAnsi="Times New Roman" w:cs="Times New Roman"/>
          <w:sz w:val="24"/>
          <w:szCs w:val="24"/>
          <w:lang w:val="en-CA"/>
        </w:rPr>
      </w:pPr>
      <w:r w:rsidRPr="00477457">
        <w:rPr>
          <w:rFonts w:ascii="Times New Roman" w:hAnsi="Times New Roman" w:cs="Times New Roman"/>
          <w:b/>
          <w:sz w:val="24"/>
          <w:szCs w:val="24"/>
          <w:lang w:val="en-CA"/>
        </w:rPr>
        <w:t xml:space="preserve">Supplemental Figure S3. </w:t>
      </w:r>
      <w:r w:rsidRPr="00477457">
        <w:rPr>
          <w:rFonts w:ascii="Times New Roman" w:hAnsi="Times New Roman" w:cs="Times New Roman"/>
          <w:sz w:val="24"/>
          <w:szCs w:val="24"/>
          <w:lang w:val="en-CA"/>
        </w:rPr>
        <w:t xml:space="preserve">Genus-level principal coordinates analysis based on the Bray-Curtis dissimilarity comparing the impact of diet on the cecal bacterial </w:t>
      </w:r>
      <w:r w:rsidR="00477457" w:rsidRPr="00477457">
        <w:rPr>
          <w:rFonts w:ascii="Times New Roman" w:hAnsi="Times New Roman" w:cs="Times New Roman"/>
          <w:sz w:val="24"/>
          <w:szCs w:val="24"/>
          <w:lang w:val="en-CA"/>
        </w:rPr>
        <w:t>community</w:t>
      </w:r>
      <w:r w:rsidRPr="00477457">
        <w:rPr>
          <w:rFonts w:ascii="Times New Roman" w:hAnsi="Times New Roman" w:cs="Times New Roman"/>
          <w:sz w:val="24"/>
          <w:szCs w:val="24"/>
          <w:lang w:val="en-CA"/>
        </w:rPr>
        <w:t xml:space="preserve"> at the end of day 14 (A), day 28 (B) and day 35 (C). Percentages of total variance explained by each principal coordinate (PCo1 and PCo2) are displayed in the axis titles.</w:t>
      </w:r>
      <w:r w:rsidRPr="00477457">
        <w:rPr>
          <w:rFonts w:ascii="Times New Roman" w:hAnsi="Times New Roman" w:cs="Times New Roman"/>
          <w:bCs/>
          <w:sz w:val="24"/>
          <w:szCs w:val="24"/>
          <w:lang w:val="en-CA"/>
        </w:rPr>
        <w:t xml:space="preserve"> Colored solid dots represent broiler chicken cecal samples from each dietary group (red, BMD; brown, 0%BSFLM; green, 12.5% BSFLM; teal, 25% BSFLM; blue, 50% BSFLM; pink, 100% BSFLM). </w:t>
      </w:r>
      <w:r w:rsidRPr="00477457">
        <w:rPr>
          <w:rFonts w:ascii="Times New Roman" w:hAnsi="Times New Roman" w:cs="Times New Roman"/>
          <w:sz w:val="24"/>
          <w:szCs w:val="24"/>
          <w:lang w:val="en-CA"/>
        </w:rPr>
        <w:t>Colored ellipses correspond to the 95% confidence intervals for each growth phase.</w:t>
      </w:r>
    </w:p>
    <w:p w14:paraId="6E0CCAA7" w14:textId="77777777" w:rsidR="00EC2710" w:rsidRPr="00A834F3" w:rsidRDefault="00EC2710" w:rsidP="00EC2710">
      <w:pPr>
        <w:rPr>
          <w:lang w:val="en-CA"/>
        </w:rPr>
      </w:pPr>
    </w:p>
    <w:p w14:paraId="7BC76D23" w14:textId="77777777" w:rsidR="006F0B4E" w:rsidRPr="00EC2710" w:rsidRDefault="006F0B4E">
      <w:pPr>
        <w:rPr>
          <w:lang w:val="en-CA"/>
        </w:rPr>
      </w:pPr>
    </w:p>
    <w:sectPr w:rsidR="006F0B4E" w:rsidRPr="00EC2710">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6AF4" w14:textId="77777777" w:rsidR="0012719A" w:rsidRDefault="0012719A" w:rsidP="0012719A">
      <w:pPr>
        <w:spacing w:after="0" w:line="240" w:lineRule="auto"/>
      </w:pPr>
      <w:r>
        <w:separator/>
      </w:r>
    </w:p>
  </w:endnote>
  <w:endnote w:type="continuationSeparator" w:id="0">
    <w:p w14:paraId="079BFBAA" w14:textId="77777777" w:rsidR="0012719A" w:rsidRDefault="0012719A" w:rsidP="0012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1620D" w14:textId="77777777" w:rsidR="0012719A" w:rsidRDefault="0012719A" w:rsidP="0012719A">
      <w:pPr>
        <w:spacing w:after="0" w:line="240" w:lineRule="auto"/>
      </w:pPr>
      <w:r>
        <w:separator/>
      </w:r>
    </w:p>
  </w:footnote>
  <w:footnote w:type="continuationSeparator" w:id="0">
    <w:p w14:paraId="745E7D2F" w14:textId="77777777" w:rsidR="0012719A" w:rsidRDefault="0012719A" w:rsidP="00127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811B" w14:textId="28618F77" w:rsidR="0012719A" w:rsidRDefault="0012719A">
    <w:pPr>
      <w:pStyle w:val="Header"/>
    </w:pPr>
    <w:r>
      <w:rPr>
        <w:noProof/>
        <w14:ligatures w14:val="none"/>
      </w:rPr>
      <mc:AlternateContent>
        <mc:Choice Requires="wps">
          <w:drawing>
            <wp:anchor distT="0" distB="0" distL="0" distR="0" simplePos="0" relativeHeight="251659264" behindDoc="0" locked="0" layoutInCell="1" allowOverlap="1" wp14:anchorId="41C99B2D" wp14:editId="08E05AAF">
              <wp:simplePos x="635" y="635"/>
              <wp:positionH relativeFrom="page">
                <wp:align>right</wp:align>
              </wp:positionH>
              <wp:positionV relativeFrom="page">
                <wp:align>top</wp:align>
              </wp:positionV>
              <wp:extent cx="443865" cy="443865"/>
              <wp:effectExtent l="0" t="0" r="0" b="4445"/>
              <wp:wrapNone/>
              <wp:docPr id="1919647312"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24A35F" w14:textId="0F9C5765" w:rsidR="0012719A" w:rsidRPr="0012719A" w:rsidRDefault="0012719A" w:rsidP="0012719A">
                          <w:pPr>
                            <w:spacing w:after="0"/>
                            <w:rPr>
                              <w:rFonts w:ascii="Calibri" w:eastAsia="Calibri" w:hAnsi="Calibri" w:cs="Calibri"/>
                              <w:noProof/>
                              <w:color w:val="000000"/>
                              <w:sz w:val="20"/>
                              <w:szCs w:val="20"/>
                            </w:rPr>
                          </w:pPr>
                          <w:r w:rsidRPr="0012719A">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1C99B2D" id="_x0000_t202" coordsize="21600,21600" o:spt="202" path="m,l,21600r21600,l21600,xe">
              <v:stroke joinstyle="miter"/>
              <v:path gradientshapeok="t" o:connecttype="rect"/>
            </v:shapetype>
            <v:shape id="Text Box 2" o:spid="_x0000_s1026" type="#_x0000_t202" alt="Unclassified / Non classifié" style="position:absolute;margin-left:-5.0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fill o:detectmouseclick="t"/>
              <v:textbox style="mso-fit-shape-to-text:t" inset="0,15pt,20pt,0">
                <w:txbxContent>
                  <w:p w14:paraId="6324A35F" w14:textId="0F9C5765" w:rsidR="0012719A" w:rsidRPr="0012719A" w:rsidRDefault="0012719A" w:rsidP="0012719A">
                    <w:pPr>
                      <w:spacing w:after="0"/>
                      <w:rPr>
                        <w:rFonts w:ascii="Calibri" w:eastAsia="Calibri" w:hAnsi="Calibri" w:cs="Calibri"/>
                        <w:noProof/>
                        <w:color w:val="000000"/>
                        <w:sz w:val="20"/>
                        <w:szCs w:val="20"/>
                      </w:rPr>
                    </w:pPr>
                    <w:r w:rsidRPr="0012719A">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C553" w14:textId="7DF6FE8A" w:rsidR="0012719A" w:rsidRDefault="0012719A">
    <w:pPr>
      <w:pStyle w:val="Header"/>
    </w:pPr>
    <w:r>
      <w:rPr>
        <w:noProof/>
        <w14:ligatures w14:val="none"/>
      </w:rPr>
      <mc:AlternateContent>
        <mc:Choice Requires="wps">
          <w:drawing>
            <wp:anchor distT="0" distB="0" distL="0" distR="0" simplePos="0" relativeHeight="251660288" behindDoc="0" locked="0" layoutInCell="1" allowOverlap="1" wp14:anchorId="078FFCA8" wp14:editId="763FF525">
              <wp:simplePos x="914400" y="457200"/>
              <wp:positionH relativeFrom="page">
                <wp:align>right</wp:align>
              </wp:positionH>
              <wp:positionV relativeFrom="page">
                <wp:align>top</wp:align>
              </wp:positionV>
              <wp:extent cx="443865" cy="443865"/>
              <wp:effectExtent l="0" t="0" r="0" b="4445"/>
              <wp:wrapNone/>
              <wp:docPr id="364654598"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65CB92" w14:textId="643F6545" w:rsidR="0012719A" w:rsidRPr="0012719A" w:rsidRDefault="0012719A" w:rsidP="0012719A">
                          <w:pPr>
                            <w:spacing w:after="0"/>
                            <w:rPr>
                              <w:rFonts w:ascii="Calibri" w:eastAsia="Calibri" w:hAnsi="Calibri" w:cs="Calibri"/>
                              <w:noProof/>
                              <w:color w:val="000000"/>
                              <w:sz w:val="20"/>
                              <w:szCs w:val="20"/>
                            </w:rPr>
                          </w:pPr>
                          <w:r w:rsidRPr="0012719A">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78FFCA8" id="_x0000_t202" coordsize="21600,21600" o:spt="202" path="m,l,21600r21600,l21600,xe">
              <v:stroke joinstyle="miter"/>
              <v:path gradientshapeok="t" o:connecttype="rect"/>
            </v:shapetype>
            <v:shape id="Text Box 3" o:spid="_x0000_s1027" type="#_x0000_t202" alt="Unclassified / Non classifié" style="position:absolute;margin-left:-5.0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fill o:detectmouseclick="t"/>
              <v:textbox style="mso-fit-shape-to-text:t" inset="0,15pt,20pt,0">
                <w:txbxContent>
                  <w:p w14:paraId="2865CB92" w14:textId="643F6545" w:rsidR="0012719A" w:rsidRPr="0012719A" w:rsidRDefault="0012719A" w:rsidP="0012719A">
                    <w:pPr>
                      <w:spacing w:after="0"/>
                      <w:rPr>
                        <w:rFonts w:ascii="Calibri" w:eastAsia="Calibri" w:hAnsi="Calibri" w:cs="Calibri"/>
                        <w:noProof/>
                        <w:color w:val="000000"/>
                        <w:sz w:val="20"/>
                        <w:szCs w:val="20"/>
                      </w:rPr>
                    </w:pPr>
                    <w:r w:rsidRPr="0012719A">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2BF4" w14:textId="7DD11DE5" w:rsidR="0012719A" w:rsidRDefault="0012719A">
    <w:pPr>
      <w:pStyle w:val="Header"/>
    </w:pPr>
    <w:r>
      <w:rPr>
        <w:noProof/>
        <w14:ligatures w14:val="none"/>
      </w:rPr>
      <mc:AlternateContent>
        <mc:Choice Requires="wps">
          <w:drawing>
            <wp:anchor distT="0" distB="0" distL="0" distR="0" simplePos="0" relativeHeight="251658240" behindDoc="0" locked="0" layoutInCell="1" allowOverlap="1" wp14:anchorId="5A74D718" wp14:editId="27DF3D78">
              <wp:simplePos x="635" y="635"/>
              <wp:positionH relativeFrom="page">
                <wp:align>right</wp:align>
              </wp:positionH>
              <wp:positionV relativeFrom="page">
                <wp:align>top</wp:align>
              </wp:positionV>
              <wp:extent cx="443865" cy="443865"/>
              <wp:effectExtent l="0" t="0" r="0" b="4445"/>
              <wp:wrapNone/>
              <wp:docPr id="909233695"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7C088A" w14:textId="54608A1F" w:rsidR="0012719A" w:rsidRPr="0012719A" w:rsidRDefault="0012719A" w:rsidP="0012719A">
                          <w:pPr>
                            <w:spacing w:after="0"/>
                            <w:rPr>
                              <w:rFonts w:ascii="Calibri" w:eastAsia="Calibri" w:hAnsi="Calibri" w:cs="Calibri"/>
                              <w:noProof/>
                              <w:color w:val="000000"/>
                              <w:sz w:val="20"/>
                              <w:szCs w:val="20"/>
                            </w:rPr>
                          </w:pPr>
                          <w:r w:rsidRPr="0012719A">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A74D718" id="_x0000_t202" coordsize="21600,21600" o:spt="202" path="m,l,21600r21600,l21600,xe">
              <v:stroke joinstyle="miter"/>
              <v:path gradientshapeok="t" o:connecttype="rect"/>
            </v:shapetype>
            <v:shape id="Text Box 1" o:spid="_x0000_s1028" type="#_x0000_t202" alt="Unclassified / Non classifié" style="position:absolute;margin-left:-5.0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fill o:detectmouseclick="t"/>
              <v:textbox style="mso-fit-shape-to-text:t" inset="0,15pt,20pt,0">
                <w:txbxContent>
                  <w:p w14:paraId="7F7C088A" w14:textId="54608A1F" w:rsidR="0012719A" w:rsidRPr="0012719A" w:rsidRDefault="0012719A" w:rsidP="0012719A">
                    <w:pPr>
                      <w:spacing w:after="0"/>
                      <w:rPr>
                        <w:rFonts w:ascii="Calibri" w:eastAsia="Calibri" w:hAnsi="Calibri" w:cs="Calibri"/>
                        <w:noProof/>
                        <w:color w:val="000000"/>
                        <w:sz w:val="20"/>
                        <w:szCs w:val="20"/>
                      </w:rPr>
                    </w:pPr>
                    <w:r w:rsidRPr="0012719A">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1CE"/>
    <w:rsid w:val="00126817"/>
    <w:rsid w:val="0012719A"/>
    <w:rsid w:val="00477457"/>
    <w:rsid w:val="006F0B4E"/>
    <w:rsid w:val="009F7E52"/>
    <w:rsid w:val="00C82715"/>
    <w:rsid w:val="00E261CE"/>
    <w:rsid w:val="00EC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9F0552"/>
  <w15:chartTrackingRefBased/>
  <w15:docId w15:val="{A5E01920-2152-4E64-8500-82123044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710"/>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19A"/>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Calvin (CFIA/ACIA)</dc:creator>
  <cp:keywords/>
  <dc:description/>
  <cp:lastModifiedBy>Fruci, Michael (AAFC/AAC)</cp:lastModifiedBy>
  <cp:revision>3</cp:revision>
  <dcterms:created xsi:type="dcterms:W3CDTF">2023-08-04T16:54:00Z</dcterms:created>
  <dcterms:modified xsi:type="dcterms:W3CDTF">2024-01-10T16:09:00Z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3631ce1f,726b7e50,15bc3006</vt:lpwstr>
  </property>
  <property fmtid="{D5CDD505-2E9C-101B-9397-08002B2CF9AE}" pid="3" name="ClassificationContentMarkingHeaderFontProps">
    <vt:lpwstr>#000000,10,Calibri</vt:lpwstr>
  </property>
  <property fmtid="{D5CDD505-2E9C-101B-9397-08002B2CF9AE}" pid="4" name="ClassificationContentMarkingHeaderText">
    <vt:lpwstr>Unclassified / Non classifié</vt:lpwstr>
  </property>
  <property fmtid="{D5CDD505-2E9C-101B-9397-08002B2CF9AE}" pid="5" name="MSIP_Label_baad8967-3ba6-4b00-a759-20a8ca19a393_Enabled">
    <vt:lpwstr>true</vt:lpwstr>
  </property>
  <property fmtid="{D5CDD505-2E9C-101B-9397-08002B2CF9AE}" pid="6" name="MSIP_Label_baad8967-3ba6-4b00-a759-20a8ca19a393_SetDate">
    <vt:lpwstr>2024-01-10T16:09:15Z</vt:lpwstr>
  </property>
  <property fmtid="{D5CDD505-2E9C-101B-9397-08002B2CF9AE}" pid="7" name="MSIP_Label_baad8967-3ba6-4b00-a759-20a8ca19a393_Method">
    <vt:lpwstr>Privileged</vt:lpwstr>
  </property>
  <property fmtid="{D5CDD505-2E9C-101B-9397-08002B2CF9AE}" pid="8" name="MSIP_Label_baad8967-3ba6-4b00-a759-20a8ca19a393_Name">
    <vt:lpwstr>UNCLASSIFIED</vt:lpwstr>
  </property>
  <property fmtid="{D5CDD505-2E9C-101B-9397-08002B2CF9AE}" pid="9" name="MSIP_Label_baad8967-3ba6-4b00-a759-20a8ca19a393_SiteId">
    <vt:lpwstr>9da98bb1-1857-4cc3-8751-9a49e35d24cd</vt:lpwstr>
  </property>
  <property fmtid="{D5CDD505-2E9C-101B-9397-08002B2CF9AE}" pid="10" name="MSIP_Label_baad8967-3ba6-4b00-a759-20a8ca19a393_ActionId">
    <vt:lpwstr>983e4a2b-9ec3-4d6a-b922-bad8d925b4fb</vt:lpwstr>
  </property>
  <property fmtid="{D5CDD505-2E9C-101B-9397-08002B2CF9AE}" pid="11" name="MSIP_Label_baad8967-3ba6-4b00-a759-20a8ca19a393_ContentBits">
    <vt:lpwstr>1</vt:lpwstr>
  </property>
</Properties>
</file>