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2D0F6" w14:textId="77777777" w:rsidR="00BE5E21" w:rsidRDefault="00000000">
      <w:pPr>
        <w:spacing w:line="48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SUPPLEMENTARY FILES</w:t>
      </w:r>
    </w:p>
    <w:p w14:paraId="12A74D81" w14:textId="77777777" w:rsidR="00BE5E21" w:rsidRDefault="00BE5E21">
      <w:pPr>
        <w:spacing w:line="480" w:lineRule="auto"/>
        <w:jc w:val="both"/>
        <w:rPr>
          <w:rFonts w:ascii="Arial" w:hAnsi="Arial" w:cs="Arial"/>
          <w:b/>
          <w:color w:val="000000" w:themeColor="text1"/>
        </w:rPr>
      </w:pPr>
    </w:p>
    <w:p w14:paraId="37550310" w14:textId="77777777" w:rsidR="00BE5E21" w:rsidRDefault="00000000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color w:val="000000" w:themeColor="text1"/>
        </w:rPr>
        <w:t>Supp. Fig. 1</w:t>
      </w:r>
      <w:r>
        <w:rPr>
          <w:rFonts w:ascii="Arial" w:hAnsi="Arial" w:cs="Arial"/>
          <w:b/>
        </w:rPr>
        <w:t xml:space="preserve"> – Rarefaction curves.</w:t>
      </w:r>
      <w:r>
        <w:rPr>
          <w:rFonts w:ascii="Arial" w:hAnsi="Arial" w:cs="Arial"/>
        </w:rPr>
        <w:t xml:space="preserve"> Curves were plotted for each sample type (Hm: hemolymph, S: stomach, G: gut, Hp: hepatopancreas, O: ovotestis, W: whole snail, Ty: tray water, Tk: tank water). Each of these </w:t>
      </w:r>
      <w:proofErr w:type="gramStart"/>
      <w:r>
        <w:rPr>
          <w:rFonts w:ascii="Arial" w:hAnsi="Arial" w:cs="Arial"/>
        </w:rPr>
        <w:t>curves</w:t>
      </w:r>
      <w:proofErr w:type="gramEnd"/>
      <w:r>
        <w:rPr>
          <w:rFonts w:ascii="Arial" w:hAnsi="Arial" w:cs="Arial"/>
        </w:rPr>
        <w:t xml:space="preserve"> plateau demonstrating that sampling more reads (x axis) would not have increased ASVs richness (y axis).</w:t>
      </w:r>
    </w:p>
    <w:p w14:paraId="5363554D" w14:textId="77777777" w:rsidR="00BE5E21" w:rsidRDefault="00BE5E21">
      <w:pPr>
        <w:spacing w:line="480" w:lineRule="auto"/>
        <w:jc w:val="both"/>
        <w:rPr>
          <w:rFonts w:ascii="Arial" w:hAnsi="Arial" w:cs="Arial"/>
          <w:color w:val="000000" w:themeColor="text1"/>
        </w:rPr>
      </w:pPr>
    </w:p>
    <w:p w14:paraId="24CC58AB" w14:textId="77777777" w:rsidR="00BE5E21" w:rsidRDefault="00000000">
      <w:pPr>
        <w:spacing w:line="48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Supp. Fig. 2</w:t>
      </w:r>
      <w:r>
        <w:rPr>
          <w:rFonts w:ascii="Arial" w:hAnsi="Arial" w:cs="Arial"/>
          <w:b/>
        </w:rPr>
        <w:t xml:space="preserve"> – α-diversity statistical results.</w:t>
      </w:r>
      <w:r>
        <w:rPr>
          <w:rFonts w:ascii="Arial" w:hAnsi="Arial" w:cs="Arial"/>
        </w:rPr>
        <w:t xml:space="preserve"> We performed Wilcoxon pairwise comparisons between the different sample types of </w:t>
      </w:r>
      <w:r>
        <w:rPr>
          <w:rFonts w:ascii="Arial" w:hAnsi="Arial" w:cs="Arial"/>
          <w:i/>
        </w:rPr>
        <w:t>B. alexandrina</w:t>
      </w:r>
      <w:r>
        <w:rPr>
          <w:rFonts w:ascii="Arial" w:hAnsi="Arial" w:cs="Arial"/>
        </w:rPr>
        <w:t xml:space="preserve"> (Ba) and </w:t>
      </w:r>
      <w:r>
        <w:rPr>
          <w:rFonts w:ascii="Arial" w:hAnsi="Arial" w:cs="Arial"/>
          <w:i/>
        </w:rPr>
        <w:t>B. glabrata</w:t>
      </w:r>
      <w:r>
        <w:rPr>
          <w:rFonts w:ascii="Arial" w:hAnsi="Arial" w:cs="Arial"/>
        </w:rPr>
        <w:t xml:space="preserve"> (BgBS90) for each α-diversity index (Fig. 2). The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-values are adjusted using the false discovery rate (FDR) method. Results in these comparisons are </w:t>
      </w:r>
      <w:proofErr w:type="gramStart"/>
      <w:r>
        <w:rPr>
          <w:rFonts w:ascii="Arial" w:hAnsi="Arial" w:cs="Arial"/>
        </w:rPr>
        <w:t>similar to</w:t>
      </w:r>
      <w:proofErr w:type="gramEnd"/>
      <w:r>
        <w:rPr>
          <w:rFonts w:ascii="Arial" w:hAnsi="Arial" w:cs="Arial"/>
        </w:rPr>
        <w:t xml:space="preserve"> the linear mixed-effects model results (Supp. Table 3).</w:t>
      </w:r>
    </w:p>
    <w:p w14:paraId="4E726EF6" w14:textId="77777777" w:rsidR="00BE5E21" w:rsidRDefault="00BE5E21">
      <w:pPr>
        <w:spacing w:line="480" w:lineRule="auto"/>
        <w:jc w:val="both"/>
        <w:rPr>
          <w:rFonts w:ascii="Arial" w:hAnsi="Arial" w:cs="Arial"/>
          <w:b/>
          <w:color w:val="000000" w:themeColor="text1"/>
        </w:rPr>
      </w:pPr>
    </w:p>
    <w:p w14:paraId="1717C137" w14:textId="40E5DB36" w:rsidR="00BE5E21" w:rsidRDefault="00000000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color w:val="000000" w:themeColor="text1"/>
        </w:rPr>
        <w:t>Supp. Fig. 3</w:t>
      </w:r>
      <w:r>
        <w:rPr>
          <w:rFonts w:ascii="Arial" w:hAnsi="Arial" w:cs="Arial"/>
          <w:b/>
        </w:rPr>
        <w:t xml:space="preserve"> – Principal component analysis of snail hemolymph, organs, whole snails, and water.</w:t>
      </w:r>
      <w:r w:rsidR="00531F5F">
        <w:rPr>
          <w:rFonts w:ascii="Arial" w:hAnsi="Arial" w:cs="Arial"/>
          <w:b/>
        </w:rPr>
        <w:t xml:space="preserve"> </w:t>
      </w:r>
      <w:r w:rsidR="00531F5F">
        <w:rPr>
          <w:rFonts w:ascii="Arial" w:hAnsi="Arial" w:cs="Arial"/>
        </w:rPr>
        <w:t xml:space="preserve">See Fig. </w:t>
      </w:r>
      <w:r w:rsidR="00531F5F">
        <w:rPr>
          <w:rFonts w:ascii="Arial" w:hAnsi="Arial" w:cs="Arial"/>
        </w:rPr>
        <w:t>3</w:t>
      </w:r>
      <w:r w:rsidR="00531F5F">
        <w:rPr>
          <w:rFonts w:ascii="Arial" w:hAnsi="Arial" w:cs="Arial"/>
        </w:rPr>
        <w:t xml:space="preserve"> for additional information.</w:t>
      </w:r>
    </w:p>
    <w:p w14:paraId="055C1966" w14:textId="77777777" w:rsidR="00BE5E21" w:rsidRDefault="00BE5E21">
      <w:pPr>
        <w:spacing w:line="480" w:lineRule="auto"/>
        <w:jc w:val="both"/>
        <w:rPr>
          <w:rFonts w:ascii="Arial" w:hAnsi="Arial" w:cs="Arial"/>
          <w:b/>
          <w:color w:val="000000" w:themeColor="text1"/>
        </w:rPr>
      </w:pPr>
    </w:p>
    <w:p w14:paraId="39471D4B" w14:textId="77777777" w:rsidR="00BE5E21" w:rsidRDefault="00000000">
      <w:pPr>
        <w:spacing w:line="48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 w:themeColor="text1"/>
        </w:rPr>
        <w:t>Supp. Fig. 4</w:t>
      </w:r>
      <w:r>
        <w:rPr>
          <w:rFonts w:ascii="Arial" w:hAnsi="Arial" w:cs="Arial"/>
          <w:b/>
        </w:rPr>
        <w:t xml:space="preserve"> – Taxonomic diversity of sample types in each snail species. </w:t>
      </w:r>
      <w:r>
        <w:rPr>
          <w:rFonts w:ascii="Arial" w:hAnsi="Arial" w:cs="Arial"/>
        </w:rPr>
        <w:t xml:space="preserve">Relative abundance of the different classes in each sample type for (A) </w:t>
      </w:r>
      <w:r>
        <w:rPr>
          <w:rFonts w:ascii="Arial" w:hAnsi="Arial" w:cs="Arial"/>
          <w:i/>
          <w:iCs/>
        </w:rPr>
        <w:t>B. alexandrina</w:t>
      </w:r>
      <w:r>
        <w:rPr>
          <w:rFonts w:ascii="Arial" w:hAnsi="Arial" w:cs="Arial"/>
        </w:rPr>
        <w:t xml:space="preserve"> and (B) </w:t>
      </w:r>
      <w:r>
        <w:rPr>
          <w:rFonts w:ascii="Arial" w:hAnsi="Arial" w:cs="Arial"/>
          <w:i/>
          <w:iCs/>
        </w:rPr>
        <w:t>B. glabrata</w:t>
      </w:r>
      <w:r>
        <w:rPr>
          <w:rFonts w:ascii="Arial" w:hAnsi="Arial" w:cs="Arial"/>
        </w:rPr>
        <w:t>.</w:t>
      </w:r>
    </w:p>
    <w:p w14:paraId="783BABC5" w14:textId="77777777" w:rsidR="00BE5E21" w:rsidRDefault="00BE5E21">
      <w:pPr>
        <w:spacing w:line="480" w:lineRule="auto"/>
        <w:jc w:val="both"/>
        <w:rPr>
          <w:rFonts w:ascii="Arial" w:hAnsi="Arial" w:cs="Arial"/>
        </w:rPr>
      </w:pPr>
    </w:p>
    <w:p w14:paraId="2439A97E" w14:textId="77777777" w:rsidR="00BE5E21" w:rsidRDefault="00000000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color w:val="000000" w:themeColor="text1"/>
        </w:rPr>
        <w:t>Supp. Fig. 5</w:t>
      </w:r>
      <w:r>
        <w:rPr>
          <w:rFonts w:ascii="Arial" w:hAnsi="Arial" w:cs="Arial"/>
          <w:b/>
        </w:rPr>
        <w:t xml:space="preserve"> – Shared ASVs between sample types by species (full set).</w:t>
      </w:r>
      <w:r>
        <w:rPr>
          <w:rFonts w:ascii="Arial" w:hAnsi="Arial" w:cs="Arial"/>
        </w:rPr>
        <w:t xml:space="preserve"> See Fig. 5 for additional information.</w:t>
      </w:r>
    </w:p>
    <w:p w14:paraId="5328033D" w14:textId="77777777" w:rsidR="00BE5E21" w:rsidRDefault="00BE5E21">
      <w:pPr>
        <w:spacing w:line="480" w:lineRule="auto"/>
        <w:jc w:val="both"/>
        <w:rPr>
          <w:rFonts w:ascii="Arial" w:hAnsi="Arial" w:cs="Arial"/>
          <w:color w:val="000000" w:themeColor="text1"/>
        </w:rPr>
      </w:pPr>
    </w:p>
    <w:p w14:paraId="41112B67" w14:textId="77777777" w:rsidR="00BE5E21" w:rsidRDefault="00000000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color w:val="000000" w:themeColor="text1"/>
        </w:rPr>
        <w:lastRenderedPageBreak/>
        <w:t>Supp. Fig. 6</w:t>
      </w:r>
      <w:r>
        <w:rPr>
          <w:rFonts w:ascii="Arial" w:hAnsi="Arial" w:cs="Arial"/>
          <w:b/>
        </w:rPr>
        <w:t xml:space="preserve"> – Proportion of shared ASVs between sample types in pairwise comparisons.</w:t>
      </w:r>
      <w:r>
        <w:rPr>
          <w:rFonts w:ascii="Arial" w:hAnsi="Arial" w:cs="Arial"/>
        </w:rPr>
        <w:t xml:space="preserve"> The upper and lower triangles correspond to sample types of </w:t>
      </w:r>
      <w:r>
        <w:rPr>
          <w:rFonts w:ascii="Arial" w:hAnsi="Arial" w:cs="Arial"/>
          <w:i/>
        </w:rPr>
        <w:t>B. alexandrina</w:t>
      </w:r>
      <w:r>
        <w:rPr>
          <w:rFonts w:ascii="Arial" w:hAnsi="Arial" w:cs="Arial"/>
        </w:rPr>
        <w:t xml:space="preserve"> (Ba) and </w:t>
      </w:r>
      <w:r>
        <w:rPr>
          <w:rFonts w:ascii="Arial" w:hAnsi="Arial" w:cs="Arial"/>
          <w:i/>
        </w:rPr>
        <w:t>B. glabrata</w:t>
      </w:r>
      <w:r>
        <w:rPr>
          <w:rFonts w:ascii="Arial" w:hAnsi="Arial" w:cs="Arial"/>
        </w:rPr>
        <w:t xml:space="preserve"> (BgBS90), respectively. Squares with shade of blue correspond to a proportion of 20% or greater (darker blue). Hm: hemolymph, S: stomach, G: gut, Hp: hepatopancreas, O: ovotestis, W: whole snail, Ty: tray water, Tk: tank water</w:t>
      </w:r>
    </w:p>
    <w:p w14:paraId="4ABAEC01" w14:textId="77777777" w:rsidR="00BE5E21" w:rsidRDefault="00BE5E21">
      <w:pPr>
        <w:spacing w:line="480" w:lineRule="auto"/>
        <w:jc w:val="both"/>
        <w:rPr>
          <w:rFonts w:ascii="Arial" w:hAnsi="Arial" w:cs="Arial"/>
        </w:rPr>
      </w:pPr>
    </w:p>
    <w:p w14:paraId="7FFCB72E" w14:textId="77777777" w:rsidR="00BE5E21" w:rsidRDefault="00000000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color w:val="000000" w:themeColor="text1"/>
        </w:rPr>
        <w:t>Supp. Fig. 7</w:t>
      </w:r>
      <w:r>
        <w:rPr>
          <w:rFonts w:ascii="Arial" w:hAnsi="Arial" w:cs="Arial"/>
          <w:b/>
        </w:rPr>
        <w:t xml:space="preserve"> – Statistical results 16S rRNA gene density.</w:t>
      </w:r>
      <w:r>
        <w:rPr>
          <w:rFonts w:ascii="Arial" w:hAnsi="Arial" w:cs="Arial"/>
        </w:rPr>
        <w:t xml:space="preserve"> We performed Wilcoxon pairwise comparisons between the organs/whole snails or hemolymph/water of </w:t>
      </w:r>
      <w:r>
        <w:rPr>
          <w:rFonts w:ascii="Arial" w:hAnsi="Arial" w:cs="Arial"/>
          <w:i/>
        </w:rPr>
        <w:t>B. alexandrina</w:t>
      </w:r>
      <w:r>
        <w:rPr>
          <w:rFonts w:ascii="Arial" w:hAnsi="Arial" w:cs="Arial"/>
        </w:rPr>
        <w:t xml:space="preserve"> (Ba) and </w:t>
      </w:r>
      <w:r>
        <w:rPr>
          <w:rFonts w:ascii="Arial" w:hAnsi="Arial" w:cs="Arial"/>
          <w:i/>
        </w:rPr>
        <w:t>B. glabrata</w:t>
      </w:r>
      <w:r>
        <w:rPr>
          <w:rFonts w:ascii="Arial" w:hAnsi="Arial" w:cs="Arial"/>
        </w:rPr>
        <w:t xml:space="preserve"> (BgBS90) for the 16S density (Fig. 7). The p-values are not adjusted for multiple comparisons. S: stomach, G: gut, Hp: hepatopancreas, O: ovotestis, W: whole snail, Hm: hemolymph, Ty: tray water, Tk: tank water.</w:t>
      </w:r>
    </w:p>
    <w:p w14:paraId="1D0C513B" w14:textId="77777777" w:rsidR="00BE5E21" w:rsidRDefault="00BE5E21">
      <w:pPr>
        <w:spacing w:line="480" w:lineRule="auto"/>
        <w:jc w:val="both"/>
        <w:rPr>
          <w:rFonts w:ascii="Arial" w:hAnsi="Arial" w:cs="Arial"/>
          <w:color w:val="000000" w:themeColor="text1"/>
        </w:rPr>
      </w:pPr>
    </w:p>
    <w:p w14:paraId="7C94FF19" w14:textId="77777777" w:rsidR="00BE5E21" w:rsidRDefault="00000000">
      <w:pPr>
        <w:spacing w:line="48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Supp. Table 1</w:t>
      </w:r>
      <w:r>
        <w:rPr>
          <w:rFonts w:ascii="Arial" w:hAnsi="Arial" w:cs="Arial"/>
          <w:b/>
        </w:rPr>
        <w:t xml:space="preserve"> –</w:t>
      </w:r>
      <w:r>
        <w:rPr>
          <w:rFonts w:ascii="Arial" w:hAnsi="Arial" w:cs="Arial"/>
          <w:b/>
          <w:color w:val="000000" w:themeColor="text1"/>
        </w:rPr>
        <w:t xml:space="preserve"> Earth Microbiome Project primers used for generating each library.</w:t>
      </w:r>
    </w:p>
    <w:p w14:paraId="7B0B6AE6" w14:textId="77777777" w:rsidR="00BE5E21" w:rsidRDefault="00BE5E21">
      <w:pPr>
        <w:spacing w:line="480" w:lineRule="auto"/>
        <w:jc w:val="both"/>
        <w:rPr>
          <w:rFonts w:ascii="Arial" w:hAnsi="Arial" w:cs="Arial"/>
          <w:color w:val="000000" w:themeColor="text1"/>
        </w:rPr>
      </w:pPr>
    </w:p>
    <w:p w14:paraId="0010ED79" w14:textId="77777777" w:rsidR="00BE5E21" w:rsidRDefault="00000000">
      <w:pPr>
        <w:spacing w:line="48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Supp. Table 2</w:t>
      </w:r>
      <w:r>
        <w:rPr>
          <w:rFonts w:ascii="Arial" w:hAnsi="Arial" w:cs="Arial"/>
          <w:b/>
        </w:rPr>
        <w:t xml:space="preserve"> –</w:t>
      </w:r>
      <w:r>
        <w:rPr>
          <w:rFonts w:ascii="Arial" w:hAnsi="Arial" w:cs="Arial"/>
          <w:b/>
          <w:color w:val="000000" w:themeColor="text1"/>
        </w:rPr>
        <w:t xml:space="preserve"> Library statistics.</w:t>
      </w:r>
    </w:p>
    <w:p w14:paraId="2472EE6F" w14:textId="77777777" w:rsidR="00BE5E21" w:rsidRDefault="00BE5E21">
      <w:pPr>
        <w:spacing w:line="480" w:lineRule="auto"/>
        <w:jc w:val="both"/>
        <w:rPr>
          <w:rFonts w:ascii="Arial" w:hAnsi="Arial" w:cs="Arial"/>
          <w:color w:val="000000" w:themeColor="text1"/>
        </w:rPr>
      </w:pPr>
    </w:p>
    <w:p w14:paraId="6831E9FF" w14:textId="77777777" w:rsidR="00BE5E21" w:rsidRDefault="00000000">
      <w:pPr>
        <w:spacing w:line="48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Supp. Table 3</w:t>
      </w:r>
      <w:r>
        <w:rPr>
          <w:rFonts w:ascii="Arial" w:hAnsi="Arial" w:cs="Arial"/>
          <w:b/>
        </w:rPr>
        <w:t xml:space="preserve"> –</w:t>
      </w:r>
      <w:r>
        <w:rPr>
          <w:rFonts w:ascii="Arial" w:hAnsi="Arial" w:cs="Arial"/>
          <w:b/>
          <w:color w:val="000000" w:themeColor="text1"/>
        </w:rPr>
        <w:t xml:space="preserve"> Linear mixed-effect model results.</w:t>
      </w:r>
    </w:p>
    <w:p w14:paraId="5DEAC2A9" w14:textId="77777777" w:rsidR="00BE5E21" w:rsidRDefault="00BE5E21"/>
    <w:sectPr w:rsidR="00BE5E21">
      <w:pgSz w:w="11906" w:h="16838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E21"/>
    <w:rsid w:val="00531F5F"/>
    <w:rsid w:val="00AF2B4B"/>
    <w:rsid w:val="00BE5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F3AAC"/>
  <w15:docId w15:val="{1BA38BD4-0211-4D7C-9324-4142D3151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320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Ragasutha  Ramalingam</dc:creator>
  <dc:description/>
  <cp:lastModifiedBy>Frédéric CHEVALIER</cp:lastModifiedBy>
  <cp:revision>3</cp:revision>
  <dcterms:created xsi:type="dcterms:W3CDTF">2025-04-10T01:22:00Z</dcterms:created>
  <dcterms:modified xsi:type="dcterms:W3CDTF">2025-04-22T03:25:00Z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Science Translational Medicine</vt:lpwstr>
  </property>
</Properties>
</file>