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15C8A" w14:textId="6E0CAD27" w:rsidR="00701D57" w:rsidRPr="00EF6FCC" w:rsidRDefault="00701D57">
      <w:proofErr w:type="spellStart"/>
      <w:r w:rsidRPr="00EF6FCC">
        <w:t>Cansado</w:t>
      </w:r>
      <w:proofErr w:type="spellEnd"/>
      <w:r w:rsidRPr="00EF6FCC">
        <w:t>-Utrilla et al. Supplementary files.</w:t>
      </w:r>
    </w:p>
    <w:p w14:paraId="1376DDD9" w14:textId="141DFEF6" w:rsidR="00701D57" w:rsidRPr="00EF6FCC" w:rsidRDefault="0049511A">
      <w:r>
        <w:rPr>
          <w:noProof/>
        </w:rPr>
        <w:drawing>
          <wp:inline distT="0" distB="0" distL="0" distR="0" wp14:anchorId="5DCAEA06" wp14:editId="6CFE6305">
            <wp:extent cx="5943600" cy="4987290"/>
            <wp:effectExtent l="0" t="0" r="0" b="3810"/>
            <wp:docPr id="1888914863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914863" name="Picture 1" descr="A screenshot of a graph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8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9F02A" w14:textId="77777777" w:rsidR="00701D57" w:rsidRPr="00EF6FCC" w:rsidRDefault="00701D57"/>
    <w:p w14:paraId="33B2832E" w14:textId="03275C20" w:rsidR="00701D57" w:rsidRPr="0049511A" w:rsidRDefault="00EF6FCC">
      <w:pPr>
        <w:rPr>
          <w:rFonts w:ascii="Arial" w:hAnsi="Arial" w:cs="Arial"/>
          <w:sz w:val="22"/>
          <w:szCs w:val="22"/>
        </w:rPr>
      </w:pPr>
      <w:r w:rsidRPr="00EF6FCC">
        <w:rPr>
          <w:rFonts w:ascii="Arial" w:hAnsi="Arial" w:cs="Arial"/>
          <w:b/>
          <w:bCs/>
          <w:sz w:val="22"/>
          <w:szCs w:val="22"/>
        </w:rPr>
        <w:t>Supplementary Figure 1. Rarefactions curves of all 16S samples</w:t>
      </w:r>
      <w:r w:rsidR="0049511A">
        <w:rPr>
          <w:rFonts w:ascii="Arial" w:hAnsi="Arial" w:cs="Arial"/>
          <w:b/>
          <w:bCs/>
          <w:sz w:val="22"/>
          <w:szCs w:val="22"/>
        </w:rPr>
        <w:t xml:space="preserve"> facetted by sample type and coloured according to ZIKV infection status. </w:t>
      </w:r>
      <w:r w:rsidR="0049511A">
        <w:rPr>
          <w:rFonts w:ascii="Arial" w:hAnsi="Arial" w:cs="Arial"/>
          <w:sz w:val="22"/>
          <w:szCs w:val="22"/>
        </w:rPr>
        <w:t>Samples with fewer than 2000 reads in total were removed prior to plotting.</w:t>
      </w:r>
    </w:p>
    <w:p w14:paraId="618AC218" w14:textId="77777777" w:rsidR="00C277A2" w:rsidRPr="00EF6FCC" w:rsidRDefault="00C277A2"/>
    <w:p w14:paraId="7D1D0281" w14:textId="77777777" w:rsidR="00701D57" w:rsidRDefault="00701D57"/>
    <w:p w14:paraId="3B7D92C7" w14:textId="6E4A2D6D" w:rsidR="00C277A2" w:rsidRPr="00EF6FCC" w:rsidRDefault="00C277A2">
      <w:r>
        <w:rPr>
          <w:noProof/>
        </w:rPr>
        <w:lastRenderedPageBreak/>
        <w:drawing>
          <wp:inline distT="0" distB="0" distL="0" distR="0" wp14:anchorId="2EBDAB81" wp14:editId="7CC8608A">
            <wp:extent cx="4255545" cy="4197350"/>
            <wp:effectExtent l="0" t="0" r="0" b="0"/>
            <wp:docPr id="24759524" name="Picture 1" descr="A group of graphs with different colored circl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59524" name="Picture 1" descr="A group of graphs with different colored circles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1082" cy="420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8D364" w14:textId="77777777" w:rsidR="0088370C" w:rsidRDefault="0088370C" w:rsidP="00C277A2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0847FDEB" w14:textId="0288AC71" w:rsidR="00EF6FCC" w:rsidRPr="00EF6FCC" w:rsidRDefault="00C277A2" w:rsidP="00C277A2">
      <w:pPr>
        <w:spacing w:line="360" w:lineRule="auto"/>
        <w:rPr>
          <w:rFonts w:ascii="Arial" w:hAnsi="Arial" w:cs="Arial"/>
          <w:sz w:val="22"/>
          <w:szCs w:val="22"/>
        </w:rPr>
      </w:pPr>
      <w:r w:rsidRPr="00EF6FCC">
        <w:rPr>
          <w:rFonts w:ascii="Arial" w:hAnsi="Arial" w:cs="Arial"/>
          <w:b/>
          <w:bCs/>
          <w:sz w:val="22"/>
          <w:szCs w:val="22"/>
        </w:rPr>
        <w:t xml:space="preserve">Supplementary Figure 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="00EF6FCC" w:rsidRPr="00EF6FCC">
        <w:rPr>
          <w:rFonts w:ascii="Arial" w:hAnsi="Arial" w:cs="Arial"/>
          <w:b/>
          <w:bCs/>
          <w:sz w:val="22"/>
          <w:szCs w:val="22"/>
        </w:rPr>
        <w:t>. Comparison of microbiome diversity and composition between the laboratory-reared line originally derived from Galveston and mosquitoes freshly collected from field traps in Galveston.</w:t>
      </w:r>
      <w:r w:rsidR="00EF6FCC" w:rsidRPr="00EF6FCC">
        <w:rPr>
          <w:rFonts w:ascii="Arial" w:hAnsi="Arial" w:cs="Arial"/>
          <w:sz w:val="22"/>
          <w:szCs w:val="22"/>
        </w:rPr>
        <w:t xml:space="preserve"> ZIKV-exposed (A, C) and ZIKV-infected (B, D) mosquitoes were analysed separately. Statistical differences in alpha diversity are shown as **** (p&lt;0.0001) and *** (p&lt;0.001) (Wilcoxon Rank Test) (A, B). Pairwise PERMANOVA was used for statistical analysis of the Bray-Curtis dissimilarity distance of microbiomes (C, D). Beta diversity was significantly different between laboratory and field mosquitoes in the exposed and infected groups (P</w:t>
      </w:r>
      <w:r w:rsidR="0088370C">
        <w:rPr>
          <w:rFonts w:ascii="Arial" w:hAnsi="Arial" w:cs="Arial"/>
          <w:sz w:val="22"/>
          <w:szCs w:val="22"/>
        </w:rPr>
        <w:t>ERMANOVA</w:t>
      </w:r>
      <w:r w:rsidR="00EF6FCC" w:rsidRPr="00EF6FCC">
        <w:rPr>
          <w:rFonts w:ascii="Arial" w:hAnsi="Arial" w:cs="Arial"/>
          <w:sz w:val="22"/>
          <w:szCs w:val="22"/>
        </w:rPr>
        <w:t xml:space="preserve">, </w:t>
      </w:r>
      <w:r w:rsidR="0088370C" w:rsidRPr="0088370C">
        <w:rPr>
          <w:rFonts w:ascii="Arial" w:hAnsi="Arial" w:cs="Arial"/>
          <w:i/>
          <w:iCs/>
          <w:sz w:val="22"/>
          <w:szCs w:val="22"/>
        </w:rPr>
        <w:t>p</w:t>
      </w:r>
      <w:r w:rsidR="00EF6FCC" w:rsidRPr="00EF6FCC">
        <w:rPr>
          <w:rFonts w:ascii="Arial" w:hAnsi="Arial" w:cs="Arial"/>
          <w:sz w:val="22"/>
          <w:szCs w:val="22"/>
        </w:rPr>
        <w:t>=0.001).</w:t>
      </w:r>
    </w:p>
    <w:p w14:paraId="6767A870" w14:textId="77777777" w:rsidR="00701D57" w:rsidRPr="00EF6FCC" w:rsidRDefault="00701D57"/>
    <w:p w14:paraId="37F65CBC" w14:textId="77777777" w:rsidR="00EF6FCC" w:rsidRPr="00EF6FCC" w:rsidRDefault="00EF6FCC"/>
    <w:p w14:paraId="022CA8F3" w14:textId="77777777" w:rsidR="00EF6FCC" w:rsidRPr="00EF6FCC" w:rsidRDefault="00EF6FCC"/>
    <w:p w14:paraId="5E57DA96" w14:textId="77777777" w:rsidR="00EF6FCC" w:rsidRPr="00EF6FCC" w:rsidRDefault="00EF6FCC" w:rsidP="00EF6FCC">
      <w:pPr>
        <w:keepNext/>
        <w:spacing w:line="360" w:lineRule="auto"/>
        <w:rPr>
          <w:rFonts w:ascii="Arial" w:hAnsi="Arial" w:cs="Arial"/>
          <w:sz w:val="22"/>
          <w:szCs w:val="22"/>
        </w:rPr>
      </w:pPr>
      <w:r w:rsidRPr="00EF6FCC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E04F201" wp14:editId="2EC4DCB7">
            <wp:extent cx="5215890" cy="4699635"/>
            <wp:effectExtent l="0" t="0" r="3810" b="0"/>
            <wp:docPr id="324426696" name="Picture 8" descr="A group of colorful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26696" name="Picture 8" descr="A group of colorful bars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469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99EFB" w14:textId="393EB504" w:rsidR="00EF6FCC" w:rsidRPr="001B75B7" w:rsidRDefault="00EF6FCC" w:rsidP="00EF6FCC">
      <w:pPr>
        <w:rPr>
          <w:rFonts w:ascii="Arial" w:hAnsi="Arial" w:cs="Arial"/>
          <w:sz w:val="22"/>
          <w:szCs w:val="22"/>
        </w:rPr>
      </w:pPr>
      <w:r w:rsidRPr="00EF6FCC">
        <w:rPr>
          <w:rFonts w:ascii="Arial" w:hAnsi="Arial" w:cs="Arial"/>
          <w:b/>
          <w:bCs/>
          <w:sz w:val="22"/>
          <w:szCs w:val="22"/>
        </w:rPr>
        <w:t xml:space="preserve">Supplementary Figure 3. Impact of ZIKV on the relative abundance of microbial taxa in field-collected </w:t>
      </w:r>
      <w:r w:rsidRPr="00EF6FCC">
        <w:rPr>
          <w:rFonts w:ascii="Arial" w:hAnsi="Arial" w:cs="Arial"/>
          <w:b/>
          <w:bCs/>
          <w:i/>
          <w:iCs/>
          <w:sz w:val="22"/>
          <w:szCs w:val="22"/>
        </w:rPr>
        <w:t>Ae. aegypti</w:t>
      </w:r>
      <w:r w:rsidRPr="00EF6FCC">
        <w:rPr>
          <w:rFonts w:ascii="Arial" w:hAnsi="Arial" w:cs="Arial"/>
          <w:b/>
          <w:bCs/>
          <w:sz w:val="22"/>
          <w:szCs w:val="22"/>
        </w:rPr>
        <w:t xml:space="preserve"> mosquitoes. </w:t>
      </w:r>
      <w:r w:rsidRPr="00EF6FCC">
        <w:rPr>
          <w:rFonts w:ascii="Arial" w:hAnsi="Arial" w:cs="Arial"/>
          <w:sz w:val="22"/>
          <w:szCs w:val="22"/>
        </w:rPr>
        <w:t>Relative abundance of bacterial families was explored in Austin (A), Galveston (B) and Brownsville (C) mosquitoes either ZIKV exposed or ZIKV infected.</w:t>
      </w:r>
    </w:p>
    <w:p w14:paraId="497310C9" w14:textId="77777777" w:rsidR="00EF6FCC" w:rsidRDefault="00EF6FCC"/>
    <w:sectPr w:rsidR="00EF6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D57"/>
    <w:rsid w:val="000F7410"/>
    <w:rsid w:val="00106EF2"/>
    <w:rsid w:val="0015131D"/>
    <w:rsid w:val="0049511A"/>
    <w:rsid w:val="005B023D"/>
    <w:rsid w:val="00701D57"/>
    <w:rsid w:val="007C18E1"/>
    <w:rsid w:val="0088370C"/>
    <w:rsid w:val="00C277A2"/>
    <w:rsid w:val="00E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E3048"/>
  <w15:chartTrackingRefBased/>
  <w15:docId w15:val="{828F8082-0A59-CD4C-B74E-5B537412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1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D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D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D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D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D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D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D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D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D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D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Grant Hughes</dc:creator>
  <cp:keywords/>
  <dc:description/>
  <cp:lastModifiedBy>Laura Brettell</cp:lastModifiedBy>
  <cp:revision>5</cp:revision>
  <dcterms:created xsi:type="dcterms:W3CDTF">2025-01-10T16:18:00Z</dcterms:created>
  <dcterms:modified xsi:type="dcterms:W3CDTF">2025-09-23T09:51:00Z</dcterms:modified>
</cp:coreProperties>
</file>