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48BC7" w14:textId="0D86DDE0" w:rsidR="001500BA" w:rsidRPr="002F72C1" w:rsidRDefault="001500BA" w:rsidP="001500BA">
      <w:pPr>
        <w:ind w:firstLine="0"/>
        <w:jc w:val="center"/>
        <w:rPr>
          <w:b/>
          <w:bCs/>
          <w:sz w:val="28"/>
          <w:szCs w:val="32"/>
        </w:rPr>
      </w:pPr>
      <w:bookmarkStart w:id="0" w:name="_Toc203489686"/>
      <w:bookmarkStart w:id="1" w:name="_Toc180479581"/>
      <w:r w:rsidRPr="002F72C1">
        <w:rPr>
          <w:b/>
          <w:bCs/>
          <w:sz w:val="28"/>
          <w:szCs w:val="32"/>
        </w:rPr>
        <w:t xml:space="preserve">Skin bacteriome </w:t>
      </w:r>
      <w:r w:rsidR="00DC727E">
        <w:rPr>
          <w:b/>
          <w:bCs/>
          <w:sz w:val="28"/>
          <w:szCs w:val="32"/>
        </w:rPr>
        <w:t>linked</w:t>
      </w:r>
      <w:r w:rsidRPr="002F72C1">
        <w:rPr>
          <w:b/>
          <w:bCs/>
          <w:sz w:val="28"/>
          <w:szCs w:val="32"/>
        </w:rPr>
        <w:t xml:space="preserve"> to disease defense in neotropical frog</w:t>
      </w:r>
      <w:bookmarkEnd w:id="0"/>
      <w:r w:rsidR="00F92AF0">
        <w:rPr>
          <w:b/>
          <w:bCs/>
          <w:sz w:val="28"/>
          <w:szCs w:val="32"/>
        </w:rPr>
        <w:t>s</w:t>
      </w:r>
    </w:p>
    <w:p w14:paraId="4EC9C575" w14:textId="4E2EC0DC" w:rsidR="009A58BA" w:rsidRPr="00F92AF0" w:rsidRDefault="001500BA" w:rsidP="001500BA">
      <w:pPr>
        <w:ind w:firstLine="0"/>
        <w:jc w:val="center"/>
        <w:rPr>
          <w:b/>
          <w:bCs/>
          <w:sz w:val="28"/>
          <w:szCs w:val="32"/>
          <w:lang w:val="pt-BR"/>
        </w:rPr>
      </w:pPr>
      <w:bookmarkStart w:id="2" w:name="OLE_LINK1"/>
      <w:r w:rsidRPr="00F92AF0">
        <w:rPr>
          <w:lang w:val="pt-BR"/>
        </w:rPr>
        <w:t>Laura K. Schuck</w:t>
      </w:r>
      <w:r w:rsidRPr="00F92AF0">
        <w:rPr>
          <w:vertAlign w:val="superscript"/>
          <w:lang w:val="pt-BR"/>
        </w:rPr>
        <w:t>1</w:t>
      </w:r>
      <w:r w:rsidRPr="00F92AF0">
        <w:rPr>
          <w:lang w:val="pt-BR"/>
        </w:rPr>
        <w:t>*, Julia R. Ernetti</w:t>
      </w:r>
      <w:r w:rsidRPr="00F92AF0">
        <w:rPr>
          <w:vertAlign w:val="superscript"/>
          <w:lang w:val="pt-BR"/>
        </w:rPr>
        <w:t>2,3</w:t>
      </w:r>
      <w:r w:rsidRPr="00F92AF0">
        <w:rPr>
          <w:lang w:val="pt-BR"/>
        </w:rPr>
        <w:t>, Shannon M. Buttimer</w:t>
      </w:r>
      <w:r w:rsidRPr="00F92AF0">
        <w:rPr>
          <w:vertAlign w:val="superscript"/>
          <w:lang w:val="pt-BR"/>
        </w:rPr>
        <w:t>1</w:t>
      </w:r>
      <w:r w:rsidRPr="00F92AF0">
        <w:rPr>
          <w:lang w:val="pt-BR"/>
        </w:rPr>
        <w:t>, Ananda B. de Assis</w:t>
      </w:r>
      <w:r w:rsidRPr="00F92AF0">
        <w:rPr>
          <w:vertAlign w:val="superscript"/>
          <w:lang w:val="pt-BR"/>
        </w:rPr>
        <w:t>4,5</w:t>
      </w:r>
      <w:r w:rsidRPr="00F92AF0">
        <w:rPr>
          <w:lang w:val="pt-BR"/>
        </w:rPr>
        <w:t>, Renato A. Martins</w:t>
      </w:r>
      <w:r w:rsidRPr="00F92AF0">
        <w:rPr>
          <w:vertAlign w:val="superscript"/>
          <w:lang w:val="pt-BR"/>
        </w:rPr>
        <w:t>4</w:t>
      </w:r>
      <w:r w:rsidRPr="00F92AF0">
        <w:rPr>
          <w:lang w:val="pt-BR"/>
        </w:rPr>
        <w:t>, Mariana Pontes</w:t>
      </w:r>
      <w:r w:rsidRPr="00F92AF0">
        <w:rPr>
          <w:vertAlign w:val="superscript"/>
          <w:lang w:val="pt-BR"/>
        </w:rPr>
        <w:t>2,3</w:t>
      </w:r>
      <w:r w:rsidRPr="00F92AF0">
        <w:rPr>
          <w:lang w:val="pt-BR"/>
        </w:rPr>
        <w:t>, Ana C. Z. Silva</w:t>
      </w:r>
      <w:r w:rsidRPr="00F92AF0">
        <w:rPr>
          <w:vertAlign w:val="superscript"/>
          <w:lang w:val="pt-BR"/>
        </w:rPr>
        <w:t>6</w:t>
      </w:r>
      <w:r w:rsidRPr="00F92AF0">
        <w:rPr>
          <w:lang w:val="pt-BR"/>
        </w:rPr>
        <w:t>, Maria B. Tosta</w:t>
      </w:r>
      <w:r w:rsidRPr="00F92AF0">
        <w:rPr>
          <w:vertAlign w:val="superscript"/>
          <w:lang w:val="pt-BR"/>
        </w:rPr>
        <w:t>2</w:t>
      </w:r>
      <w:r w:rsidRPr="00F92AF0">
        <w:rPr>
          <w:lang w:val="pt-BR"/>
        </w:rPr>
        <w:t xml:space="preserve">, </w:t>
      </w:r>
      <w:proofErr w:type="spellStart"/>
      <w:r w:rsidRPr="00F92AF0">
        <w:rPr>
          <w:lang w:val="pt-BR"/>
        </w:rPr>
        <w:t>Luis</w:t>
      </w:r>
      <w:proofErr w:type="spellEnd"/>
      <w:r w:rsidRPr="00F92AF0">
        <w:rPr>
          <w:lang w:val="pt-BR"/>
        </w:rPr>
        <w:t xml:space="preserve"> Felipe Toledo</w:t>
      </w:r>
      <w:r w:rsidRPr="00F92AF0">
        <w:rPr>
          <w:vertAlign w:val="superscript"/>
          <w:lang w:val="pt-BR"/>
        </w:rPr>
        <w:t>2,3</w:t>
      </w:r>
      <w:r w:rsidRPr="00F92AF0">
        <w:rPr>
          <w:lang w:val="pt-BR"/>
        </w:rPr>
        <w:t>, C. Guilherme Becker</w:t>
      </w:r>
      <w:r w:rsidRPr="00F92AF0">
        <w:rPr>
          <w:vertAlign w:val="superscript"/>
          <w:lang w:val="pt-BR"/>
        </w:rPr>
        <w:t>1,7</w:t>
      </w:r>
      <w:bookmarkStart w:id="3" w:name="_Toc203482892"/>
      <w:bookmarkEnd w:id="2"/>
      <w:r w:rsidR="009A58BA" w:rsidRPr="00F92AF0">
        <w:rPr>
          <w:lang w:val="pt-BR"/>
        </w:rPr>
        <w:br/>
      </w:r>
      <w:bookmarkEnd w:id="1"/>
      <w:proofErr w:type="spellStart"/>
      <w:r w:rsidR="009A58BA" w:rsidRPr="00F92AF0">
        <w:rPr>
          <w:b/>
          <w:bCs/>
          <w:sz w:val="28"/>
          <w:szCs w:val="32"/>
          <w:lang w:val="pt-BR"/>
        </w:rPr>
        <w:t>Supplementary</w:t>
      </w:r>
      <w:proofErr w:type="spellEnd"/>
      <w:r w:rsidR="009A58BA" w:rsidRPr="00F92AF0">
        <w:rPr>
          <w:b/>
          <w:bCs/>
          <w:sz w:val="28"/>
          <w:szCs w:val="32"/>
          <w:lang w:val="pt-BR"/>
        </w:rPr>
        <w:t xml:space="preserve"> material</w:t>
      </w:r>
      <w:bookmarkEnd w:id="3"/>
    </w:p>
    <w:p w14:paraId="44B428BF" w14:textId="3C82025D" w:rsidR="0072536B" w:rsidRPr="009C11D6" w:rsidRDefault="009E3BCB" w:rsidP="009C11D6">
      <w:pPr>
        <w:pStyle w:val="Heading2"/>
        <w:jc w:val="left"/>
        <w:rPr>
          <w:sz w:val="24"/>
          <w:szCs w:val="32"/>
        </w:rPr>
      </w:pPr>
      <w:bookmarkStart w:id="4" w:name="_Toc203489688"/>
      <w:bookmarkStart w:id="5" w:name="_Toc180479571"/>
      <w:bookmarkStart w:id="6" w:name="_Toc237398137"/>
      <w:r>
        <w:rPr>
          <w:sz w:val="24"/>
          <w:szCs w:val="32"/>
        </w:rPr>
        <w:t>Supplementary m</w:t>
      </w:r>
      <w:r w:rsidRPr="00E64E51">
        <w:rPr>
          <w:sz w:val="24"/>
          <w:szCs w:val="32"/>
        </w:rPr>
        <w:t>ethods</w:t>
      </w:r>
      <w:bookmarkEnd w:id="4"/>
      <w:r>
        <w:rPr>
          <w:sz w:val="24"/>
          <w:szCs w:val="32"/>
        </w:rPr>
        <w:t>:</w:t>
      </w:r>
      <w:bookmarkStart w:id="7" w:name="OLE_LINK2"/>
    </w:p>
    <w:p w14:paraId="3E98903C" w14:textId="3D66CBA8" w:rsidR="0072536B" w:rsidRPr="0072536B" w:rsidRDefault="0072536B" w:rsidP="005916AD">
      <w:pPr>
        <w:ind w:firstLine="0"/>
        <w:rPr>
          <w:b/>
          <w:bCs/>
          <w:sz w:val="24"/>
          <w:szCs w:val="28"/>
        </w:rPr>
      </w:pPr>
      <w:r w:rsidRPr="0072536B">
        <w:rPr>
          <w:b/>
          <w:bCs/>
          <w:sz w:val="24"/>
          <w:szCs w:val="28"/>
        </w:rPr>
        <w:t>Frog transport, housing and acclimation</w:t>
      </w:r>
    </w:p>
    <w:p w14:paraId="0B0D4491" w14:textId="77777777" w:rsidR="0072536B" w:rsidRPr="00E64E51" w:rsidRDefault="0072536B" w:rsidP="0072536B">
      <w:pPr>
        <w:ind w:firstLine="0"/>
        <w:rPr>
          <w:sz w:val="24"/>
        </w:rPr>
      </w:pPr>
      <w:r w:rsidRPr="00E64E51">
        <w:rPr>
          <w:sz w:val="24"/>
        </w:rPr>
        <w:t>After swabbing, we housed individual frogs in sterile plastic bags (Whirl-Pak</w:t>
      </w:r>
      <w:r w:rsidRPr="00E64E51">
        <w:rPr>
          <w:sz w:val="24"/>
        </w:rPr>
        <w:sym w:font="Symbol" w:char="F0D2"/>
      </w:r>
      <w:r w:rsidRPr="00E64E51">
        <w:rPr>
          <w:sz w:val="24"/>
        </w:rPr>
        <w:t xml:space="preserve">) with local leaf-litter that was in direct contact with the frog at the time of capture (contact leaf-litter). We also added autoclaved </w:t>
      </w:r>
      <w:r w:rsidRPr="00E64E51">
        <w:rPr>
          <w:i/>
          <w:iCs/>
          <w:sz w:val="24"/>
        </w:rPr>
        <w:t xml:space="preserve">Sphagnum </w:t>
      </w:r>
      <w:r w:rsidRPr="00E64E51">
        <w:rPr>
          <w:sz w:val="24"/>
        </w:rPr>
        <w:t xml:space="preserve">moss moistened with sterile distilled water to each plastic bag. We placed the bags housing our focal animals in a cooler to maintain stable temperatures at the capture site until we transferred the frogs to a climate-controlled laboratory at </w:t>
      </w:r>
      <w:proofErr w:type="spellStart"/>
      <w:r w:rsidRPr="00E64E51">
        <w:rPr>
          <w:sz w:val="24"/>
        </w:rPr>
        <w:t>Universidade</w:t>
      </w:r>
      <w:proofErr w:type="spellEnd"/>
      <w:r w:rsidRPr="00E64E51">
        <w:rPr>
          <w:sz w:val="24"/>
        </w:rPr>
        <w:t xml:space="preserve"> Estadual de Campinas (</w:t>
      </w:r>
      <w:proofErr w:type="spellStart"/>
      <w:r w:rsidRPr="00E64E51">
        <w:rPr>
          <w:sz w:val="24"/>
        </w:rPr>
        <w:t>Unicamp</w:t>
      </w:r>
      <w:proofErr w:type="spellEnd"/>
      <w:r w:rsidRPr="00E64E51">
        <w:rPr>
          <w:sz w:val="24"/>
        </w:rPr>
        <w:t xml:space="preserve">, São Paulo, Brazil). </w:t>
      </w:r>
    </w:p>
    <w:p w14:paraId="170C20A8" w14:textId="77777777" w:rsidR="0072536B" w:rsidRPr="00E64E51" w:rsidRDefault="0072536B" w:rsidP="0072536B">
      <w:pPr>
        <w:rPr>
          <w:sz w:val="24"/>
        </w:rPr>
      </w:pPr>
      <w:r w:rsidRPr="00E64E51">
        <w:rPr>
          <w:sz w:val="24"/>
        </w:rPr>
        <w:t>In the lab, we housed frogs individually in terraria (40</w:t>
      </w:r>
      <w:r w:rsidRPr="00E64E51">
        <w:rPr>
          <w:sz w:val="24"/>
        </w:rPr>
        <w:sym w:font="Symbol" w:char="F0B4"/>
      </w:r>
      <w:r w:rsidRPr="00E64E51">
        <w:rPr>
          <w:sz w:val="24"/>
        </w:rPr>
        <w:t>30</w:t>
      </w:r>
      <w:r w:rsidRPr="00E64E51">
        <w:rPr>
          <w:sz w:val="24"/>
        </w:rPr>
        <w:sym w:font="Symbol" w:char="F0B4"/>
      </w:r>
      <w:r w:rsidRPr="00E64E51">
        <w:rPr>
          <w:sz w:val="24"/>
        </w:rPr>
        <w:t xml:space="preserve">13 cm; 11 L), with autoclaved </w:t>
      </w:r>
      <w:r w:rsidRPr="00E64E51">
        <w:rPr>
          <w:i/>
          <w:iCs/>
          <w:sz w:val="24"/>
        </w:rPr>
        <w:t>Sphagnum</w:t>
      </w:r>
      <w:r w:rsidRPr="00E64E51">
        <w:rPr>
          <w:sz w:val="24"/>
        </w:rPr>
        <w:t xml:space="preserve"> and contact leaf-litter moistened with sterile distilled water. The animal room in which frogs were kept had a 12/12 h light/dark cycle and a stable temperature of 20.5°C. We fed frogs every four days with crickets </w:t>
      </w:r>
      <w:proofErr w:type="gramStart"/>
      <w:r w:rsidRPr="00E64E51">
        <w:rPr>
          <w:i/>
          <w:iCs/>
          <w:sz w:val="24"/>
        </w:rPr>
        <w:t>ad</w:t>
      </w:r>
      <w:proofErr w:type="gramEnd"/>
      <w:r w:rsidRPr="00E64E51">
        <w:rPr>
          <w:i/>
          <w:iCs/>
          <w:sz w:val="24"/>
        </w:rPr>
        <w:t xml:space="preserve"> libitum</w:t>
      </w:r>
      <w:r w:rsidRPr="00E64E51">
        <w:rPr>
          <w:sz w:val="24"/>
        </w:rPr>
        <w:t>. We kept individual frogs in their terrariums without any intervention for three days to allow them to acclimate before the onset of the experimental manipulation.</w:t>
      </w:r>
    </w:p>
    <w:p w14:paraId="53E6721C" w14:textId="77777777" w:rsidR="0072536B" w:rsidRDefault="0072536B" w:rsidP="005916AD">
      <w:pPr>
        <w:ind w:firstLine="0"/>
        <w:rPr>
          <w:sz w:val="24"/>
          <w:szCs w:val="28"/>
        </w:rPr>
      </w:pPr>
    </w:p>
    <w:p w14:paraId="0E00AFAA" w14:textId="658CF069" w:rsidR="00C2243F" w:rsidRPr="009C11D6" w:rsidRDefault="00C2243F" w:rsidP="005916AD">
      <w:pPr>
        <w:ind w:firstLine="0"/>
        <w:rPr>
          <w:b/>
          <w:bCs/>
          <w:i/>
          <w:iCs/>
          <w:sz w:val="24"/>
          <w:szCs w:val="28"/>
        </w:rPr>
      </w:pPr>
      <w:r w:rsidRPr="009C11D6">
        <w:rPr>
          <w:b/>
          <w:bCs/>
          <w:i/>
          <w:iCs/>
          <w:sz w:val="24"/>
          <w:szCs w:val="28"/>
        </w:rPr>
        <w:lastRenderedPageBreak/>
        <w:t>Treatment details</w:t>
      </w:r>
    </w:p>
    <w:p w14:paraId="0E20487A" w14:textId="0120BF69" w:rsidR="00C2243F" w:rsidRDefault="00C2243F" w:rsidP="005916AD">
      <w:pPr>
        <w:ind w:firstLine="0"/>
        <w:rPr>
          <w:sz w:val="24"/>
        </w:rPr>
      </w:pPr>
      <w:r w:rsidRPr="00E64E51">
        <w:rPr>
          <w:sz w:val="24"/>
        </w:rPr>
        <w:t>For th</w:t>
      </w:r>
      <w:r>
        <w:rPr>
          <w:sz w:val="24"/>
        </w:rPr>
        <w:t xml:space="preserve">e antibiotic </w:t>
      </w:r>
      <w:r w:rsidRPr="00E64E51">
        <w:rPr>
          <w:sz w:val="24"/>
        </w:rPr>
        <w:t xml:space="preserve">treatment, we used a cocktail of </w:t>
      </w:r>
      <w:proofErr w:type="spellStart"/>
      <w:r w:rsidRPr="00E64E51">
        <w:rPr>
          <w:sz w:val="24"/>
        </w:rPr>
        <w:t>Enroflaxacin</w:t>
      </w:r>
      <w:proofErr w:type="spellEnd"/>
      <w:r w:rsidRPr="00E64E51">
        <w:rPr>
          <w:sz w:val="24"/>
        </w:rPr>
        <w:t xml:space="preserve"> (60 ug/mL), Cephalexin (24 ug/mL), Streptomycin (100 ug/mL), and Penicillin (100 UI/mL) solution. Our solution differs from the one used in Holden et al</w:t>
      </w:r>
      <w:r>
        <w:rPr>
          <w:sz w:val="24"/>
        </w:rPr>
        <w:t>.</w:t>
      </w:r>
      <w:r w:rsidRPr="00E64E51">
        <w:rPr>
          <w:sz w:val="24"/>
        </w:rPr>
        <w:t xml:space="preserve"> </w:t>
      </w:r>
      <w:r>
        <w:rPr>
          <w:sz w:val="24"/>
        </w:rPr>
        <w:fldChar w:fldCharType="begin"/>
      </w:r>
      <w:r w:rsidR="000554F4">
        <w:rPr>
          <w:sz w:val="24"/>
        </w:rPr>
        <w:instrText xml:space="preserve"> ADDIN ZOTERO_ITEM CSL_CITATION {"citationID":"GxhrfxDz","properties":{"formattedCitation":"\\super 1\\nosupersub{}","plainCitation":"1","noteIndex":0},"citationItems":[{"id":352,"uris":["http://zotero.org/users/12164085/items/DSPNQRX2"],"itemData":{"id":352,"type":"article-journal","abstract":"An important concern for conservation biologists is the continuing loss of global biodiversity. This is especially true for amphibians, which are disappearing at an alarming rate. The emerging fungal pathogen, Batrachochytrium dendrobatidis (Bd), causes the skin disease chytridiomycosis and is a major contributor to amphibian population declines. Recent studies suggest that symbiotic skin bacteria provide some protection against Bd. Possible mitigation strategies include skin microbiome manipulation and bioaugmentation with potentially beneficial bacteria. Such approaches may employ a method to reduce resident bacteria on the skin to allow for new colonization. Using the southern leopard frog, Rana (Lithobates) sphenocephala, we show here that the skin of this species harbors a rich array of culturable bacterial species that inhibit Bd growth in</w:instrText>
      </w:r>
      <w:r w:rsidR="000554F4">
        <w:rPr>
          <w:rFonts w:ascii="Segoe UI Symbol" w:hAnsi="Segoe UI Symbol" w:cs="Segoe UI Symbol"/>
          <w:sz w:val="24"/>
        </w:rPr>
        <w:instrText>␣</w:instrText>
      </w:r>
      <w:r w:rsidR="000554F4">
        <w:rPr>
          <w:sz w:val="24"/>
        </w:rPr>
        <w:instrText xml:space="preserve">vitro. Use of a potent antibiotic cocktail dramatically reduced culturable skin bacteria within 48h. Reduction of bacteria on post-metamorphic juvenile skin using this antibiotic cocktail resulted in an increased Bd skin burden within two weeks of Bd exposure and a higher Bd burden in those frogs that died. However, efforts to maintain a normal bacterial skin community using a semi-natural mesocosm-derived source of microbes failed to provide long term protection of these vulnerable frogs. Regardless of presence or absence of mesocosm-derived bacteria, Bd loads decreased over time in surviving frogs, suggesting the development of an adaptive immune defense. In this species, development of an antimicrobial peptide defense is delayed, and thus, the microbial community and adaptive immune defenses may provide protection at this critical period of development.","container-title":"Biological Conservation","DOI":"10.1016/j.biocon.2015.04.007","ISSN":"0006-3207","journalAbbreviation":"Biological Conservation","page":"91-102","source":"ScienceDirect","title":"Skin bacteria provide early protection for newly metamorphosed southern leopard frogs (&lt;i&gt;Rana sphenocephala&lt;/i&gt;) against the frog-killing fungus, &lt;i&gt;Batrachochytrium dendrobatidis&lt;/i&gt;","volume":"187","author":[{"family":"Holden","given":"Whitney M."},{"family":"Hanlon","given":"Shane M."},{"family":"Woodhams","given":"Douglas C."},{"family":"Chappell","given":"Timothy M."},{"family":"Wells","given":"Heather L."},{"family":"Glisson","given":"Samantha M."},{"family":"McKenzie","given":"Valerie J."},{"family":"Knight","given":"Rob"},{"family":"Parris","given":"Matthew J."},{"family":"Rollins-Smith","given":"Louise A."}],"issued":{"date-parts":[["2015",7,1]]}}}],"schema":"https://github.com/citation-style-language/schema/raw/master/csl-citation.json"} </w:instrText>
      </w:r>
      <w:r>
        <w:rPr>
          <w:sz w:val="24"/>
        </w:rPr>
        <w:fldChar w:fldCharType="separate"/>
      </w:r>
      <w:r w:rsidR="000554F4" w:rsidRPr="000554F4">
        <w:rPr>
          <w:sz w:val="24"/>
          <w:vertAlign w:val="superscript"/>
        </w:rPr>
        <w:t>1</w:t>
      </w:r>
      <w:r>
        <w:rPr>
          <w:sz w:val="24"/>
        </w:rPr>
        <w:fldChar w:fldCharType="end"/>
      </w:r>
      <w:r>
        <w:rPr>
          <w:sz w:val="24"/>
        </w:rPr>
        <w:t xml:space="preserve"> </w:t>
      </w:r>
      <w:r w:rsidRPr="00E64E51">
        <w:rPr>
          <w:sz w:val="24"/>
        </w:rPr>
        <w:t xml:space="preserve">by not using Trimethoprim and Sulfadiazine, due to the known impact of those substances on </w:t>
      </w:r>
      <w:r w:rsidRPr="00E64E51">
        <w:rPr>
          <w:i/>
          <w:iCs/>
          <w:sz w:val="24"/>
        </w:rPr>
        <w:t>Bd</w:t>
      </w:r>
      <w:r w:rsidRPr="00E64E51">
        <w:rPr>
          <w:sz w:val="24"/>
        </w:rPr>
        <w:t xml:space="preserve"> </w:t>
      </w:r>
      <w:r w:rsidRPr="00E64E51">
        <w:rPr>
          <w:i/>
          <w:iCs/>
          <w:sz w:val="24"/>
        </w:rPr>
        <w:t>in vitro</w:t>
      </w:r>
      <w:r w:rsidRPr="00E64E51">
        <w:rPr>
          <w:sz w:val="24"/>
        </w:rPr>
        <w:t xml:space="preserve"> </w:t>
      </w:r>
      <w:r w:rsidRPr="00E64E51">
        <w:rPr>
          <w:sz w:val="24"/>
        </w:rPr>
        <w:fldChar w:fldCharType="begin"/>
      </w:r>
      <w:r w:rsidR="000554F4">
        <w:rPr>
          <w:sz w:val="24"/>
        </w:rPr>
        <w:instrText xml:space="preserve"> ADDIN ZOTERO_ITEM CSL_CITATION {"citationID":"Il3Cg2NO","properties":{"formattedCitation":"\\super 2\\nosupersub{}","plainCitation":"2","noteIndex":0},"citationItems":[{"id":330,"uris":["http://zotero.org/users/12164085/items/KVWX3XGI"],"itemData":{"id":330,"type":"article-journal","abstract":"The establishment of safe and effective protocols to treat chytridiomycosis in amphibians is urgently required. In this study, the usefulness of antibacterial agents to clear chytridiomycosis from infected amphibians was evaluated.","container-title":"BMC Veterinary Research","DOI":"10.1186/1746-6148-8-175","ISSN":"1746-6148","issue":"1","journalAbbreviation":"BMC Vet Res","language":"en","page":"175","source":"Springer Link","title":"Antibacterial therapeutics for the treatment of chytrid infection in amphibians: Columbus’s egg?","title-short":"Antibacterial therapeutics for the treatment of chytrid infection in amphibians","volume":"8","author":[{"family":"Muijsers","given":"Mariska"},{"family":"Martel","given":"An"},{"family":"Van Rooij","given":"Pascale"},{"family":"Baert","given":"Kris"},{"family":"Vercauteren","given":"Griet"},{"family":"Ducatelle","given":"Richard"},{"family":"De Backer","given":"Patrick"},{"family":"Vercammen","given":"Francis"},{"family":"Haesebrouck","given":"Freddy"},{"family":"Pasmans","given":"Frank"}],"issued":{"date-parts":[["2012",9,25]]}}}],"schema":"https://github.com/citation-style-language/schema/raw/master/csl-citation.json"} </w:instrText>
      </w:r>
      <w:r w:rsidRPr="00E64E51">
        <w:rPr>
          <w:sz w:val="24"/>
        </w:rPr>
        <w:fldChar w:fldCharType="separate"/>
      </w:r>
      <w:r w:rsidR="000554F4" w:rsidRPr="000554F4">
        <w:rPr>
          <w:sz w:val="24"/>
          <w:vertAlign w:val="superscript"/>
        </w:rPr>
        <w:t>2</w:t>
      </w:r>
      <w:r w:rsidRPr="00E64E51">
        <w:rPr>
          <w:sz w:val="24"/>
        </w:rPr>
        <w:fldChar w:fldCharType="end"/>
      </w:r>
      <w:r w:rsidRPr="00E64E51">
        <w:rPr>
          <w:sz w:val="24"/>
        </w:rPr>
        <w:t>. We dissolved the antibiotics in sterile artificial pond water (</w:t>
      </w:r>
      <w:proofErr w:type="spellStart"/>
      <w:r w:rsidRPr="00E64E51">
        <w:rPr>
          <w:sz w:val="24"/>
        </w:rPr>
        <w:t>Prov</w:t>
      </w:r>
      <w:r>
        <w:rPr>
          <w:sz w:val="24"/>
        </w:rPr>
        <w:t>o</w:t>
      </w:r>
      <w:r w:rsidRPr="00E64E51">
        <w:rPr>
          <w:sz w:val="24"/>
        </w:rPr>
        <w:t>soli</w:t>
      </w:r>
      <w:proofErr w:type="spellEnd"/>
      <w:r w:rsidRPr="00E64E51">
        <w:rPr>
          <w:sz w:val="24"/>
        </w:rPr>
        <w:t xml:space="preserve"> </w:t>
      </w:r>
      <w:r w:rsidRPr="00E64E51">
        <w:rPr>
          <w:sz w:val="24"/>
        </w:rPr>
        <w:fldChar w:fldCharType="begin"/>
      </w:r>
      <w:r w:rsidR="000554F4">
        <w:rPr>
          <w:sz w:val="24"/>
        </w:rPr>
        <w:instrText xml:space="preserve"> ADDIN ZOTERO_ITEM CSL_CITATION {"citationID":"ZMPbhFUV","properties":{"formattedCitation":"\\super 3\\nosupersub{}","plainCitation":"3","noteIndex":0},"citationItems":[{"id":430,"uris":["http://zotero.org/users/12164085/items/RMP4X26C"],"itemData":{"id":430,"type":"article-journal","abstract":"Berkeley Electronic Press Selected Works","language":"en","source":"works.bepress.com","title":"General Biology and Cytology of Cyclopoids","URL":"https://works.bepress.com/grace_wyngaard/41/","author":[{"family":"Wyngaard","given":"Grace"},{"family":"Chinnappa","given":"C. C."}],"accessed":{"date-parts":[["2025",4,2]]},"issued":{"date-parts":[["1982"]]}}}],"schema":"https://github.com/citation-style-language/schema/raw/master/csl-citation.json"} </w:instrText>
      </w:r>
      <w:r w:rsidRPr="00E64E51">
        <w:rPr>
          <w:sz w:val="24"/>
        </w:rPr>
        <w:fldChar w:fldCharType="separate"/>
      </w:r>
      <w:r w:rsidR="000554F4" w:rsidRPr="000554F4">
        <w:rPr>
          <w:sz w:val="24"/>
          <w:vertAlign w:val="superscript"/>
        </w:rPr>
        <w:t>3</w:t>
      </w:r>
      <w:r w:rsidRPr="00E64E51">
        <w:rPr>
          <w:sz w:val="24"/>
        </w:rPr>
        <w:fldChar w:fldCharType="end"/>
      </w:r>
      <w:r w:rsidRPr="00E64E51">
        <w:rPr>
          <w:sz w:val="24"/>
        </w:rPr>
        <w:t>) to ensure no osmotic stress in frogs while in the bath.</w:t>
      </w:r>
      <w:r w:rsidR="0019315C">
        <w:rPr>
          <w:sz w:val="24"/>
        </w:rPr>
        <w:t xml:space="preserve"> </w:t>
      </w:r>
      <w:r w:rsidR="0019315C" w:rsidRPr="00E64E51">
        <w:rPr>
          <w:sz w:val="24"/>
        </w:rPr>
        <w:t xml:space="preserve">Following the treatment, we placed the frogs into new, clean terraria of the same dimensions </w:t>
      </w:r>
      <w:r w:rsidR="0019315C">
        <w:rPr>
          <w:sz w:val="24"/>
        </w:rPr>
        <w:t>containing</w:t>
      </w:r>
      <w:r w:rsidR="0019315C" w:rsidRPr="00E64E51">
        <w:rPr>
          <w:sz w:val="24"/>
        </w:rPr>
        <w:t xml:space="preserve"> only autoclaved </w:t>
      </w:r>
      <w:r w:rsidR="0019315C" w:rsidRPr="00E64E51">
        <w:rPr>
          <w:i/>
          <w:iCs/>
          <w:sz w:val="24"/>
        </w:rPr>
        <w:t>Sphagnum</w:t>
      </w:r>
      <w:r w:rsidR="0019315C" w:rsidRPr="00E64E51">
        <w:rPr>
          <w:sz w:val="24"/>
        </w:rPr>
        <w:t xml:space="preserve"> moistened with sterile distilled water, in the same room and feeding conditions described above.</w:t>
      </w:r>
    </w:p>
    <w:p w14:paraId="1B6C8862" w14:textId="7A775EFB" w:rsidR="00C2243F" w:rsidRPr="00E64E51" w:rsidRDefault="00C2243F" w:rsidP="00C2243F">
      <w:pPr>
        <w:rPr>
          <w:sz w:val="24"/>
        </w:rPr>
      </w:pPr>
      <w:r w:rsidRPr="00E64E51">
        <w:rPr>
          <w:sz w:val="24"/>
        </w:rPr>
        <w:t xml:space="preserve">We used a </w:t>
      </w:r>
      <w:r w:rsidRPr="00E64E51">
        <w:rPr>
          <w:i/>
          <w:iCs/>
          <w:sz w:val="24"/>
        </w:rPr>
        <w:t>Bd</w:t>
      </w:r>
      <w:r w:rsidRPr="00E64E51">
        <w:rPr>
          <w:sz w:val="24"/>
        </w:rPr>
        <w:t>-Asia-1-Brazil/</w:t>
      </w:r>
      <w:r w:rsidRPr="00E64E51">
        <w:rPr>
          <w:i/>
          <w:iCs/>
          <w:sz w:val="24"/>
        </w:rPr>
        <w:t>Bd</w:t>
      </w:r>
      <w:r w:rsidRPr="00E64E51">
        <w:rPr>
          <w:sz w:val="24"/>
        </w:rPr>
        <w:t xml:space="preserve">-GPL hybrid genotype isolated from a ranarium in São Paulo, Brazil (CLFT 278) for all </w:t>
      </w:r>
      <w:r w:rsidRPr="00E64E51">
        <w:rPr>
          <w:i/>
          <w:iCs/>
          <w:sz w:val="24"/>
        </w:rPr>
        <w:t>Bd</w:t>
      </w:r>
      <w:r w:rsidRPr="00E64E51">
        <w:rPr>
          <w:sz w:val="24"/>
        </w:rPr>
        <w:t xml:space="preserve"> inoculations. We flooded 80 seven-day old </w:t>
      </w:r>
      <w:r w:rsidRPr="00E64E51">
        <w:rPr>
          <w:i/>
          <w:iCs/>
          <w:sz w:val="24"/>
        </w:rPr>
        <w:t>Bd</w:t>
      </w:r>
      <w:r w:rsidRPr="00E64E51">
        <w:rPr>
          <w:sz w:val="24"/>
        </w:rPr>
        <w:t xml:space="preserve"> culture plates with 3 mL of artificial pond water for 40 minutes to stimulate zoospore release by the zoosporangia. We transferred the liquid containing free-swimming zoospores from plates to a sterile beaker. We followed the same plate flooding protocols using </w:t>
      </w:r>
      <w:r w:rsidRPr="00E64E51">
        <w:rPr>
          <w:i/>
          <w:iCs/>
          <w:sz w:val="24"/>
        </w:rPr>
        <w:t>Bd</w:t>
      </w:r>
      <w:r w:rsidRPr="00E64E51">
        <w:rPr>
          <w:sz w:val="24"/>
        </w:rPr>
        <w:t xml:space="preserve">-free, sterile tryptone 1% agar plates to obtain a </w:t>
      </w:r>
      <w:r w:rsidRPr="00E64E51">
        <w:rPr>
          <w:i/>
          <w:iCs/>
          <w:sz w:val="24"/>
        </w:rPr>
        <w:t>Bd</w:t>
      </w:r>
      <w:r w:rsidRPr="00E64E51">
        <w:rPr>
          <w:sz w:val="24"/>
        </w:rPr>
        <w:t xml:space="preserve">-free sham inoculum. For the </w:t>
      </w:r>
      <w:r w:rsidRPr="00E64E51">
        <w:rPr>
          <w:i/>
          <w:iCs/>
          <w:sz w:val="24"/>
        </w:rPr>
        <w:t>Bd</w:t>
      </w:r>
      <w:r w:rsidRPr="00E64E51">
        <w:rPr>
          <w:sz w:val="24"/>
        </w:rPr>
        <w:t xml:space="preserve"> exposure, we exposed individual frogs to 3</w:t>
      </w:r>
      <w:r>
        <w:rPr>
          <w:sz w:val="24"/>
        </w:rPr>
        <w:t xml:space="preserve"> </w:t>
      </w:r>
      <w:r w:rsidRPr="00E64E51">
        <w:rPr>
          <w:sz w:val="24"/>
        </w:rPr>
        <w:t xml:space="preserve">mL of either </w:t>
      </w:r>
      <w:r w:rsidRPr="00E64E51">
        <w:rPr>
          <w:i/>
          <w:iCs/>
          <w:sz w:val="24"/>
        </w:rPr>
        <w:t>Bd</w:t>
      </w:r>
      <w:r w:rsidRPr="00E64E51">
        <w:rPr>
          <w:sz w:val="24"/>
        </w:rPr>
        <w:t xml:space="preserve"> zoospore solution or </w:t>
      </w:r>
      <w:r w:rsidRPr="00E64E51">
        <w:rPr>
          <w:i/>
          <w:iCs/>
          <w:sz w:val="24"/>
        </w:rPr>
        <w:t>Bd</w:t>
      </w:r>
      <w:r w:rsidRPr="00E64E51">
        <w:rPr>
          <w:sz w:val="24"/>
        </w:rPr>
        <w:t xml:space="preserve">-free control solution. Each frog in the </w:t>
      </w:r>
      <w:r w:rsidRPr="00E64E51">
        <w:rPr>
          <w:i/>
          <w:iCs/>
          <w:sz w:val="24"/>
        </w:rPr>
        <w:t>Bd</w:t>
      </w:r>
      <w:r w:rsidRPr="00E64E51">
        <w:rPr>
          <w:sz w:val="24"/>
        </w:rPr>
        <w:t>+ treatment was exposed to</w:t>
      </w:r>
      <w:r>
        <w:rPr>
          <w:sz w:val="24"/>
        </w:rPr>
        <w:t xml:space="preserve"> </w:t>
      </w:r>
      <w:r w:rsidRPr="00E64E51">
        <w:rPr>
          <w:sz w:val="24"/>
        </w:rPr>
        <w:t>a concentration of approximately 4.2</w:t>
      </w:r>
      <w:r w:rsidRPr="00E64E51">
        <w:rPr>
          <w:sz w:val="24"/>
        </w:rPr>
        <w:sym w:font="Symbol" w:char="F0B4"/>
      </w:r>
      <w:r w:rsidRPr="00E64E51">
        <w:rPr>
          <w:sz w:val="24"/>
        </w:rPr>
        <w:t>10</w:t>
      </w:r>
      <w:r w:rsidRPr="00E64E51">
        <w:rPr>
          <w:sz w:val="24"/>
          <w:vertAlign w:val="superscript"/>
        </w:rPr>
        <w:t>6</w:t>
      </w:r>
      <w:r w:rsidRPr="00E64E51">
        <w:rPr>
          <w:sz w:val="24"/>
        </w:rPr>
        <w:t xml:space="preserve"> </w:t>
      </w:r>
      <w:r w:rsidRPr="00E64E51">
        <w:rPr>
          <w:i/>
          <w:iCs/>
          <w:sz w:val="24"/>
        </w:rPr>
        <w:t>Bd</w:t>
      </w:r>
      <w:r w:rsidRPr="00E64E51">
        <w:rPr>
          <w:sz w:val="24"/>
        </w:rPr>
        <w:t xml:space="preserve"> zoospores/mL, totaling 1</w:t>
      </w:r>
      <w:r w:rsidRPr="00E64E51">
        <w:rPr>
          <w:sz w:val="24"/>
        </w:rPr>
        <w:sym w:font="Symbol" w:char="F0B4"/>
      </w:r>
      <w:r w:rsidRPr="00E64E51">
        <w:rPr>
          <w:sz w:val="24"/>
        </w:rPr>
        <w:t>10</w:t>
      </w:r>
      <w:r w:rsidRPr="00E64E51">
        <w:rPr>
          <w:sz w:val="24"/>
          <w:vertAlign w:val="superscript"/>
        </w:rPr>
        <w:t>7</w:t>
      </w:r>
      <w:r w:rsidRPr="00E64E51">
        <w:rPr>
          <w:sz w:val="24"/>
        </w:rPr>
        <w:t xml:space="preserve"> zoospores in each bath. We kept each individual frog in contact with </w:t>
      </w:r>
      <w:r w:rsidRPr="00E64E51">
        <w:rPr>
          <w:i/>
          <w:iCs/>
          <w:sz w:val="24"/>
        </w:rPr>
        <w:t>Bd</w:t>
      </w:r>
      <w:r w:rsidRPr="00E64E51">
        <w:rPr>
          <w:sz w:val="24"/>
        </w:rPr>
        <w:t xml:space="preserve"> or control solutions in sterile plastic containers for 45 minutes and then returned them to their terraria.</w:t>
      </w:r>
      <w:r>
        <w:rPr>
          <w:sz w:val="24"/>
        </w:rPr>
        <w:t xml:space="preserve"> The solution was transferred to their terraria as well.</w:t>
      </w:r>
    </w:p>
    <w:p w14:paraId="7EC5EE88" w14:textId="2DB8C7C8" w:rsidR="00C2243F" w:rsidRPr="008F790D" w:rsidRDefault="00C2243F" w:rsidP="005916AD">
      <w:pPr>
        <w:ind w:firstLine="0"/>
        <w:rPr>
          <w:sz w:val="24"/>
          <w:szCs w:val="28"/>
        </w:rPr>
      </w:pPr>
    </w:p>
    <w:bookmarkEnd w:id="7"/>
    <w:p w14:paraId="62A18904" w14:textId="7D76A739" w:rsidR="009C11D6" w:rsidRDefault="009C11D6" w:rsidP="009C11D6">
      <w:pPr>
        <w:ind w:firstLine="0"/>
        <w:rPr>
          <w:sz w:val="24"/>
        </w:rPr>
      </w:pPr>
      <w:r>
        <w:rPr>
          <w:b/>
          <w:bCs/>
          <w:i/>
          <w:iCs/>
          <w:sz w:val="24"/>
        </w:rPr>
        <w:t>Lysozyme step on extraction</w:t>
      </w:r>
      <w:r w:rsidR="009E23AA">
        <w:rPr>
          <w:b/>
          <w:bCs/>
          <w:i/>
          <w:iCs/>
          <w:sz w:val="24"/>
        </w:rPr>
        <w:t xml:space="preserve"> </w:t>
      </w:r>
    </w:p>
    <w:p w14:paraId="0B405A0D" w14:textId="2DCBAEB1" w:rsidR="009E23AA" w:rsidRPr="00E64E51" w:rsidRDefault="009C11D6" w:rsidP="009E23AA">
      <w:pPr>
        <w:ind w:firstLine="0"/>
        <w:rPr>
          <w:sz w:val="24"/>
        </w:rPr>
      </w:pPr>
      <w:r w:rsidRPr="00E64E51">
        <w:rPr>
          <w:sz w:val="24"/>
        </w:rPr>
        <w:lastRenderedPageBreak/>
        <w:t>The lysozyme buffer was prepared by dissolving 3.15 g of Tris-HCl, 0.744 g of EDTA, and 12 mL of Triton X-100 in 1 L of distilled water, followed by autoclaving. We then added 3.6 mg of lysozyme powder to 150 µL of this buffer, filter-sterilized the mixture using a 0.22 µm syringe filter and added it to each sample. Samples were vortexed and incubated at 37ºC for 30 minutes.</w:t>
      </w:r>
    </w:p>
    <w:p w14:paraId="2534CEA1" w14:textId="77777777" w:rsidR="00B87786" w:rsidRDefault="00B87786" w:rsidP="009C11D6">
      <w:pPr>
        <w:ind w:firstLine="0"/>
        <w:rPr>
          <w:sz w:val="24"/>
        </w:rPr>
      </w:pPr>
    </w:p>
    <w:p w14:paraId="5F2E0C08" w14:textId="143DEED6" w:rsidR="00B87786" w:rsidRPr="00B87786" w:rsidRDefault="00B87786" w:rsidP="009C11D6">
      <w:pPr>
        <w:ind w:firstLine="0"/>
        <w:rPr>
          <w:b/>
          <w:bCs/>
          <w:i/>
          <w:iCs/>
          <w:sz w:val="24"/>
        </w:rPr>
      </w:pPr>
      <w:r w:rsidRPr="00B87786">
        <w:rPr>
          <w:b/>
          <w:bCs/>
          <w:i/>
          <w:iCs/>
          <w:sz w:val="24"/>
        </w:rPr>
        <w:t>Bioinformatics</w:t>
      </w:r>
    </w:p>
    <w:p w14:paraId="55FCBD0B" w14:textId="3731DE0B" w:rsidR="00B87786" w:rsidRDefault="00B87786" w:rsidP="009C11D6">
      <w:pPr>
        <w:ind w:firstLine="0"/>
        <w:rPr>
          <w:sz w:val="24"/>
        </w:rPr>
      </w:pPr>
      <w:r w:rsidRPr="00E64E51">
        <w:rPr>
          <w:sz w:val="24"/>
        </w:rPr>
        <w:t xml:space="preserve">Prior to analyzing sequence data, we used seqkit2 </w:t>
      </w:r>
      <w:r w:rsidRPr="00E64E51">
        <w:rPr>
          <w:sz w:val="24"/>
        </w:rPr>
        <w:fldChar w:fldCharType="begin"/>
      </w:r>
      <w:r w:rsidR="000554F4">
        <w:rPr>
          <w:sz w:val="24"/>
        </w:rPr>
        <w:instrText xml:space="preserve"> ADDIN ZOTERO_ITEM CSL_CITATION {"citationID":"A02YkVpM","properties":{"formattedCitation":"\\super 4\\nosupersub{}","plainCitation":"4","noteIndex":0},"citationItems":[{"id":332,"uris":["http://zotero.org/users/12164085/items/IIDYE26D"],"itemData":{"id":332,"type":"article-journal","abstract":"In the era of ubiquitous high-throughput sequencing studies, there is a growing need for analysis tools that are not just performant but also comprehensive and user-friendly enough to cater to both novice and advanced users. This article introduces SeqKit2, the next iteration of the widely used sequence analysis tool SeqKit, featuring expanded functionality, performance optimizations, and support for additional compression methods. Retaining a pragmatic subcommand architecture, SeqKit2 represents substantial enhancement through the inclusion of 19 additional subcommands, expanding its overall repertoire to a total of 38 in eight categories. The new subcommands add functionality such as amplicon processing and robust, error-tolerant parsing of sequence records. In addition, three subcommands designed for real-time analysis are added for periodic monitoring of properties of FASTQ and Binary Alignment/Map alignment records and real-time streaming from multiple sequence files. The performance of SeqKit2 is benchmarked against the old version of SeqKit, Bioawk, Seqtk, and SeqFu tools. SeqKit2 consistently outperforms its predecessor, albeit with marginally higher memory usage, while maintaining competitive runtimes against other tools. With its broad functionality, proven usability, and ongoing development driven by user feedback, we hope that bioinformaticians will find SeqKit2 useful as a “Swiss army knife” of sequence and alignment processing—equally adept at facilitating ad hoc analyses and seamlessly integrating into larger pipelines.","container-title":"iMeta","DOI":"10.1002/imt2.191","ISSN":"2770-596X","issue":"3","language":"en","license":"© 2024 The Authors. iMeta published by John Wiley &amp; Sons Australia, Ltd on behalf of iMeta Science.","note":"_eprint: https://onlinelibrary.wiley.com/doi/pdf/10.1002/imt2.191","page":"e191","source":"Wiley Online Library","title":"SeqKit2: A Swiss army knife for sequence and alignment processing","title-short":"SeqKit2","volume":"3","author":[{"family":"Shen","given":"Wei"},{"family":"Sipos","given":"Botond"},{"family":"Zhao","given":"Liuyang"}],"issued":{"date-parts":[["2024"]]}}}],"schema":"https://github.com/citation-style-language/schema/raw/master/csl-citation.json"} </w:instrText>
      </w:r>
      <w:r w:rsidRPr="00E64E51">
        <w:rPr>
          <w:sz w:val="24"/>
        </w:rPr>
        <w:fldChar w:fldCharType="separate"/>
      </w:r>
      <w:r w:rsidR="000554F4" w:rsidRPr="000554F4">
        <w:rPr>
          <w:sz w:val="24"/>
          <w:vertAlign w:val="superscript"/>
        </w:rPr>
        <w:t>4</w:t>
      </w:r>
      <w:r w:rsidRPr="00E64E51">
        <w:rPr>
          <w:sz w:val="24"/>
        </w:rPr>
        <w:fldChar w:fldCharType="end"/>
      </w:r>
      <w:r w:rsidRPr="00E64E51">
        <w:rPr>
          <w:sz w:val="24"/>
        </w:rPr>
        <w:t xml:space="preserve"> to filter out reads of QV lower than 30, and </w:t>
      </w:r>
      <w:proofErr w:type="spellStart"/>
      <w:r w:rsidR="00250C8A">
        <w:rPr>
          <w:sz w:val="24"/>
        </w:rPr>
        <w:t>C</w:t>
      </w:r>
      <w:r w:rsidRPr="00E64E51">
        <w:rPr>
          <w:sz w:val="24"/>
        </w:rPr>
        <w:t>utadapt</w:t>
      </w:r>
      <w:proofErr w:type="spellEnd"/>
      <w:r w:rsidR="00250C8A">
        <w:rPr>
          <w:sz w:val="24"/>
        </w:rPr>
        <w:t xml:space="preserve"> </w:t>
      </w:r>
      <w:r w:rsidR="00250C8A">
        <w:rPr>
          <w:sz w:val="24"/>
        </w:rPr>
        <w:fldChar w:fldCharType="begin"/>
      </w:r>
      <w:r w:rsidR="000554F4">
        <w:rPr>
          <w:sz w:val="24"/>
        </w:rPr>
        <w:instrText xml:space="preserve"> ADDIN ZOTERO_ITEM CSL_CITATION {"citationID":"2L7Xva8x","properties":{"formattedCitation":"\\super 5\\nosupersub{}","plainCitation":"5","noteIndex":0},"citationItems":[{"id":792,"uris":["http://zotero.org/users/12164085/items/XQPWXYTC"],"itemData":{"id":792,"type":"article-journal","container-title":"EMBnet.journal","DOI":"10.14806/ej.17.1.200","ISSN":"2226-6089","issue":"1","journalAbbreviation":"EMBnet j.","page":"10","source":"DOI.org (Crossref)","title":"Cutadapt removes adapter sequences from high-throughput sequencing reads","volume":"17","author":[{"family":"Martin","given":"Marcel"}],"issued":{"date-parts":[["2011",5,2]]}}}],"schema":"https://github.com/citation-style-language/schema/raw/master/csl-citation.json"} </w:instrText>
      </w:r>
      <w:r w:rsidR="00250C8A">
        <w:rPr>
          <w:sz w:val="24"/>
        </w:rPr>
        <w:fldChar w:fldCharType="separate"/>
      </w:r>
      <w:r w:rsidR="000554F4" w:rsidRPr="000554F4">
        <w:rPr>
          <w:sz w:val="24"/>
          <w:vertAlign w:val="superscript"/>
        </w:rPr>
        <w:t>5</w:t>
      </w:r>
      <w:r w:rsidR="00250C8A">
        <w:rPr>
          <w:sz w:val="24"/>
        </w:rPr>
        <w:fldChar w:fldCharType="end"/>
      </w:r>
      <w:r w:rsidRPr="00E64E51">
        <w:rPr>
          <w:sz w:val="24"/>
        </w:rPr>
        <w:t xml:space="preserve"> to trim away the full length F27-R1492 16S primers of </w:t>
      </w:r>
      <w:r>
        <w:rPr>
          <w:sz w:val="24"/>
        </w:rPr>
        <w:t>the reads</w:t>
      </w:r>
      <w:r w:rsidRPr="00E64E51">
        <w:rPr>
          <w:sz w:val="24"/>
        </w:rPr>
        <w:t>.</w:t>
      </w:r>
      <w:r>
        <w:rPr>
          <w:sz w:val="24"/>
        </w:rPr>
        <w:t xml:space="preserve"> </w:t>
      </w:r>
      <w:r w:rsidRPr="00E64E51">
        <w:rPr>
          <w:sz w:val="24"/>
        </w:rPr>
        <w:t>We then imported the filtered reads to QIIME2</w:t>
      </w:r>
      <w:r>
        <w:rPr>
          <w:sz w:val="24"/>
        </w:rPr>
        <w:t xml:space="preserve"> </w:t>
      </w:r>
      <w:r w:rsidRPr="00E64E51">
        <w:rPr>
          <w:sz w:val="24"/>
        </w:rPr>
        <w:fldChar w:fldCharType="begin"/>
      </w:r>
      <w:r w:rsidR="000554F4">
        <w:rPr>
          <w:sz w:val="24"/>
        </w:rPr>
        <w:instrText xml:space="preserve"> ADDIN ZOTERO_ITEM CSL_CITATION {"citationID":"rpAEhJSu","properties":{"formattedCitation":"\\super 6\\nosupersub{}","plainCitation":"6","noteIndex":0},"citationItems":[{"id":407,"uris":["http://zotero.org/users/12164085/items/6VLLGP2P"],"itemData":{"id":407,"type":"article-journal","container-title":"Nature Biotechnology","DOI":"10.1038/s41587-019-0209-9","ISSN":"1546-1696","issue":"8","journalAbbreviation":"Nat Biotechnol","language":"en","license":"2019 The Author(s), under exclusive licence to Springer Nature America, Inc.","page":"852-857","publisher":"Nature Publishing Group","source":"www.nature.com","title":"Reproducible, interactive, scalable and extensible microbiome data science using QIIME 2","volume":"37","author":[{"family":"Bolyen","given":"Evan"},{"family":"Rideout","given":"Jai Ram"},{"family":"Dillon","given":"Matthew R."},{"family":"Bokulich","given":"Nicholas A."},{"family":"Abnet","given":"Christian C."},{"family":"Al-Ghalith","given":"Gabriel A."},{"family":"Alexander","given":"Harriet"},{"family":"Alm","given":"Eric J."},{"family":"Arumugam","given":"Manimozhiyan"},{"family":"Asnicar","given":"Francesco"},{"family":"Bai","given":"Yang"},{"family":"Bisanz","given":"Jordan E."},{"family":"Bittinger","given":"Kyle"},{"family":"Brejnrod","given":"Asker"},{"family":"Brislawn","given":"Colin J."},{"family":"Brown","given":"C. Titus"},{"family":"Callahan","given":"Benjamin J."},{"family":"Caraballo-Rodríguez","given":"Andrés Mauricio"},{"family":"Chase","given":"John"},{"family":"Cope","given":"Emily K."},{"family":"Da Silva","given":"Ricardo"},{"family":"Diener","given":"Christian"},{"family":"Dorrestein","given":"Pieter C."},{"family":"Douglas","given":"Gavin M."},{"family":"Durall","given":"Daniel M."},{"family":"Duvallet","given":"Claire"},{"family":"Edwardson","given":"Christian F."},{"family":"Ernst","given":"Madeleine"},{"family":"Estaki","given":"Mehrbod"},{"family":"Fouquier","given":"Jennifer"},{"family":"Gauglitz","given":"Julia M."},{"family":"Gibbons","given":"Sean M."},{"family":"Gibson","given":"Deanna L."},{"family":"Gonzalez","given":"Antonio"},{"family":"Gorlick","given":"Kestrel"},{"family":"Guo","given":"Jiarong"},{"family":"Hillmann","given":"Benjamin"},{"family":"Holmes","given":"Susan"},{"family":"Holste","given":"Hannes"},{"family":"Huttenhower","given":"Curtis"},{"family":"Huttley","given":"Gavin A."},{"family":"Janssen","given":"Stefan"},{"family":"Jarmusch","given":"Alan K."},{"family":"Jiang","given":"Lingjing"},{"family":"Kaehler","given":"Benjamin D."},{"family":"Kang","given":"Kyo Bin"},{"family":"Keefe","given":"Christopher R."},{"family":"Keim","given":"Paul"},{"family":"Kelley","given":"Scott T."},{"family":"Knights","given":"Dan"},{"family":"Koester","given":"Irina"},{"family":"Kosciolek","given":"Tomasz"},{"family":"Kreps","given":"Jorden"},{"family":"Langille","given":"Morgan G. I."},{"family":"Lee","given":"Joslynn"},{"family":"Ley","given":"Ruth"},{"family":"Liu","given":"Yong-Xin"},{"family":"Loftfield","given":"Erikka"},{"family":"Lozupone","given":"Catherine"},{"family":"Maher","given":"Massoud"},{"family":"Marotz","given":"Clarisse"},{"family":"Martin","given":"Bryan D."},{"family":"McDonald","given":"Daniel"},{"family":"McIver","given":"Lauren J."},{"family":"Melnik","given":"Alexey V."},{"family":"Metcalf","given":"Jessica L."},{"family":"Morgan","given":"Sydney C."},{"family":"Morton","given":"Jamie T."},{"family":"Naimey","given":"Ahmad Turan"},{"family":"Navas-Molina","given":"Jose A."},{"family":"Nothias","given":"Louis Felix"},{"family":"Orchanian","given":"Stephanie B."},{"family":"Pearson","given":"Talima"},{"family":"Peoples","given":"Samuel L."},{"family":"Petras","given":"Daniel"},{"family":"Preuss","given":"Mary Lai"},{"family":"Pruesse","given":"Elmar"},{"family":"Rasmussen","given":"Lasse Buur"},{"family":"Rivers","given":"Adam"},{"family":"Robeson","given":"Michael S."},{"family":"Rosenthal","given":"Patrick"},{"family":"Segata","given":"Nicola"},{"family":"Shaffer","given":"Michael"},{"family":"Shiffer","given":"Arron"},{"family":"Sinha","given":"Rashmi"},{"family":"Song","given":"Se Jin"},{"family":"Spear","given":"John R."},{"family":"Swafford","given":"Austin D."},{"family":"Thompson","given":"Luke R."},{"family":"Torres","given":"Pedro J."},{"family":"Trinh","given":"Pauline"},{"family":"Tripathi","given":"Anupriya"},{"family":"Turnbaugh","given":"Peter J."},{"family":"Ul-Hasan","given":"Sabah"},{"family":"Hooft","given":"Justin J. J.","non-dropping-particle":"van der"},{"family":"Vargas","given":"Fernando"},{"family":"Vázquez-Baeza","given":"Yoshiki"},{"family":"Vogtmann","given":"Emily"},{"family":"Hippel","given":"Max","non-dropping-particle":"von"},{"family":"Walters","given":"William"},{"family":"Wan","given":"Yunhu"},{"family":"Wang","given":"Mingxun"},{"family":"Warren","given":"Jonathan"},{"family":"Weber","given":"Kyle C."},{"family":"Williamson","given":"Charles H. D."},{"family":"Willis","given":"Amy D."},{"family":"Xu","given":"Zhenjiang Zech"},{"family":"Zaneveld","given":"Jesse R."},{"family":"Zhang","given":"Yilong"},{"family":"Zhu","given":"Qiyun"},{"family":"Knight","given":"Rob"},{"family":"Caporaso","given":"J. Gregory"}],"issued":{"date-parts":[["2019",8]]}}}],"schema":"https://github.com/citation-style-language/schema/raw/master/csl-citation.json"} </w:instrText>
      </w:r>
      <w:r w:rsidRPr="00E64E51">
        <w:rPr>
          <w:sz w:val="24"/>
        </w:rPr>
        <w:fldChar w:fldCharType="separate"/>
      </w:r>
      <w:r w:rsidR="000554F4" w:rsidRPr="000554F4">
        <w:rPr>
          <w:sz w:val="24"/>
          <w:vertAlign w:val="superscript"/>
        </w:rPr>
        <w:t>6</w:t>
      </w:r>
      <w:r w:rsidRPr="00E64E51">
        <w:rPr>
          <w:sz w:val="24"/>
        </w:rPr>
        <w:fldChar w:fldCharType="end"/>
      </w:r>
      <w:r w:rsidRPr="00E64E51">
        <w:rPr>
          <w:sz w:val="24"/>
        </w:rPr>
        <w:t xml:space="preserve"> and clustered sequences into ASVs using DADA2 </w:t>
      </w:r>
      <w:r w:rsidRPr="00E64E51">
        <w:rPr>
          <w:sz w:val="24"/>
        </w:rPr>
        <w:fldChar w:fldCharType="begin"/>
      </w:r>
      <w:r w:rsidR="000554F4">
        <w:rPr>
          <w:sz w:val="24"/>
        </w:rPr>
        <w:instrText xml:space="preserve"> ADDIN ZOTERO_ITEM CSL_CITATION {"citationID":"oS4y7v3x","properties":{"formattedCitation":"\\super 7\\nosupersub{}","plainCitation":"7","noteIndex":0},"citationItems":[{"id":404,"uris":["http://zotero.org/users/12164085/items/TV2FBYR3"],"itemData":{"id":404,"type":"article-journal","abstract":"DADA2 is an open-source software package that denoises and removes sequencing errors from Illumina amplicon sequence data to distinguish microbial sample sequences differing by as little as a single nucleotide.","container-title":"Nature Methods","DOI":"10.1038/nmeth.3869","ISSN":"1548-7105","issue":"7","journalAbbreviation":"Nat Methods","language":"en","license":"2016 Springer Nature America, Inc.","page":"581-583","publisher":"Nature Publishing Group","source":"www.nature.com","title":"DADA2: High-resolution sample inference from Illumina amplicon data","title-short":"DADA2","volume":"13","author":[{"family":"Callahan","given":"Benjamin J."},{"family":"McMurdie","given":"Paul J."},{"family":"Rosen","given":"Michael J."},{"family":"Han","given":"Andrew W."},{"family":"Johnson","given":"Amy Jo A."},{"family":"Holmes","given":"Susan P."}],"issued":{"date-parts":[["2016",7]]}}}],"schema":"https://github.com/citation-style-language/schema/raw/master/csl-citation.json"} </w:instrText>
      </w:r>
      <w:r w:rsidRPr="00E64E51">
        <w:rPr>
          <w:sz w:val="24"/>
        </w:rPr>
        <w:fldChar w:fldCharType="separate"/>
      </w:r>
      <w:r w:rsidR="000554F4" w:rsidRPr="000554F4">
        <w:rPr>
          <w:sz w:val="24"/>
          <w:vertAlign w:val="superscript"/>
        </w:rPr>
        <w:t>7</w:t>
      </w:r>
      <w:r w:rsidRPr="00E64E51">
        <w:rPr>
          <w:sz w:val="24"/>
        </w:rPr>
        <w:fldChar w:fldCharType="end"/>
      </w:r>
      <w:r w:rsidRPr="00E64E51">
        <w:rPr>
          <w:sz w:val="24"/>
        </w:rPr>
        <w:t xml:space="preserve">. We used QIIME2 to generate amplicon sequence variant (ASV) tables and </w:t>
      </w:r>
      <w:r>
        <w:rPr>
          <w:sz w:val="24"/>
        </w:rPr>
        <w:t>calculated</w:t>
      </w:r>
      <w:r w:rsidRPr="00E64E51">
        <w:rPr>
          <w:sz w:val="24"/>
        </w:rPr>
        <w:t xml:space="preserve"> metrics of alpha and beta diversity for bacteriomes. We used the Greengenes2 classifier to assign taxonomy to ASVs at 99% sequence similarity. We filtered out chloroplast and mitochondrial sequences then rarefied the ASV table to 5620 reads based on the leveling of rarefaction curves (Fig</w:t>
      </w:r>
      <w:r>
        <w:rPr>
          <w:sz w:val="24"/>
        </w:rPr>
        <w:t>.</w:t>
      </w:r>
      <w:r w:rsidRPr="00E64E51">
        <w:rPr>
          <w:sz w:val="24"/>
        </w:rPr>
        <w:t xml:space="preserve"> S2)</w:t>
      </w:r>
      <w:r>
        <w:rPr>
          <w:sz w:val="24"/>
        </w:rPr>
        <w:t>, rarefaction cutoff a total of 30 samples of the 343 sequenced samples</w:t>
      </w:r>
      <w:r w:rsidRPr="00E64E51">
        <w:rPr>
          <w:sz w:val="24"/>
        </w:rPr>
        <w:t>.</w:t>
      </w:r>
    </w:p>
    <w:p w14:paraId="5CFFCDA0" w14:textId="77777777" w:rsidR="009C11D6" w:rsidRDefault="009C11D6" w:rsidP="009C11D6">
      <w:pPr>
        <w:ind w:firstLine="0"/>
        <w:rPr>
          <w:sz w:val="24"/>
        </w:rPr>
      </w:pPr>
    </w:p>
    <w:p w14:paraId="5C805C53" w14:textId="77777777" w:rsidR="009C11D6" w:rsidRDefault="009C11D6" w:rsidP="009C11D6">
      <w:pPr>
        <w:ind w:firstLine="0"/>
        <w:rPr>
          <w:b/>
          <w:bCs/>
          <w:i/>
          <w:iCs/>
          <w:sz w:val="24"/>
        </w:rPr>
      </w:pPr>
      <w:r>
        <w:rPr>
          <w:b/>
          <w:bCs/>
          <w:i/>
          <w:iCs/>
          <w:sz w:val="24"/>
        </w:rPr>
        <w:t>Bacterial isolate</w:t>
      </w:r>
      <w:r w:rsidRPr="00A60D00">
        <w:rPr>
          <w:b/>
          <w:bCs/>
          <w:i/>
          <w:iCs/>
          <w:sz w:val="24"/>
        </w:rPr>
        <w:t xml:space="preserve"> culturing</w:t>
      </w:r>
      <w:r>
        <w:rPr>
          <w:b/>
          <w:bCs/>
          <w:i/>
          <w:iCs/>
          <w:sz w:val="24"/>
        </w:rPr>
        <w:t xml:space="preserve"> and sequencing</w:t>
      </w:r>
    </w:p>
    <w:p w14:paraId="4362B6E4" w14:textId="31AA4B7C" w:rsidR="009C11D6" w:rsidRDefault="009C11D6" w:rsidP="009C11D6">
      <w:pPr>
        <w:ind w:firstLine="0"/>
        <w:rPr>
          <w:sz w:val="24"/>
        </w:rPr>
      </w:pPr>
      <w:r w:rsidRPr="00E64E51">
        <w:rPr>
          <w:sz w:val="24"/>
        </w:rPr>
        <w:t>We thawed glycerol preserved swabs at room temperature (21</w:t>
      </w:r>
      <w:r w:rsidRPr="00E64E51">
        <w:rPr>
          <w:sz w:val="24"/>
        </w:rPr>
        <w:sym w:font="Symbol" w:char="F0B0"/>
      </w:r>
      <w:r w:rsidRPr="00E64E51">
        <w:rPr>
          <w:sz w:val="24"/>
        </w:rPr>
        <w:t xml:space="preserve">C) until no ice was observable in tubes. After thawing and homogenizing with a pipette, we inoculated 20 </w:t>
      </w:r>
      <w:proofErr w:type="spellStart"/>
      <w:r w:rsidRPr="00E64E51">
        <w:rPr>
          <w:sz w:val="24"/>
        </w:rPr>
        <w:t>uL</w:t>
      </w:r>
      <w:proofErr w:type="spellEnd"/>
      <w:r w:rsidRPr="00E64E51">
        <w:rPr>
          <w:sz w:val="24"/>
        </w:rPr>
        <w:t xml:space="preserve"> of the solution into each of two Petri dishes: one containing R2A agar and the second containing 1% tryptone (T1%) agar, both with 100 mg/L of diluted Nystatin to prevent fungal growth. The plates were then incubated at 21</w:t>
      </w:r>
      <w:r w:rsidRPr="00E64E51">
        <w:rPr>
          <w:sz w:val="24"/>
        </w:rPr>
        <w:sym w:font="Symbol" w:char="F0B0"/>
      </w:r>
      <w:r w:rsidRPr="00E64E51">
        <w:rPr>
          <w:sz w:val="24"/>
        </w:rPr>
        <w:t xml:space="preserve">C and 60% humidity from two to </w:t>
      </w:r>
      <w:r w:rsidRPr="00E64E51">
        <w:rPr>
          <w:sz w:val="24"/>
        </w:rPr>
        <w:lastRenderedPageBreak/>
        <w:t>seven days, until microbial growth was observed. After growth, we identified colonies with unique morphotypes between the sample duplicates with the aid of a dissecting microscope.</w:t>
      </w:r>
      <w:r>
        <w:rPr>
          <w:sz w:val="24"/>
        </w:rPr>
        <w:t xml:space="preserve"> W</w:t>
      </w:r>
      <w:r w:rsidRPr="00E64E51">
        <w:rPr>
          <w:sz w:val="24"/>
        </w:rPr>
        <w:t xml:space="preserve">e picked one colony of each morphotype and streaked them multiple times on non-overlapping sections of T1% agar plate to thin out the number of bacterial cells until colonies were separate and likely </w:t>
      </w:r>
      <w:proofErr w:type="gramStart"/>
      <w:r w:rsidRPr="00E64E51">
        <w:rPr>
          <w:sz w:val="24"/>
        </w:rPr>
        <w:t>growing</w:t>
      </w:r>
      <w:proofErr w:type="gramEnd"/>
      <w:r w:rsidRPr="00E64E51">
        <w:rPr>
          <w:sz w:val="24"/>
        </w:rPr>
        <w:t xml:space="preserve"> from one unique cell. The new plates </w:t>
      </w:r>
      <w:proofErr w:type="gramStart"/>
      <w:r w:rsidRPr="00E64E51">
        <w:rPr>
          <w:sz w:val="24"/>
        </w:rPr>
        <w:t>grew for</w:t>
      </w:r>
      <w:proofErr w:type="gramEnd"/>
      <w:r w:rsidRPr="00E64E51">
        <w:rPr>
          <w:sz w:val="24"/>
        </w:rPr>
        <w:t xml:space="preserve"> 24 to 48 hours, or until growth was observed. The streaking was repeated multiple times as needed until no other microorganisms were observed growing in the plates and colonies were growing isolated from one another.</w:t>
      </w:r>
      <w:r w:rsidR="00574809">
        <w:rPr>
          <w:sz w:val="24"/>
        </w:rPr>
        <w:t xml:space="preserve"> </w:t>
      </w:r>
      <w:r w:rsidR="00574809" w:rsidRPr="00E64E51">
        <w:rPr>
          <w:sz w:val="24"/>
        </w:rPr>
        <w:t xml:space="preserve">We isolated </w:t>
      </w:r>
      <w:r w:rsidR="00574809">
        <w:rPr>
          <w:sz w:val="24"/>
        </w:rPr>
        <w:t>bacterial from the glycerol swabs</w:t>
      </w:r>
      <w:r w:rsidR="00574809" w:rsidRPr="00E64E51">
        <w:rPr>
          <w:sz w:val="24"/>
        </w:rPr>
        <w:t xml:space="preserve"> to axenic culture using standard microbiological techniques </w:t>
      </w:r>
      <w:r w:rsidR="00574809" w:rsidRPr="00E64E51">
        <w:rPr>
          <w:sz w:val="24"/>
        </w:rPr>
        <w:fldChar w:fldCharType="begin"/>
      </w:r>
      <w:r w:rsidR="000554F4">
        <w:rPr>
          <w:sz w:val="24"/>
        </w:rPr>
        <w:instrText xml:space="preserve"> ADDIN ZOTERO_ITEM CSL_CITATION {"citationID":"Bs4vTkdH","properties":{"formattedCitation":"\\super 8\\nosupersub{}","plainCitation":"8","noteIndex":0},"citationItems":[{"id":403,"uris":["http://zotero.org/users/12164085/items/AQUAXLEG"],"itemData":{"id":403,"type":"book","call-number":"29784","language":"eng","number-of-pages":"642","publisher":"McGraw Hill Book Company Inc.","source":"Internet Archive","title":"Fundamental Principles Of Bacteriology","URL":"http://archive.org/details/fundamentalprinc029784mbp","author":[{"family":"Salle","given":"A. J."}],"contributor":[{"literal":"Osmania University"},{"literal":"Digital Library Of India"}],"accessed":{"date-parts":[["2025",4,25]]},"issued":{"date-parts":[["1943"]]}}}],"schema":"https://github.com/citation-style-language/schema/raw/master/csl-citation.json"} </w:instrText>
      </w:r>
      <w:r w:rsidR="00574809" w:rsidRPr="00E64E51">
        <w:rPr>
          <w:sz w:val="24"/>
        </w:rPr>
        <w:fldChar w:fldCharType="separate"/>
      </w:r>
      <w:r w:rsidR="000554F4" w:rsidRPr="000554F4">
        <w:rPr>
          <w:sz w:val="24"/>
          <w:vertAlign w:val="superscript"/>
        </w:rPr>
        <w:t>8</w:t>
      </w:r>
      <w:r w:rsidR="00574809" w:rsidRPr="00E64E51">
        <w:rPr>
          <w:sz w:val="24"/>
        </w:rPr>
        <w:fldChar w:fldCharType="end"/>
      </w:r>
      <w:r w:rsidR="00574809">
        <w:rPr>
          <w:sz w:val="24"/>
        </w:rPr>
        <w:t xml:space="preserve"> (see Supplementary Methods)</w:t>
      </w:r>
      <w:r w:rsidR="00574809" w:rsidRPr="00E64E51">
        <w:rPr>
          <w:sz w:val="24"/>
        </w:rPr>
        <w:t xml:space="preserve">. We then transferred </w:t>
      </w:r>
      <w:r w:rsidR="00574809">
        <w:rPr>
          <w:sz w:val="24"/>
        </w:rPr>
        <w:t xml:space="preserve">pure </w:t>
      </w:r>
      <w:r w:rsidR="00574809" w:rsidRPr="00E64E51">
        <w:rPr>
          <w:sz w:val="24"/>
        </w:rPr>
        <w:t>i</w:t>
      </w:r>
      <w:r w:rsidR="00574809">
        <w:rPr>
          <w:sz w:val="24"/>
        </w:rPr>
        <w:t>solates</w:t>
      </w:r>
      <w:r w:rsidR="00574809" w:rsidRPr="00E64E51">
        <w:rPr>
          <w:sz w:val="24"/>
        </w:rPr>
        <w:t xml:space="preserve"> T1% broth where at 22°C and 60% humidity until growth </w:t>
      </w:r>
      <w:r w:rsidR="00574809">
        <w:rPr>
          <w:sz w:val="24"/>
        </w:rPr>
        <w:t xml:space="preserve">of visible colonies </w:t>
      </w:r>
      <w:r w:rsidR="00574809" w:rsidRPr="00E64E51">
        <w:rPr>
          <w:sz w:val="24"/>
        </w:rPr>
        <w:t>was observed. Once grown, the pure isolates were centrifuged to form cell pellets. The supernatant media containing the isolate metabolites (extract) was carefully harvested and cells were removed by filtering the supernatant through a 0.22</w:t>
      </w:r>
      <w:r w:rsidR="00574809">
        <w:rPr>
          <w:sz w:val="24"/>
        </w:rPr>
        <w:t xml:space="preserve"> </w:t>
      </w:r>
      <w:proofErr w:type="spellStart"/>
      <w:r w:rsidR="00574809" w:rsidRPr="00E64E51">
        <w:rPr>
          <w:sz w:val="24"/>
        </w:rPr>
        <w:t>uM</w:t>
      </w:r>
      <w:proofErr w:type="spellEnd"/>
      <w:r w:rsidR="00574809" w:rsidRPr="00E64E51">
        <w:rPr>
          <w:sz w:val="24"/>
        </w:rPr>
        <w:t xml:space="preserve"> membrane filter</w:t>
      </w:r>
      <w:r w:rsidR="00574809">
        <w:rPr>
          <w:sz w:val="24"/>
        </w:rPr>
        <w:t>.</w:t>
      </w:r>
      <w:r w:rsidR="00574809" w:rsidRPr="00E64E51">
        <w:rPr>
          <w:sz w:val="24"/>
        </w:rPr>
        <w:t xml:space="preserve"> </w:t>
      </w:r>
      <w:r w:rsidR="00574809">
        <w:rPr>
          <w:sz w:val="24"/>
        </w:rPr>
        <w:t>Using those extracts, w</w:t>
      </w:r>
      <w:r w:rsidR="00574809" w:rsidRPr="00E64E51">
        <w:rPr>
          <w:sz w:val="24"/>
        </w:rPr>
        <w:t>e conducted challenge assays, adapting the standardized method from Bell et al</w:t>
      </w:r>
      <w:r w:rsidR="00574809">
        <w:rPr>
          <w:sz w:val="24"/>
        </w:rPr>
        <w:t>.</w:t>
      </w:r>
      <w:r w:rsidR="00574809">
        <w:rPr>
          <w:sz w:val="24"/>
        </w:rPr>
        <w:fldChar w:fldCharType="begin"/>
      </w:r>
      <w:r w:rsidR="000554F4">
        <w:rPr>
          <w:sz w:val="24"/>
        </w:rPr>
        <w:instrText xml:space="preserve"> ADDIN ZOTERO_ITEM CSL_CITATION {"citationID":"7X7dCqqM","properties":{"formattedCitation":"\\super 9\\nosupersub{}","plainCitation":"9","noteIndex":0},"citationItems":[{"id":208,"uris":["http://zotero.org/users/12164085/items/ZGWT5K58"],"itemData":{"id":208,"type":"article-journal","abstract":"Certain bacteria present on frog skin can prevent infection by the pathogenic fungus Batrachochytrium dendrobatidis (Bd), conferring disease resistance. Previous studies have used agar-based in vitro challenge assays to screen bacteria for Bd-inhibitory activity and to identify candidates for bacterial supplementation trials. However, agar-based assays can be difficult to set up and to replicate reliably. To overcome these difficulties, we developed a semi-quantitative spectrophotometric challenge assay technique. Cell-free supernatants were prepared from filtered bacterial cultures and added to 96-well plates in replicated wells containing Bd zoospores suspended in tryptone-gelatin hydrolysate-lactose (TGhL) broth medium. Plates were then read daily on a spectrophotometer until positive controls reached maximum growth in order to determine growth curves for Bd. We tested the technique by screening skin bacteria from the Australian green-eyed tree frog Litoria serrata. Of bacteria tested, 31% showed some degree of Bd inhibition, while some may have promoted Bd growth, a previously unknown effect. Our cell-free supernatant challenge assay technique is an effective in vitro method for screening bacterial isolates for strong Bd-inhibitory activity. It contributes to the expanding field of bioaugmentation research, which could play a significant role in mitigating the effects of chytridiomycosis on amphibians around the world.","container-title":"Diseases of Aquatic Organisms","DOI":"10.3354/dao02560","ISSN":"0177-5103","issue":"1","journalAbbreviation":"Dis Aquat Organ","language":"eng","page":"77-85","PMID":"23482387","source":"PubMed","title":"Screening bacterial metabolites for inhibitory effects against Batrachochytrium dendrobatidis using a spectrophotometric assay","volume":"103","author":[{"family":"Bell","given":"Sara C."},{"family":"Alford","given":"Ross A."},{"family":"Garland","given":"Stephen"},{"family":"Padilla","given":"Gabriel"},{"family":"Thomas","given":"Annette D."}],"issued":{"date-parts":[["2013",3,13]]}}}],"schema":"https://github.com/citation-style-language/schema/raw/master/csl-citation.json"} </w:instrText>
      </w:r>
      <w:r w:rsidR="00574809">
        <w:rPr>
          <w:sz w:val="24"/>
        </w:rPr>
        <w:fldChar w:fldCharType="separate"/>
      </w:r>
      <w:r w:rsidR="000554F4" w:rsidRPr="000554F4">
        <w:rPr>
          <w:sz w:val="24"/>
          <w:vertAlign w:val="superscript"/>
        </w:rPr>
        <w:t>9</w:t>
      </w:r>
      <w:r w:rsidR="00574809">
        <w:rPr>
          <w:sz w:val="24"/>
        </w:rPr>
        <w:fldChar w:fldCharType="end"/>
      </w:r>
      <w:r w:rsidR="00574809">
        <w:rPr>
          <w:sz w:val="24"/>
        </w:rPr>
        <w:t xml:space="preserve"> (see Methods)</w:t>
      </w:r>
      <w:r w:rsidR="00574809" w:rsidRPr="00E64E51">
        <w:rPr>
          <w:sz w:val="24"/>
        </w:rPr>
        <w:t xml:space="preserve">. Isolates were considered </w:t>
      </w:r>
      <w:r w:rsidR="00574809" w:rsidRPr="00E64E51">
        <w:rPr>
          <w:i/>
          <w:iCs/>
          <w:sz w:val="24"/>
        </w:rPr>
        <w:t>Bd</w:t>
      </w:r>
      <w:r w:rsidR="00574809" w:rsidRPr="00E64E51">
        <w:rPr>
          <w:sz w:val="24"/>
        </w:rPr>
        <w:t xml:space="preserve">-inhibitory when the average </w:t>
      </w:r>
      <w:r w:rsidR="00574809" w:rsidRPr="00E64E51">
        <w:rPr>
          <w:i/>
          <w:iCs/>
          <w:sz w:val="24"/>
        </w:rPr>
        <w:t>Bd</w:t>
      </w:r>
      <w:r w:rsidR="00574809" w:rsidRPr="00E64E51">
        <w:rPr>
          <w:sz w:val="24"/>
        </w:rPr>
        <w:t xml:space="preserve"> growth in their extract experimental wells were equal or smaller than 50% of the growth observed in the positive control (</w:t>
      </w:r>
      <w:r w:rsidR="00574809" w:rsidRPr="00E64E51">
        <w:rPr>
          <w:i/>
          <w:iCs/>
          <w:sz w:val="24"/>
        </w:rPr>
        <w:t>Bd</w:t>
      </w:r>
      <w:r w:rsidR="00574809" w:rsidRPr="00E64E51">
        <w:rPr>
          <w:sz w:val="24"/>
        </w:rPr>
        <w:t xml:space="preserve"> in T1%) in the respective assay plate.</w:t>
      </w:r>
      <w:r w:rsidR="00574809">
        <w:rPr>
          <w:sz w:val="24"/>
        </w:rPr>
        <w:t xml:space="preserve"> </w:t>
      </w:r>
    </w:p>
    <w:p w14:paraId="3D0F2165" w14:textId="0C9A4BBA" w:rsidR="009C11D6" w:rsidRPr="00E64E51" w:rsidRDefault="009C11D6" w:rsidP="009C11D6">
      <w:pPr>
        <w:rPr>
          <w:sz w:val="24"/>
        </w:rPr>
      </w:pPr>
      <w:r w:rsidRPr="00E64E51">
        <w:rPr>
          <w:sz w:val="24"/>
        </w:rPr>
        <w:t xml:space="preserve">We selected </w:t>
      </w:r>
      <w:r w:rsidRPr="00E64E51">
        <w:rPr>
          <w:i/>
          <w:iCs/>
          <w:sz w:val="24"/>
        </w:rPr>
        <w:t>Bd</w:t>
      </w:r>
      <w:r w:rsidRPr="00E64E51">
        <w:rPr>
          <w:sz w:val="24"/>
        </w:rPr>
        <w:t xml:space="preserve"> isolate CLFT (BAF) 041 for our </w:t>
      </w:r>
      <w:r>
        <w:rPr>
          <w:sz w:val="24"/>
        </w:rPr>
        <w:t>challenge assays</w:t>
      </w:r>
      <w:r w:rsidRPr="00E64E51">
        <w:rPr>
          <w:sz w:val="24"/>
        </w:rPr>
        <w:t xml:space="preserve">, a </w:t>
      </w:r>
      <w:r>
        <w:rPr>
          <w:sz w:val="24"/>
        </w:rPr>
        <w:t>Global Panzootic Lineage (</w:t>
      </w:r>
      <w:r w:rsidRPr="00E64E51">
        <w:rPr>
          <w:sz w:val="24"/>
        </w:rPr>
        <w:t>GPL</w:t>
      </w:r>
      <w:r>
        <w:rPr>
          <w:sz w:val="24"/>
        </w:rPr>
        <w:t>)</w:t>
      </w:r>
      <w:r w:rsidRPr="00E64E51">
        <w:rPr>
          <w:sz w:val="24"/>
        </w:rPr>
        <w:t xml:space="preserve"> genotype cultured from the same region in Brazil </w:t>
      </w:r>
      <w:r>
        <w:rPr>
          <w:sz w:val="24"/>
        </w:rPr>
        <w:t>where our</w:t>
      </w:r>
      <w:r w:rsidRPr="00E64E51">
        <w:rPr>
          <w:sz w:val="24"/>
        </w:rPr>
        <w:t xml:space="preserve"> study animals were collected. The isolate was cryopreserved in 1% tryptone, 10% DMSO medium. We revived cryopreserved cultures using the standard method of </w:t>
      </w:r>
      <w:proofErr w:type="spellStart"/>
      <w:r w:rsidRPr="00E64E51">
        <w:rPr>
          <w:sz w:val="24"/>
        </w:rPr>
        <w:t>Prostak</w:t>
      </w:r>
      <w:proofErr w:type="spellEnd"/>
      <w:r w:rsidRPr="00E64E51">
        <w:rPr>
          <w:sz w:val="24"/>
        </w:rPr>
        <w:t xml:space="preserve"> </w:t>
      </w:r>
      <w:r>
        <w:rPr>
          <w:sz w:val="24"/>
        </w:rPr>
        <w:t>&amp;</w:t>
      </w:r>
      <w:r w:rsidRPr="00E64E51">
        <w:rPr>
          <w:sz w:val="24"/>
        </w:rPr>
        <w:t xml:space="preserve"> Fritz-Laylin</w:t>
      </w:r>
      <w:r>
        <w:rPr>
          <w:sz w:val="24"/>
        </w:rPr>
        <w:t xml:space="preserve"> </w:t>
      </w:r>
      <w:r>
        <w:rPr>
          <w:sz w:val="24"/>
        </w:rPr>
        <w:fldChar w:fldCharType="begin"/>
      </w:r>
      <w:r w:rsidR="000554F4">
        <w:rPr>
          <w:sz w:val="24"/>
        </w:rPr>
        <w:instrText xml:space="preserve"> ADDIN ZOTERO_ITEM CSL_CITATION {"citationID":"OxZqITMH","properties":{"formattedCitation":"\\super 10\\nosupersub{}","plainCitation":"10","noteIndex":0},"citationItems":[{"id":402,"uris":["http://zotero.org/users/12164085/items/7K267LGG"],"itemData":{"id":402,"type":"article-journal","abstract":"The chytrid fungus Batrachochytrium dendrobatidis (Bd) is a causative agent of chytridiomycosis, a skin disease associated with amphibian population declines around the world. Despite the major impact Bd is having on global ecosystems, much of Bd's basic biology remains unstudied. In addition to revealing mechanisms driving the spread of chytridiomycosis, studying Bd can shed light on the evolution of key fungal traits because chytrid fungi, including Bd, diverged before the radiation of the Dikaryotic fungi (multicellular fungi and yeast). Studying Bd in the laboratory is, therefore, of growing interest to a wide range of scientists, ranging from herpetologists and disease ecologists to molecular, cell, and evolutionary biologists. This protocol describes how to maintain developmentally synchronized liquid cultures of Bd for use in the laboratory, how to grow Bd on solid media, as well as cryopreservation and revival of frozen stocks. © 2021 The Authors. Current Protocols published by Wiley Periodicals LLC. Basic Protocol 1: Reviving cryopreserved Bd cultures Basic Protocol 2: Establishing synchronized liquid cultures of Bd Basic Protocol 3: Regular maintenance of synchronous Bd in liquid culture Alternate Protocol 1: Regular maintenance of asynchronous Bd in liquid culture Basic Protocol 4: Regular maintenance of synchronous Bd on solid medium Alternate Protocol 2: Starting a culture on solid medium from a liquid culture Basic Protocol 5: Cryopreservation of Bd.","container-title":"Current Protocols","DOI":"10.1002/cpz1.309","ISSN":"2691-1299","issue":"12","journalAbbreviation":"Curr Protoc","language":"eng","page":"e309","PMID":"34870903","source":"PubMed","title":"Laboratory Maintenance of the Chytrid Fungus Batrachochytrium dendrobatidis","volume":"1","author":[{"family":"Prostak","given":"Sarah M."},{"family":"Fritz-Laylin","given":"Lillian K."}],"issued":{"date-parts":[["2021",12]]}}}],"schema":"https://github.com/citation-style-language/schema/raw/master/csl-citation.json"} </w:instrText>
      </w:r>
      <w:r>
        <w:rPr>
          <w:sz w:val="24"/>
        </w:rPr>
        <w:fldChar w:fldCharType="separate"/>
      </w:r>
      <w:r w:rsidR="000554F4" w:rsidRPr="000554F4">
        <w:rPr>
          <w:sz w:val="24"/>
          <w:vertAlign w:val="superscript"/>
        </w:rPr>
        <w:t>10</w:t>
      </w:r>
      <w:r>
        <w:rPr>
          <w:sz w:val="24"/>
        </w:rPr>
        <w:fldChar w:fldCharType="end"/>
      </w:r>
      <w:r w:rsidRPr="00E64E51">
        <w:rPr>
          <w:sz w:val="24"/>
        </w:rPr>
        <w:t xml:space="preserve">. We rested the cultures for one week to allow cells to recover activity and </w:t>
      </w:r>
      <w:r w:rsidRPr="00E64E51">
        <w:rPr>
          <w:sz w:val="24"/>
        </w:rPr>
        <w:lastRenderedPageBreak/>
        <w:t xml:space="preserve">started subculturing when multiple zoospores per field of view were observed. Subcultures were started in 1% tryptone agar plates and were allowed to grow for seven days after inoculation. After growing, plates were flooded with </w:t>
      </w:r>
      <w:r>
        <w:rPr>
          <w:sz w:val="24"/>
        </w:rPr>
        <w:t>3</w:t>
      </w:r>
      <w:r w:rsidRPr="00E64E51">
        <w:rPr>
          <w:sz w:val="24"/>
        </w:rPr>
        <w:t xml:space="preserve"> mL sterile T1% broth to create a suspension of zoospores. The suspension was collected and filtered through a sterile 20 </w:t>
      </w:r>
      <w:proofErr w:type="spellStart"/>
      <w:r w:rsidRPr="00E64E51">
        <w:rPr>
          <w:sz w:val="24"/>
        </w:rPr>
        <w:t>μm</w:t>
      </w:r>
      <w:proofErr w:type="spellEnd"/>
      <w:r w:rsidRPr="00E64E51">
        <w:rPr>
          <w:sz w:val="24"/>
        </w:rPr>
        <w:t xml:space="preserve"> nylon filter to remove sporangia. Filtered zoospores were counted on a Neubauer improved chamber and resuspended in sterile T1% to a concentration of 2</w:t>
      </w:r>
      <w:r w:rsidRPr="00E64E51">
        <w:rPr>
          <w:sz w:val="24"/>
        </w:rPr>
        <w:sym w:font="Symbol" w:char="F0B4"/>
      </w:r>
      <w:r w:rsidRPr="00E64E51">
        <w:rPr>
          <w:sz w:val="24"/>
        </w:rPr>
        <w:t>10</w:t>
      </w:r>
      <w:r w:rsidRPr="00E64E51">
        <w:rPr>
          <w:sz w:val="24"/>
          <w:vertAlign w:val="superscript"/>
        </w:rPr>
        <w:t xml:space="preserve">6 </w:t>
      </w:r>
      <w:r w:rsidRPr="00E64E51">
        <w:rPr>
          <w:sz w:val="24"/>
        </w:rPr>
        <w:t>mL</w:t>
      </w:r>
      <w:r w:rsidRPr="00E64E51">
        <w:rPr>
          <w:sz w:val="24"/>
          <w:vertAlign w:val="superscript"/>
        </w:rPr>
        <w:t>-1</w:t>
      </w:r>
      <w:r w:rsidRPr="00E64E51">
        <w:rPr>
          <w:sz w:val="24"/>
        </w:rPr>
        <w:t xml:space="preserve">. All </w:t>
      </w:r>
      <w:r w:rsidRPr="00E64E51">
        <w:rPr>
          <w:i/>
          <w:iCs/>
          <w:sz w:val="24"/>
        </w:rPr>
        <w:t>Bd</w:t>
      </w:r>
      <w:r w:rsidRPr="00E64E51">
        <w:rPr>
          <w:sz w:val="24"/>
        </w:rPr>
        <w:t xml:space="preserve"> cultures were maintained at 21°C, </w:t>
      </w:r>
      <w:r>
        <w:rPr>
          <w:sz w:val="24"/>
        </w:rPr>
        <w:t xml:space="preserve">and </w:t>
      </w:r>
      <w:r w:rsidRPr="00E64E51">
        <w:rPr>
          <w:sz w:val="24"/>
        </w:rPr>
        <w:t>60% humidity; conditions in which we observed optimum growth.</w:t>
      </w:r>
    </w:p>
    <w:p w14:paraId="0880EDFF" w14:textId="77777777" w:rsidR="009C11D6" w:rsidRDefault="009C11D6" w:rsidP="009C11D6">
      <w:pPr>
        <w:ind w:firstLine="0"/>
        <w:rPr>
          <w:sz w:val="24"/>
          <w:szCs w:val="28"/>
        </w:rPr>
      </w:pPr>
      <w:r>
        <w:rPr>
          <w:b/>
          <w:bCs/>
          <w:i/>
          <w:iCs/>
          <w:sz w:val="24"/>
          <w:szCs w:val="28"/>
        </w:rPr>
        <w:tab/>
      </w:r>
      <w:r w:rsidRPr="008F790D">
        <w:rPr>
          <w:sz w:val="24"/>
          <w:szCs w:val="28"/>
        </w:rPr>
        <w:t xml:space="preserve">We performed sequencing of the 16S rRNA gene of each isolate using a dual index method, employing 16S rRNA universal primers 8F and 1492R. To extract DNA, we treated pellets of the isolates with 100 µL of a 5% </w:t>
      </w:r>
      <w:proofErr w:type="spellStart"/>
      <w:r w:rsidRPr="008F790D">
        <w:rPr>
          <w:sz w:val="24"/>
          <w:szCs w:val="28"/>
        </w:rPr>
        <w:t>Chelex</w:t>
      </w:r>
      <w:proofErr w:type="spellEnd"/>
      <w:r w:rsidRPr="008F790D">
        <w:rPr>
          <w:sz w:val="24"/>
          <w:szCs w:val="28"/>
        </w:rPr>
        <w:t xml:space="preserve"> solution and incubated at 99°C for 20 minutes. To mitigate potential PCR inhibition, the extracted DNA was diluted at a ratio of 1:10 with deionized water. We then amplified the samples in duplicate using </w:t>
      </w:r>
      <w:proofErr w:type="spellStart"/>
      <w:r w:rsidRPr="008F790D">
        <w:rPr>
          <w:sz w:val="24"/>
          <w:szCs w:val="28"/>
        </w:rPr>
        <w:t>Phire</w:t>
      </w:r>
      <w:proofErr w:type="spellEnd"/>
      <w:r w:rsidRPr="008F790D">
        <w:rPr>
          <w:sz w:val="24"/>
          <w:szCs w:val="28"/>
        </w:rPr>
        <w:t xml:space="preserve"> Hot Start II DNA Polymerase (</w:t>
      </w:r>
      <w:proofErr w:type="spellStart"/>
      <w:r w:rsidRPr="008F790D">
        <w:rPr>
          <w:sz w:val="24"/>
          <w:szCs w:val="28"/>
        </w:rPr>
        <w:t>Finnzyme</w:t>
      </w:r>
      <w:proofErr w:type="spellEnd"/>
      <w:r w:rsidRPr="008F790D">
        <w:rPr>
          <w:sz w:val="24"/>
          <w:szCs w:val="28"/>
        </w:rPr>
        <w:t xml:space="preserve">, Espoo, Finland), including negative controls in each 96-well plate to ensure no contamination. The success of amplification and the integrity of the </w:t>
      </w:r>
      <w:r>
        <w:rPr>
          <w:sz w:val="24"/>
          <w:szCs w:val="28"/>
        </w:rPr>
        <w:t>DNA</w:t>
      </w:r>
      <w:r w:rsidRPr="008F790D">
        <w:rPr>
          <w:sz w:val="24"/>
          <w:szCs w:val="28"/>
        </w:rPr>
        <w:t xml:space="preserve"> bands were confirmed by visualizing the amplicons on a 1% agarose gel. The purified DNA was later sequenced using Sanger sequencing on an ABI 3730XL station. We used the </w:t>
      </w:r>
      <w:proofErr w:type="spellStart"/>
      <w:r w:rsidRPr="008F790D">
        <w:rPr>
          <w:sz w:val="24"/>
          <w:szCs w:val="28"/>
        </w:rPr>
        <w:t>isoQC</w:t>
      </w:r>
      <w:proofErr w:type="spellEnd"/>
      <w:r w:rsidRPr="008F790D">
        <w:rPr>
          <w:sz w:val="24"/>
          <w:szCs w:val="28"/>
        </w:rPr>
        <w:t xml:space="preserve"> function of the “</w:t>
      </w:r>
      <w:proofErr w:type="spellStart"/>
      <w:r w:rsidRPr="008F790D">
        <w:rPr>
          <w:sz w:val="24"/>
          <w:szCs w:val="28"/>
        </w:rPr>
        <w:t>isolateR</w:t>
      </w:r>
      <w:proofErr w:type="spellEnd"/>
      <w:r w:rsidRPr="008F790D">
        <w:rPr>
          <w:sz w:val="24"/>
          <w:szCs w:val="28"/>
        </w:rPr>
        <w:t xml:space="preserve">" package in R to quality control isolate sequences, and sequences were cut keeping the base pairs with a </w:t>
      </w:r>
      <w:proofErr w:type="spellStart"/>
      <w:r w:rsidRPr="008F790D">
        <w:rPr>
          <w:sz w:val="24"/>
          <w:szCs w:val="28"/>
        </w:rPr>
        <w:t>phred</w:t>
      </w:r>
      <w:proofErr w:type="spellEnd"/>
      <w:r w:rsidRPr="008F790D">
        <w:rPr>
          <w:sz w:val="24"/>
          <w:szCs w:val="28"/>
        </w:rPr>
        <w:t xml:space="preserve"> score higher than 20 and a minimum total length of 200 base-pairs. We created a comprehensive database containing sequences from all our cultured isolates, including both </w:t>
      </w:r>
      <w:r w:rsidRPr="008F790D">
        <w:rPr>
          <w:i/>
          <w:iCs/>
          <w:sz w:val="24"/>
          <w:szCs w:val="28"/>
        </w:rPr>
        <w:t>Bd</w:t>
      </w:r>
      <w:r w:rsidRPr="008F790D">
        <w:rPr>
          <w:sz w:val="24"/>
          <w:szCs w:val="28"/>
        </w:rPr>
        <w:t>-inhibitory and non-</w:t>
      </w:r>
      <w:r w:rsidRPr="008F790D">
        <w:rPr>
          <w:i/>
          <w:iCs/>
          <w:sz w:val="24"/>
          <w:szCs w:val="28"/>
        </w:rPr>
        <w:t>Bd</w:t>
      </w:r>
      <w:r w:rsidRPr="008F790D">
        <w:rPr>
          <w:sz w:val="24"/>
          <w:szCs w:val="28"/>
        </w:rPr>
        <w:t xml:space="preserve">-inhibitory taxa. We used QIIME2 and </w:t>
      </w:r>
      <w:proofErr w:type="spellStart"/>
      <w:r w:rsidRPr="008F790D">
        <w:rPr>
          <w:sz w:val="24"/>
          <w:szCs w:val="28"/>
        </w:rPr>
        <w:t>vsearch</w:t>
      </w:r>
      <w:proofErr w:type="spellEnd"/>
      <w:r w:rsidRPr="008F790D">
        <w:rPr>
          <w:sz w:val="24"/>
          <w:szCs w:val="28"/>
        </w:rPr>
        <w:t xml:space="preserve"> to match our full </w:t>
      </w:r>
      <w:proofErr w:type="spellStart"/>
      <w:r>
        <w:rPr>
          <w:sz w:val="24"/>
          <w:szCs w:val="28"/>
        </w:rPr>
        <w:t>pacbio</w:t>
      </w:r>
      <w:proofErr w:type="spellEnd"/>
      <w:r>
        <w:rPr>
          <w:sz w:val="24"/>
          <w:szCs w:val="28"/>
        </w:rPr>
        <w:t xml:space="preserve"> </w:t>
      </w:r>
      <w:r w:rsidRPr="008F790D">
        <w:rPr>
          <w:sz w:val="24"/>
          <w:szCs w:val="28"/>
        </w:rPr>
        <w:t xml:space="preserve">library to the </w:t>
      </w:r>
      <w:proofErr w:type="gramStart"/>
      <w:r w:rsidRPr="008F790D">
        <w:rPr>
          <w:sz w:val="24"/>
          <w:szCs w:val="28"/>
        </w:rPr>
        <w:t>isolate</w:t>
      </w:r>
      <w:proofErr w:type="gramEnd"/>
      <w:r w:rsidRPr="008F790D">
        <w:rPr>
          <w:sz w:val="24"/>
          <w:szCs w:val="28"/>
        </w:rPr>
        <w:t xml:space="preserve"> libraries with 100% similarity in </w:t>
      </w:r>
      <w:r w:rsidRPr="008F790D">
        <w:rPr>
          <w:sz w:val="24"/>
          <w:szCs w:val="28"/>
        </w:rPr>
        <w:lastRenderedPageBreak/>
        <w:t xml:space="preserve">sequences. We then calculated the richness of </w:t>
      </w:r>
      <w:r w:rsidRPr="008F790D">
        <w:rPr>
          <w:i/>
          <w:iCs/>
          <w:sz w:val="24"/>
          <w:szCs w:val="28"/>
        </w:rPr>
        <w:t>Bd-</w:t>
      </w:r>
      <w:r w:rsidRPr="008F790D">
        <w:rPr>
          <w:sz w:val="24"/>
          <w:szCs w:val="28"/>
        </w:rPr>
        <w:t xml:space="preserve">inhibitory ASVs per sample and the ratio of inhibitory reads over total cultured reads (proportion of </w:t>
      </w:r>
      <w:r w:rsidRPr="008F790D">
        <w:rPr>
          <w:i/>
          <w:iCs/>
          <w:sz w:val="24"/>
          <w:szCs w:val="28"/>
        </w:rPr>
        <w:t>Bd</w:t>
      </w:r>
      <w:r w:rsidRPr="008F790D">
        <w:rPr>
          <w:sz w:val="24"/>
          <w:szCs w:val="28"/>
        </w:rPr>
        <w:t>-inhibitory reads).</w:t>
      </w:r>
    </w:p>
    <w:p w14:paraId="4981200B" w14:textId="77777777" w:rsidR="009C11D6" w:rsidRDefault="009C11D6" w:rsidP="009C11D6">
      <w:pPr>
        <w:ind w:firstLine="0"/>
        <w:rPr>
          <w:sz w:val="24"/>
          <w:szCs w:val="28"/>
        </w:rPr>
      </w:pPr>
    </w:p>
    <w:p w14:paraId="01BD4160" w14:textId="4E19056D" w:rsidR="009C11D6" w:rsidRDefault="009C11D6" w:rsidP="009C11D6">
      <w:pPr>
        <w:ind w:firstLine="0"/>
        <w:rPr>
          <w:sz w:val="24"/>
          <w:szCs w:val="28"/>
        </w:rPr>
      </w:pPr>
      <w:r>
        <w:rPr>
          <w:b/>
          <w:bCs/>
          <w:i/>
          <w:iCs/>
          <w:sz w:val="24"/>
        </w:rPr>
        <w:t>C</w:t>
      </w:r>
      <w:r w:rsidRPr="00A60D00">
        <w:rPr>
          <w:b/>
          <w:bCs/>
          <w:i/>
          <w:iCs/>
          <w:sz w:val="24"/>
        </w:rPr>
        <w:t>hallenge assays</w:t>
      </w:r>
    </w:p>
    <w:p w14:paraId="05196186" w14:textId="5943281E" w:rsidR="009C11D6" w:rsidRPr="00E64E51" w:rsidRDefault="009C11D6" w:rsidP="009C11D6">
      <w:pPr>
        <w:ind w:firstLine="0"/>
        <w:rPr>
          <w:sz w:val="24"/>
        </w:rPr>
      </w:pPr>
      <w:r w:rsidRPr="00E64E51">
        <w:rPr>
          <w:sz w:val="24"/>
        </w:rPr>
        <w:t>We conducted challenge assays in 96-well microplates, adapting the standardized method from Bell et al</w:t>
      </w:r>
      <w:r>
        <w:rPr>
          <w:sz w:val="24"/>
        </w:rPr>
        <w:t>.</w:t>
      </w:r>
      <w:r>
        <w:rPr>
          <w:sz w:val="24"/>
        </w:rPr>
        <w:fldChar w:fldCharType="begin"/>
      </w:r>
      <w:r w:rsidR="000554F4">
        <w:rPr>
          <w:sz w:val="24"/>
        </w:rPr>
        <w:instrText xml:space="preserve"> ADDIN ZOTERO_ITEM CSL_CITATION {"citationID":"qXf1UsZY","properties":{"formattedCitation":"\\super 9\\nosupersub{}","plainCitation":"9","noteIndex":0},"citationItems":[{"id":208,"uris":["http://zotero.org/users/12164085/items/ZGWT5K58"],"itemData":{"id":208,"type":"article-journal","abstract":"Certain bacteria present on frog skin can prevent infection by the pathogenic fungus Batrachochytrium dendrobatidis (Bd), conferring disease resistance. Previous studies have used agar-based in vitro challenge assays to screen bacteria for Bd-inhibitory activity and to identify candidates for bacterial supplementation trials. However, agar-based assays can be difficult to set up and to replicate reliably. To overcome these difficulties, we developed a semi-quantitative spectrophotometric challenge assay technique. Cell-free supernatants were prepared from filtered bacterial cultures and added to 96-well plates in replicated wells containing Bd zoospores suspended in tryptone-gelatin hydrolysate-lactose (TGhL) broth medium. Plates were then read daily on a spectrophotometer until positive controls reached maximum growth in order to determine growth curves for Bd. We tested the technique by screening skin bacteria from the Australian green-eyed tree frog Litoria serrata. Of bacteria tested, 31% showed some degree of Bd inhibition, while some may have promoted Bd growth, a previously unknown effect. Our cell-free supernatant challenge assay technique is an effective in vitro method for screening bacterial isolates for strong Bd-inhibitory activity. It contributes to the expanding field of bioaugmentation research, which could play a significant role in mitigating the effects of chytridiomycosis on amphibians around the world.","container-title":"Diseases of Aquatic Organisms","DOI":"10.3354/dao02560","ISSN":"0177-5103","issue":"1","journalAbbreviation":"Dis Aquat Organ","language":"eng","page":"77-85","PMID":"23482387","source":"PubMed","title":"Screening bacterial metabolites for inhibitory effects against Batrachochytrium dendrobatidis using a spectrophotometric assay","volume":"103","author":[{"family":"Bell","given":"Sara C."},{"family":"Alford","given":"Ross A."},{"family":"Garland","given":"Stephen"},{"family":"Padilla","given":"Gabriel"},{"family":"Thomas","given":"Annette D."}],"issued":{"date-parts":[["2013",3,13]]}}}],"schema":"https://github.com/citation-style-language/schema/raw/master/csl-citation.json"} </w:instrText>
      </w:r>
      <w:r>
        <w:rPr>
          <w:sz w:val="24"/>
        </w:rPr>
        <w:fldChar w:fldCharType="separate"/>
      </w:r>
      <w:r w:rsidR="000554F4" w:rsidRPr="000554F4">
        <w:rPr>
          <w:sz w:val="24"/>
          <w:vertAlign w:val="superscript"/>
        </w:rPr>
        <w:t>9</w:t>
      </w:r>
      <w:r>
        <w:rPr>
          <w:sz w:val="24"/>
        </w:rPr>
        <w:fldChar w:fldCharType="end"/>
      </w:r>
      <w:r>
        <w:rPr>
          <w:sz w:val="24"/>
        </w:rPr>
        <w:t xml:space="preserve">. </w:t>
      </w:r>
      <w:r w:rsidRPr="00E64E51">
        <w:rPr>
          <w:sz w:val="24"/>
        </w:rPr>
        <w:t xml:space="preserve">Experimental wells contained 50 </w:t>
      </w:r>
      <w:proofErr w:type="spellStart"/>
      <w:r w:rsidRPr="00E64E51">
        <w:rPr>
          <w:sz w:val="24"/>
        </w:rPr>
        <w:t>μL</w:t>
      </w:r>
      <w:proofErr w:type="spellEnd"/>
      <w:r w:rsidRPr="00E64E51">
        <w:rPr>
          <w:sz w:val="24"/>
        </w:rPr>
        <w:t xml:space="preserve"> of </w:t>
      </w:r>
      <w:r w:rsidRPr="00E64E51">
        <w:rPr>
          <w:i/>
          <w:iCs/>
          <w:sz w:val="24"/>
        </w:rPr>
        <w:t>Bd</w:t>
      </w:r>
      <w:r w:rsidRPr="00E64E51">
        <w:rPr>
          <w:sz w:val="24"/>
        </w:rPr>
        <w:t xml:space="preserve"> zoospores at a concentration of 2×10</w:t>
      </w:r>
      <w:r w:rsidRPr="00E64E51">
        <w:rPr>
          <w:sz w:val="24"/>
          <w:vertAlign w:val="superscript"/>
        </w:rPr>
        <w:t xml:space="preserve">6 </w:t>
      </w:r>
      <w:r w:rsidRPr="00E64E51">
        <w:rPr>
          <w:sz w:val="24"/>
        </w:rPr>
        <w:t>mL</w:t>
      </w:r>
      <w:r w:rsidRPr="00E64E51">
        <w:rPr>
          <w:sz w:val="24"/>
          <w:vertAlign w:val="superscript"/>
        </w:rPr>
        <w:t>−1</w:t>
      </w:r>
      <w:r w:rsidRPr="00E64E51">
        <w:rPr>
          <w:sz w:val="24"/>
        </w:rPr>
        <w:t xml:space="preserve"> and 50 </w:t>
      </w:r>
      <w:proofErr w:type="spellStart"/>
      <w:r w:rsidRPr="00E64E51">
        <w:rPr>
          <w:sz w:val="24"/>
        </w:rPr>
        <w:t>μL</w:t>
      </w:r>
      <w:proofErr w:type="spellEnd"/>
      <w:r w:rsidRPr="00E64E51">
        <w:rPr>
          <w:sz w:val="24"/>
        </w:rPr>
        <w:t xml:space="preserve"> of a bacterial cell-free </w:t>
      </w:r>
      <w:r>
        <w:rPr>
          <w:sz w:val="24"/>
        </w:rPr>
        <w:t>extract</w:t>
      </w:r>
      <w:r w:rsidRPr="00E64E51">
        <w:rPr>
          <w:sz w:val="24"/>
        </w:rPr>
        <w:t xml:space="preserve">. The positive control wells contained 50 </w:t>
      </w:r>
      <w:proofErr w:type="spellStart"/>
      <w:r w:rsidRPr="00E64E51">
        <w:rPr>
          <w:sz w:val="24"/>
        </w:rPr>
        <w:t>μL</w:t>
      </w:r>
      <w:proofErr w:type="spellEnd"/>
      <w:r w:rsidRPr="00E64E51">
        <w:rPr>
          <w:sz w:val="24"/>
        </w:rPr>
        <w:t xml:space="preserve"> </w:t>
      </w:r>
      <w:r w:rsidRPr="00E64E51">
        <w:rPr>
          <w:i/>
          <w:iCs/>
          <w:sz w:val="24"/>
        </w:rPr>
        <w:t>Bd</w:t>
      </w:r>
      <w:r w:rsidRPr="00E64E51">
        <w:rPr>
          <w:sz w:val="24"/>
        </w:rPr>
        <w:t xml:space="preserve"> and 50 </w:t>
      </w:r>
      <w:proofErr w:type="spellStart"/>
      <w:r w:rsidRPr="00E64E51">
        <w:rPr>
          <w:sz w:val="24"/>
        </w:rPr>
        <w:t>μL</w:t>
      </w:r>
      <w:proofErr w:type="spellEnd"/>
      <w:r w:rsidRPr="00E64E51">
        <w:rPr>
          <w:sz w:val="24"/>
        </w:rPr>
        <w:t xml:space="preserve"> T1% medium. We included two types of negative controls: a (medium-only) control, which consisted of wells containing 100 </w:t>
      </w:r>
      <w:proofErr w:type="spellStart"/>
      <w:r w:rsidRPr="00E64E51">
        <w:rPr>
          <w:sz w:val="24"/>
        </w:rPr>
        <w:t>μL</w:t>
      </w:r>
      <w:proofErr w:type="spellEnd"/>
      <w:r w:rsidRPr="00E64E51">
        <w:rPr>
          <w:sz w:val="24"/>
        </w:rPr>
        <w:t xml:space="preserve"> replicates of T1% alone, and a heat-killed control of 50 </w:t>
      </w:r>
      <w:proofErr w:type="spellStart"/>
      <w:r w:rsidRPr="00E64E51">
        <w:rPr>
          <w:sz w:val="24"/>
        </w:rPr>
        <w:t>μL</w:t>
      </w:r>
      <w:proofErr w:type="spellEnd"/>
      <w:r w:rsidRPr="00E64E51">
        <w:rPr>
          <w:sz w:val="24"/>
        </w:rPr>
        <w:t xml:space="preserve"> of heat-killed </w:t>
      </w:r>
      <w:r w:rsidRPr="00E64E51">
        <w:rPr>
          <w:i/>
          <w:iCs/>
          <w:sz w:val="24"/>
        </w:rPr>
        <w:t xml:space="preserve">Bd </w:t>
      </w:r>
      <w:r w:rsidRPr="00E64E51">
        <w:rPr>
          <w:sz w:val="24"/>
        </w:rPr>
        <w:t>zoospores (80°C for 30 min) at a concentration of 2×10</w:t>
      </w:r>
      <w:r w:rsidRPr="00E64E51">
        <w:rPr>
          <w:sz w:val="24"/>
          <w:vertAlign w:val="superscript"/>
        </w:rPr>
        <w:t xml:space="preserve">6 </w:t>
      </w:r>
      <w:r w:rsidRPr="00E64E51">
        <w:rPr>
          <w:sz w:val="24"/>
        </w:rPr>
        <w:t>mL</w:t>
      </w:r>
      <w:r w:rsidRPr="00E64E51">
        <w:rPr>
          <w:sz w:val="24"/>
          <w:vertAlign w:val="superscript"/>
        </w:rPr>
        <w:t>−1</w:t>
      </w:r>
      <w:r w:rsidRPr="00E64E51">
        <w:rPr>
          <w:sz w:val="24"/>
        </w:rPr>
        <w:t xml:space="preserve"> in 50 </w:t>
      </w:r>
      <w:proofErr w:type="spellStart"/>
      <w:r w:rsidRPr="00E64E51">
        <w:rPr>
          <w:sz w:val="24"/>
        </w:rPr>
        <w:t>μL</w:t>
      </w:r>
      <w:proofErr w:type="spellEnd"/>
      <w:r w:rsidRPr="00E64E51">
        <w:rPr>
          <w:sz w:val="24"/>
        </w:rPr>
        <w:t xml:space="preserve"> of T1%. We added nutrient depleted controls containing 50 </w:t>
      </w:r>
      <w:proofErr w:type="spellStart"/>
      <w:r w:rsidRPr="00E64E51">
        <w:rPr>
          <w:sz w:val="24"/>
        </w:rPr>
        <w:t>μL</w:t>
      </w:r>
      <w:proofErr w:type="spellEnd"/>
      <w:r w:rsidRPr="00E64E51">
        <w:rPr>
          <w:sz w:val="24"/>
        </w:rPr>
        <w:t xml:space="preserve"> of </w:t>
      </w:r>
      <w:r w:rsidRPr="00E64E51">
        <w:rPr>
          <w:i/>
          <w:iCs/>
          <w:sz w:val="24"/>
        </w:rPr>
        <w:t>Bd</w:t>
      </w:r>
      <w:r w:rsidRPr="00E64E51">
        <w:rPr>
          <w:sz w:val="24"/>
        </w:rPr>
        <w:t xml:space="preserve"> zoospores at a concentration of 2×10</w:t>
      </w:r>
      <w:r w:rsidRPr="00E64E51">
        <w:rPr>
          <w:sz w:val="24"/>
          <w:vertAlign w:val="superscript"/>
        </w:rPr>
        <w:t>6</w:t>
      </w:r>
      <w:r w:rsidRPr="00E64E51">
        <w:rPr>
          <w:sz w:val="24"/>
        </w:rPr>
        <w:t xml:space="preserve"> mL</w:t>
      </w:r>
      <w:r w:rsidRPr="00E64E51">
        <w:rPr>
          <w:sz w:val="24"/>
          <w:vertAlign w:val="superscript"/>
        </w:rPr>
        <w:t>−1</w:t>
      </w:r>
      <w:r w:rsidRPr="00E64E51">
        <w:rPr>
          <w:sz w:val="24"/>
        </w:rPr>
        <w:t xml:space="preserve"> and 50 </w:t>
      </w:r>
      <w:proofErr w:type="spellStart"/>
      <w:r w:rsidRPr="00E64E51">
        <w:rPr>
          <w:sz w:val="24"/>
        </w:rPr>
        <w:t>μL</w:t>
      </w:r>
      <w:proofErr w:type="spellEnd"/>
      <w:r w:rsidRPr="00E64E51">
        <w:rPr>
          <w:sz w:val="24"/>
        </w:rPr>
        <w:t xml:space="preserve"> of artificial pond water instead of T1%. Each plate contained 16 bacterial supernatant samples in triplicate (experimental wells), and three wells of each control type. We incubated assay plates at 21°C and recorded optical density of each well at 492 </w:t>
      </w:r>
      <w:proofErr w:type="spellStart"/>
      <w:r w:rsidRPr="00E64E51">
        <w:rPr>
          <w:sz w:val="24"/>
        </w:rPr>
        <w:t>n</w:t>
      </w:r>
      <w:r>
        <w:rPr>
          <w:sz w:val="24"/>
        </w:rPr>
        <w:t>M</w:t>
      </w:r>
      <w:proofErr w:type="spellEnd"/>
      <w:r w:rsidRPr="00E64E51">
        <w:rPr>
          <w:sz w:val="24"/>
        </w:rPr>
        <w:t xml:space="preserve"> on days 0, 3, 5 and 8 using a </w:t>
      </w:r>
      <w:proofErr w:type="spellStart"/>
      <w:r w:rsidRPr="00E64E51">
        <w:rPr>
          <w:sz w:val="24"/>
        </w:rPr>
        <w:t>Thermoscientific</w:t>
      </w:r>
      <w:proofErr w:type="spellEnd"/>
      <w:r w:rsidRPr="00E64E51">
        <w:rPr>
          <w:sz w:val="24"/>
        </w:rPr>
        <w:t xml:space="preserve"> </w:t>
      </w:r>
      <w:proofErr w:type="spellStart"/>
      <w:r w:rsidRPr="00E64E51">
        <w:rPr>
          <w:sz w:val="24"/>
        </w:rPr>
        <w:t>Varioskan</w:t>
      </w:r>
      <w:proofErr w:type="spellEnd"/>
      <w:r w:rsidRPr="00E64E51">
        <w:rPr>
          <w:sz w:val="24"/>
        </w:rPr>
        <w:t xml:space="preserve"> Lux microplate reader, which was sufficient time for the growth curve to reach a plateau </w:t>
      </w:r>
      <w:r w:rsidRPr="00E64E51">
        <w:rPr>
          <w:sz w:val="24"/>
        </w:rPr>
        <w:fldChar w:fldCharType="begin"/>
      </w:r>
      <w:r w:rsidR="000554F4">
        <w:rPr>
          <w:sz w:val="24"/>
        </w:rPr>
        <w:instrText xml:space="preserve"> ADDIN ZOTERO_ITEM CSL_CITATION {"citationID":"oyHuB56V","properties":{"formattedCitation":"\\super 11,12\\nosupersub{}","plainCitation":"11,12","noteIndex":0},"citationItems":[{"id":202,"uris":["http://zotero.org/users/12164085/items/Y3ZQEQBB"],"itemData":{"id":202,"type":"article-journal","abstract":"Pesticides and the pathogenic fungus Batrachochytrium dendrobatidis (Bd) co-occur and are implicated in the global decline of amphibians, a highly threatened taxon. Here, we investigated the effects of ecologically relevant concentrations of chlorothalonil and atrazine, two of the most commonly used, immunomodulatory pesticides in the United States, on tadpole (Osteopilus septentrionalis) survival and Bd growth. Tadpole survival was unaffected by the pesticides but was reduced by Bd. Atrazine monotonically (i.e., consistently increasing or decreasing) reduced Bd in culture and on tadpoles, and every concentration tested (0.0106–106 μg/L) significantly reduced Bd growth compared to controls. Chlorothalonil had a nonmonotonic (i.e., nonlinear) effect on Bd growth both in culture and on tadpoles, where low (0.0176–1.76 μg/L) and high (32–176 μg/L) concentrations inhibited Bd growth significantly more than did intermediate concentrations (8.2–17.6 μg/L) and controls. To our knowledge, this is one of only a handful of studies to document a nonmonotonic dose response of a nonvertebrate (Bd) to a pesticide. Although both pesticides reduced Bd growth on frogs, neither cleared the infection entirely, and because we know little about the long-term effects of the pesticides on hosts, we do not recommend using these chemicals to control Bd.","container-title":"Environmental Science &amp; Technology","DOI":"10.1021/es401725s","ISSN":"0013-936X","issue":"14","journalAbbreviation":"Environ. Sci. Technol.","page":"7958-7964","publisher":"American Chemical Society","source":"ACS Publications","title":"Nonmonotonic and Monotonic Effects of Pesticides on the Pathogenic Fungus Batrachochytrium dendrobatidis in Culture and on Tadpoles","volume":"47","author":[{"family":"McMahon","given":"Taegan A."},{"family":"Romansic","given":"John M."},{"family":"Rohr","given":"Jason R."}],"issued":{"date-parts":[["2013",7,16]]}}},{"id":201,"uris":["http://zotero.org/users/12164085/items/U6TFBXTE"],"itemData":{"id":201,"type":"article-journal","abstract":"With emerging diseases on the rise, there is an urgent need to identify and understand novel mechanisms of prophylactic protection in vertebrate hosts. Inducing resistance against emerging pathogens through prophylaxis is an ideal management strategy that may impact pathogens and their host-associated microbiome. The host microbiome is recognized as a critical component of immunity, but the effects of prophylactic inoculation on the microbiome are unknown. In this study, we investigate the effects of prophylaxis on host microbiome composition, focusing on the selection of anti-pathogenic microbes contributing to host acquired immunity in a model host–fungal disease system, amphibian chytridiomycosis. We inoculated larval Pseudacris regilla against the fungal pathogen Batrachochytrium dendrobatidis (Bd) with a Bd metabolite-based prophylactic. Increased prophylactic concentration and exposure duration were associated with significant increases in proportions of putatively Bd-inhibitory host-associated bacterial taxa, indicating a protective prophylactic-induced shift towards microbiome members that are antagonistic to Bd. Our findings are in accordance with the adaptive microbiome hypothesis, where exposure to a pathogen alters the microbiome to better cope with subsequent pathogen encounters. Our study advances research on the temporal dynamics of microbiome memory and the role of prophylaxis-induced shifts in microbiomes contributing to prophylaxis effectiveness.\n\nThis article is part of the theme issue ‘Amphibian immunity: stress, disease and ecoimmunology’.","container-title":"Philosophical Transactions of the Royal Society B: Biological Sciences","DOI":"10.1098/rstb.2022.0126","issue":"1882","page":"20220126","publisher":"Royal Society","source":"royalsocietypublishing.org (Atypon)","title":"Selection of an anti-pathogen skin microbiome following prophylaxis treatment in an amphibian model system","volume":"378","author":[{"family":"Siomko","given":"Samantha A."},{"family":"Greenspan","given":"Sasha E."},{"family":"Barnett","given":"K. M."},{"family":"Neely","given":"Wesley J."},{"family":"Chtarbanova","given":"Stanislava"},{"family":"Woodhams","given":"Douglas C."},{"family":"McMahon","given":"Taegan A."},{"family":"Becker","given":"C. Guilherme"}],"issued":{"date-parts":[["2023",6,12]]}}}],"schema":"https://github.com/citation-style-language/schema/raw/master/csl-citation.json"} </w:instrText>
      </w:r>
      <w:r w:rsidRPr="00E64E51">
        <w:rPr>
          <w:sz w:val="24"/>
        </w:rPr>
        <w:fldChar w:fldCharType="separate"/>
      </w:r>
      <w:r w:rsidR="000554F4" w:rsidRPr="000554F4">
        <w:rPr>
          <w:sz w:val="24"/>
          <w:vertAlign w:val="superscript"/>
        </w:rPr>
        <w:t>11,12</w:t>
      </w:r>
      <w:r w:rsidRPr="00E64E51">
        <w:rPr>
          <w:sz w:val="24"/>
        </w:rPr>
        <w:fldChar w:fldCharType="end"/>
      </w:r>
      <w:r w:rsidRPr="00E64E51">
        <w:rPr>
          <w:sz w:val="24"/>
        </w:rPr>
        <w:t xml:space="preserve">. To calculate </w:t>
      </w:r>
      <w:r w:rsidRPr="00E64E51">
        <w:rPr>
          <w:i/>
          <w:iCs/>
          <w:sz w:val="24"/>
        </w:rPr>
        <w:t>Bd</w:t>
      </w:r>
      <w:r w:rsidRPr="00E64E51">
        <w:rPr>
          <w:sz w:val="24"/>
        </w:rPr>
        <w:t xml:space="preserve"> growth in each well we followed the established protocol described by Bell et al</w:t>
      </w:r>
      <w:r>
        <w:rPr>
          <w:sz w:val="24"/>
        </w:rPr>
        <w:t xml:space="preserve"> </w:t>
      </w:r>
      <w:r>
        <w:rPr>
          <w:sz w:val="24"/>
        </w:rPr>
        <w:fldChar w:fldCharType="begin"/>
      </w:r>
      <w:r w:rsidR="000554F4">
        <w:rPr>
          <w:sz w:val="24"/>
        </w:rPr>
        <w:instrText xml:space="preserve"> ADDIN ZOTERO_ITEM CSL_CITATION {"citationID":"MfRuKhL9","properties":{"formattedCitation":"\\super 9\\nosupersub{}","plainCitation":"9","noteIndex":0},"citationItems":[{"id":208,"uris":["http://zotero.org/users/12164085/items/ZGWT5K58"],"itemData":{"id":208,"type":"article-journal","abstract":"Certain bacteria present on frog skin can prevent infection by the pathogenic fungus Batrachochytrium dendrobatidis (Bd), conferring disease resistance. Previous studies have used agar-based in vitro challenge assays to screen bacteria for Bd-inhibitory activity and to identify candidates for bacterial supplementation trials. However, agar-based assays can be difficult to set up and to replicate reliably. To overcome these difficulties, we developed a semi-quantitative spectrophotometric challenge assay technique. Cell-free supernatants were prepared from filtered bacterial cultures and added to 96-well plates in replicated wells containing Bd zoospores suspended in tryptone-gelatin hydrolysate-lactose (TGhL) broth medium. Plates were then read daily on a spectrophotometer until positive controls reached maximum growth in order to determine growth curves for Bd. We tested the technique by screening skin bacteria from the Australian green-eyed tree frog Litoria serrata. Of bacteria tested, 31% showed some degree of Bd inhibition, while some may have promoted Bd growth, a previously unknown effect. Our cell-free supernatant challenge assay technique is an effective in vitro method for screening bacterial isolates for strong Bd-inhibitory activity. It contributes to the expanding field of bioaugmentation research, which could play a significant role in mitigating the effects of chytridiomycosis on amphibians around the world.","container-title":"Diseases of Aquatic Organisms","DOI":"10.3354/dao02560","ISSN":"0177-5103","issue":"1","journalAbbreviation":"Dis Aquat Organ","language":"eng","page":"77-85","PMID":"23482387","source":"PubMed","title":"Screening bacterial metabolites for inhibitory effects against Batrachochytrium dendrobatidis using a spectrophotometric assay","volume":"103","author":[{"family":"Bell","given":"Sara C."},{"family":"Alford","given":"Ross A."},{"family":"Garland","given":"Stephen"},{"family":"Padilla","given":"Gabriel"},{"family":"Thomas","given":"Annette D."}],"issued":{"date-parts":[["2013",3,13]]}}}],"schema":"https://github.com/citation-style-language/schema/raw/master/csl-citation.json"} </w:instrText>
      </w:r>
      <w:r>
        <w:rPr>
          <w:sz w:val="24"/>
        </w:rPr>
        <w:fldChar w:fldCharType="separate"/>
      </w:r>
      <w:r w:rsidR="000554F4" w:rsidRPr="000554F4">
        <w:rPr>
          <w:sz w:val="24"/>
          <w:vertAlign w:val="superscript"/>
        </w:rPr>
        <w:t>9</w:t>
      </w:r>
      <w:r>
        <w:rPr>
          <w:sz w:val="24"/>
        </w:rPr>
        <w:fldChar w:fldCharType="end"/>
      </w:r>
      <w:r w:rsidRPr="00E64E51">
        <w:rPr>
          <w:sz w:val="24"/>
        </w:rPr>
        <w:t xml:space="preserve">. </w:t>
      </w:r>
    </w:p>
    <w:bookmarkEnd w:id="5"/>
    <w:bookmarkEnd w:id="6"/>
    <w:p w14:paraId="007649C1" w14:textId="17529D8A" w:rsidR="009E3BCB" w:rsidRPr="000E5A23" w:rsidRDefault="00E408A0" w:rsidP="000E5A23">
      <w:pPr>
        <w:tabs>
          <w:tab w:val="clear" w:pos="720"/>
        </w:tabs>
        <w:suppressAutoHyphens w:val="0"/>
        <w:spacing w:line="240" w:lineRule="auto"/>
        <w:ind w:firstLine="0"/>
        <w:rPr>
          <w:sz w:val="24"/>
        </w:rPr>
      </w:pPr>
      <w:r>
        <w:rPr>
          <w:sz w:val="24"/>
        </w:rPr>
        <w:br w:type="page"/>
      </w:r>
    </w:p>
    <w:p w14:paraId="2545567F" w14:textId="569C675A" w:rsidR="00694676" w:rsidRPr="00694676" w:rsidRDefault="00694676" w:rsidP="00694676">
      <w:pPr>
        <w:tabs>
          <w:tab w:val="center" w:pos="4680"/>
        </w:tabs>
        <w:sectPr w:rsidR="00694676" w:rsidRPr="00694676" w:rsidSect="0028287C">
          <w:headerReference w:type="default" r:id="rId11"/>
          <w:type w:val="continuous"/>
          <w:pgSz w:w="12240" w:h="15840" w:code="1"/>
          <w:pgMar w:top="1872" w:right="1440" w:bottom="1440" w:left="2160" w:header="1440" w:footer="1008" w:gutter="0"/>
          <w:lnNumType w:countBy="1" w:restart="continuous"/>
          <w:pgNumType w:start="1"/>
          <w:cols w:space="720"/>
          <w:titlePg/>
          <w:docGrid w:linePitch="360"/>
        </w:sectPr>
      </w:pPr>
    </w:p>
    <w:tbl>
      <w:tblPr>
        <w:tblStyle w:val="TablePsuThesi"/>
        <w:tblpPr w:leftFromText="288" w:rightFromText="288" w:bottomFromText="288" w:vertAnchor="text" w:horzAnchor="margin" w:tblpXSpec="center" w:tblpY="88"/>
        <w:tblOverlap w:val="never"/>
        <w:tblW w:w="10560" w:type="dxa"/>
        <w:tblCellMar>
          <w:left w:w="0" w:type="dxa"/>
          <w:right w:w="0" w:type="dxa"/>
        </w:tblCellMar>
        <w:tblLook w:val="0000" w:firstRow="0" w:lastRow="0" w:firstColumn="0" w:lastColumn="0" w:noHBand="0" w:noVBand="0"/>
      </w:tblPr>
      <w:tblGrid>
        <w:gridCol w:w="10560"/>
      </w:tblGrid>
      <w:tr w:rsidR="00F71BED" w:rsidRPr="00EF09C9" w14:paraId="07EF4758" w14:textId="77777777" w:rsidTr="00814636">
        <w:trPr>
          <w:trHeight w:val="4760"/>
        </w:trPr>
        <w:tc>
          <w:tcPr>
            <w:tcW w:w="10560" w:type="dxa"/>
            <w:vAlign w:val="center"/>
          </w:tcPr>
          <w:p w14:paraId="625FC80B" w14:textId="77777777" w:rsidR="007F6A70" w:rsidRDefault="00F71BED" w:rsidP="007F6A70">
            <w:pPr>
              <w:pStyle w:val="NormalSingle"/>
              <w:keepNext/>
              <w:jc w:val="center"/>
            </w:pPr>
            <w:r>
              <w:rPr>
                <w:noProof/>
              </w:rPr>
              <w:lastRenderedPageBreak/>
              <w:drawing>
                <wp:inline distT="0" distB="0" distL="0" distR="0" wp14:anchorId="1FF5E07E" wp14:editId="7804B0E3">
                  <wp:extent cx="6589724" cy="2778369"/>
                  <wp:effectExtent l="0" t="0" r="1905" b="3175"/>
                  <wp:docPr id="5261109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110932" name="Picture 4"/>
                          <pic:cNvPicPr/>
                        </pic:nvPicPr>
                        <pic:blipFill>
                          <a:blip r:embed="rId12"/>
                          <a:stretch>
                            <a:fillRect/>
                          </a:stretch>
                        </pic:blipFill>
                        <pic:spPr>
                          <a:xfrm>
                            <a:off x="0" y="0"/>
                            <a:ext cx="6615014" cy="2789032"/>
                          </a:xfrm>
                          <a:prstGeom prst="rect">
                            <a:avLst/>
                          </a:prstGeom>
                        </pic:spPr>
                      </pic:pic>
                    </a:graphicData>
                  </a:graphic>
                </wp:inline>
              </w:drawing>
            </w:r>
          </w:p>
          <w:p w14:paraId="00F1259B" w14:textId="20860922" w:rsidR="00F71BED" w:rsidRDefault="007F6A70" w:rsidP="00862896">
            <w:pPr>
              <w:pStyle w:val="Caption"/>
              <w:rPr>
                <w:i w:val="0"/>
                <w:iCs w:val="0"/>
                <w:color w:val="000000" w:themeColor="text1"/>
              </w:rPr>
            </w:pPr>
            <w:bookmarkStart w:id="8" w:name="_Toc203387495"/>
            <w:r w:rsidRPr="001D42AA">
              <w:rPr>
                <w:b/>
                <w:bCs/>
                <w:i w:val="0"/>
                <w:iCs w:val="0"/>
                <w:color w:val="000000" w:themeColor="text1"/>
              </w:rPr>
              <w:t>Figure S</w:t>
            </w:r>
            <w:r w:rsidR="00F92AF0">
              <w:rPr>
                <w:b/>
                <w:bCs/>
                <w:i w:val="0"/>
                <w:iCs w:val="0"/>
                <w:color w:val="000000" w:themeColor="text1"/>
              </w:rPr>
              <w:t>1</w:t>
            </w:r>
            <w:r w:rsidR="00994B2E" w:rsidRPr="001D42AA">
              <w:rPr>
                <w:i w:val="0"/>
                <w:iCs w:val="0"/>
                <w:color w:val="000000" w:themeColor="text1"/>
              </w:rPr>
              <w:t>: Rarefaction</w:t>
            </w:r>
            <w:r w:rsidRPr="001D42AA">
              <w:rPr>
                <w:i w:val="0"/>
                <w:iCs w:val="0"/>
                <w:color w:val="000000" w:themeColor="text1"/>
              </w:rPr>
              <w:t xml:space="preserve"> curves for each sample, plotted in QIIME2.</w:t>
            </w:r>
            <w:bookmarkEnd w:id="8"/>
          </w:p>
          <w:p w14:paraId="7E8FB758" w14:textId="77777777" w:rsidR="000E5A23" w:rsidRDefault="000E5A23" w:rsidP="000E5A23"/>
          <w:p w14:paraId="2B687D8C" w14:textId="77777777" w:rsidR="000E5A23" w:rsidRDefault="000E5A23" w:rsidP="000E5A23">
            <w:pPr>
              <w:pStyle w:val="NormalSingle"/>
              <w:keepNext/>
              <w:jc w:val="center"/>
            </w:pPr>
            <w:r>
              <w:rPr>
                <w:noProof/>
              </w:rPr>
              <w:drawing>
                <wp:inline distT="0" distB="0" distL="0" distR="0" wp14:anchorId="75FB07B1" wp14:editId="28AC6B01">
                  <wp:extent cx="6134658" cy="4153119"/>
                  <wp:effectExtent l="0" t="0" r="0" b="0"/>
                  <wp:docPr id="9515525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552565" name="Picture 4"/>
                          <pic:cNvPicPr/>
                        </pic:nvPicPr>
                        <pic:blipFill>
                          <a:blip r:embed="rId13"/>
                          <a:stretch>
                            <a:fillRect/>
                          </a:stretch>
                        </pic:blipFill>
                        <pic:spPr>
                          <a:xfrm>
                            <a:off x="0" y="0"/>
                            <a:ext cx="6152050" cy="4164893"/>
                          </a:xfrm>
                          <a:prstGeom prst="rect">
                            <a:avLst/>
                          </a:prstGeom>
                        </pic:spPr>
                      </pic:pic>
                    </a:graphicData>
                  </a:graphic>
                </wp:inline>
              </w:drawing>
            </w:r>
          </w:p>
          <w:p w14:paraId="5BE7333E" w14:textId="4CBC67D0" w:rsidR="000E5A23" w:rsidRDefault="000E5A23" w:rsidP="000E5A23">
            <w:pPr>
              <w:rPr>
                <w:color w:val="000000" w:themeColor="text1"/>
                <w:sz w:val="18"/>
                <w:szCs w:val="18"/>
              </w:rPr>
            </w:pPr>
            <w:r w:rsidRPr="000E5A23">
              <w:rPr>
                <w:b/>
                <w:bCs/>
                <w:color w:val="000000" w:themeColor="text1"/>
                <w:sz w:val="18"/>
                <w:szCs w:val="18"/>
              </w:rPr>
              <w:t>Figure S</w:t>
            </w:r>
            <w:r w:rsidR="00F92AF0">
              <w:rPr>
                <w:b/>
                <w:bCs/>
                <w:color w:val="000000" w:themeColor="text1"/>
                <w:sz w:val="18"/>
                <w:szCs w:val="18"/>
              </w:rPr>
              <w:t>2</w:t>
            </w:r>
            <w:r w:rsidRPr="000E5A23">
              <w:rPr>
                <w:color w:val="000000" w:themeColor="text1"/>
                <w:sz w:val="18"/>
                <w:szCs w:val="18"/>
              </w:rPr>
              <w:t>:</w:t>
            </w:r>
            <w:r w:rsidRPr="000E5A23">
              <w:rPr>
                <w:color w:val="000000" w:themeColor="text1"/>
                <w:sz w:val="20"/>
                <w:szCs w:val="21"/>
              </w:rPr>
              <w:t xml:space="preserve">  </w:t>
            </w:r>
            <w:r w:rsidRPr="000E5A23">
              <w:rPr>
                <w:color w:val="000000" w:themeColor="text1"/>
                <w:sz w:val="18"/>
                <w:szCs w:val="18"/>
              </w:rPr>
              <w:t>Representativity of Bd-inhibitory and non-inhibitory isolates across cultured taxa.</w:t>
            </w:r>
          </w:p>
          <w:p w14:paraId="02335F4C" w14:textId="77777777" w:rsidR="000E5A23" w:rsidRPr="000E5A23" w:rsidRDefault="000E5A23" w:rsidP="000E5A23"/>
          <w:p w14:paraId="0DFCB31D" w14:textId="77777777" w:rsidR="000E5A23" w:rsidRDefault="000E5A23" w:rsidP="000E5A23">
            <w:pPr>
              <w:pStyle w:val="NormalSingle"/>
              <w:keepNext/>
              <w:jc w:val="center"/>
            </w:pPr>
            <w:r>
              <w:rPr>
                <w:noProof/>
              </w:rPr>
              <w:drawing>
                <wp:inline distT="0" distB="0" distL="0" distR="0" wp14:anchorId="0EFB1E42" wp14:editId="6382876D">
                  <wp:extent cx="4407214" cy="4164893"/>
                  <wp:effectExtent l="0" t="0" r="0" b="1270"/>
                  <wp:docPr id="2882339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233967" name="Picture 4"/>
                          <pic:cNvPicPr/>
                        </pic:nvPicPr>
                        <pic:blipFill>
                          <a:blip r:embed="rId14"/>
                          <a:stretch>
                            <a:fillRect/>
                          </a:stretch>
                        </pic:blipFill>
                        <pic:spPr>
                          <a:xfrm>
                            <a:off x="0" y="0"/>
                            <a:ext cx="4407214" cy="4164893"/>
                          </a:xfrm>
                          <a:prstGeom prst="rect">
                            <a:avLst/>
                          </a:prstGeom>
                        </pic:spPr>
                      </pic:pic>
                    </a:graphicData>
                  </a:graphic>
                </wp:inline>
              </w:drawing>
            </w:r>
          </w:p>
          <w:p w14:paraId="592B5E68" w14:textId="1E6B3836" w:rsidR="000E5A23" w:rsidRPr="000E5A23" w:rsidRDefault="000E5A23" w:rsidP="000E5A23">
            <w:pPr>
              <w:rPr>
                <w:color w:val="000000" w:themeColor="text1"/>
                <w:sz w:val="18"/>
                <w:szCs w:val="18"/>
              </w:rPr>
            </w:pPr>
            <w:r w:rsidRPr="000E5A23">
              <w:rPr>
                <w:b/>
                <w:bCs/>
                <w:color w:val="000000" w:themeColor="text1"/>
                <w:sz w:val="18"/>
                <w:szCs w:val="18"/>
              </w:rPr>
              <w:t>Figure S</w:t>
            </w:r>
            <w:r w:rsidR="00F92AF0">
              <w:rPr>
                <w:b/>
                <w:bCs/>
                <w:color w:val="000000" w:themeColor="text1"/>
                <w:sz w:val="18"/>
                <w:szCs w:val="18"/>
              </w:rPr>
              <w:t>3</w:t>
            </w:r>
            <w:r w:rsidRPr="000E5A23">
              <w:rPr>
                <w:color w:val="000000" w:themeColor="text1"/>
                <w:sz w:val="18"/>
                <w:szCs w:val="18"/>
              </w:rPr>
              <w:t>:</w:t>
            </w:r>
            <w:r w:rsidRPr="000E5A23">
              <w:rPr>
                <w:color w:val="000000" w:themeColor="text1"/>
                <w:sz w:val="20"/>
                <w:szCs w:val="21"/>
              </w:rPr>
              <w:t xml:space="preserve"> </w:t>
            </w:r>
            <w:r w:rsidRPr="000E5A23">
              <w:rPr>
                <w:color w:val="000000" w:themeColor="text1"/>
                <w:sz w:val="18"/>
                <w:szCs w:val="18"/>
              </w:rPr>
              <w:t xml:space="preserve">Predicted probability of </w:t>
            </w:r>
            <w:r w:rsidRPr="000E5A23">
              <w:rPr>
                <w:i/>
                <w:iCs/>
                <w:color w:val="000000" w:themeColor="text1"/>
                <w:sz w:val="18"/>
                <w:szCs w:val="18"/>
              </w:rPr>
              <w:t>Batrachochytrium dendrobatidis</w:t>
            </w:r>
            <w:r w:rsidRPr="000E5A23">
              <w:rPr>
                <w:color w:val="000000" w:themeColor="text1"/>
                <w:sz w:val="18"/>
                <w:szCs w:val="18"/>
              </w:rPr>
              <w:t xml:space="preserve"> (</w:t>
            </w:r>
            <w:r w:rsidRPr="000E5A23">
              <w:rPr>
                <w:i/>
                <w:iCs/>
                <w:color w:val="000000" w:themeColor="text1"/>
                <w:sz w:val="18"/>
                <w:szCs w:val="18"/>
              </w:rPr>
              <w:t>Bd</w:t>
            </w:r>
            <w:r w:rsidRPr="000E5A23">
              <w:rPr>
                <w:color w:val="000000" w:themeColor="text1"/>
                <w:sz w:val="18"/>
                <w:szCs w:val="18"/>
              </w:rPr>
              <w:t>) inhibition by bacterial genera isolated from</w:t>
            </w:r>
          </w:p>
          <w:p w14:paraId="6FD193BF" w14:textId="34B0E8E5" w:rsidR="000E5A23" w:rsidRPr="000E5A23" w:rsidRDefault="000E5A23" w:rsidP="000E5A23">
            <w:pPr>
              <w:rPr>
                <w:color w:val="000000" w:themeColor="text1"/>
                <w:sz w:val="18"/>
                <w:szCs w:val="18"/>
              </w:rPr>
            </w:pPr>
            <w:r w:rsidRPr="000E5A23">
              <w:rPr>
                <w:color w:val="000000" w:themeColor="text1"/>
                <w:sz w:val="18"/>
                <w:szCs w:val="18"/>
              </w:rPr>
              <w:t xml:space="preserve">frog skin. Genera with fewer than 10 isolates were grouped as </w:t>
            </w:r>
            <w:r>
              <w:rPr>
                <w:color w:val="000000" w:themeColor="text1"/>
                <w:sz w:val="18"/>
                <w:szCs w:val="18"/>
              </w:rPr>
              <w:t>Other</w:t>
            </w:r>
            <w:r w:rsidRPr="000E5A23">
              <w:rPr>
                <w:color w:val="000000" w:themeColor="text1"/>
                <w:sz w:val="18"/>
                <w:szCs w:val="18"/>
              </w:rPr>
              <w:t>; Probabilities are from a logistic regression</w:t>
            </w:r>
          </w:p>
          <w:p w14:paraId="3270084C" w14:textId="393BC188" w:rsidR="000E5A23" w:rsidRDefault="000E5A23" w:rsidP="000E5A23">
            <w:pPr>
              <w:rPr>
                <w:color w:val="000000" w:themeColor="text1"/>
                <w:sz w:val="18"/>
                <w:szCs w:val="18"/>
              </w:rPr>
            </w:pPr>
            <w:r w:rsidRPr="000E5A23">
              <w:rPr>
                <w:color w:val="000000" w:themeColor="text1"/>
                <w:sz w:val="18"/>
                <w:szCs w:val="18"/>
              </w:rPr>
              <w:t xml:space="preserve">model. Significant genera (e.g., </w:t>
            </w:r>
            <w:r w:rsidRPr="000E5A23">
              <w:rPr>
                <w:i/>
                <w:iCs/>
                <w:color w:val="000000" w:themeColor="text1"/>
                <w:sz w:val="18"/>
                <w:szCs w:val="18"/>
              </w:rPr>
              <w:t>Stenotrophomonas</w:t>
            </w:r>
            <w:r w:rsidRPr="000E5A23">
              <w:rPr>
                <w:color w:val="000000" w:themeColor="text1"/>
                <w:sz w:val="18"/>
                <w:szCs w:val="18"/>
              </w:rPr>
              <w:t xml:space="preserve">) show higher </w:t>
            </w:r>
            <w:r w:rsidRPr="000E5A23">
              <w:rPr>
                <w:i/>
                <w:iCs/>
                <w:color w:val="000000" w:themeColor="text1"/>
                <w:sz w:val="18"/>
                <w:szCs w:val="18"/>
              </w:rPr>
              <w:t>Bd</w:t>
            </w:r>
            <w:r w:rsidRPr="000E5A23">
              <w:rPr>
                <w:color w:val="000000" w:themeColor="text1"/>
                <w:sz w:val="18"/>
                <w:szCs w:val="18"/>
              </w:rPr>
              <w:t>-inhibitory potential (p</w:t>
            </w:r>
            <w:r>
              <w:rPr>
                <w:color w:val="000000" w:themeColor="text1"/>
                <w:sz w:val="18"/>
                <w:szCs w:val="18"/>
              </w:rPr>
              <w:t xml:space="preserve"> &lt;</w:t>
            </w:r>
            <w:r w:rsidRPr="000E5A23">
              <w:rPr>
                <w:color w:val="000000" w:themeColor="text1"/>
                <w:sz w:val="18"/>
                <w:szCs w:val="18"/>
              </w:rPr>
              <w:t xml:space="preserve"> 0.05).</w:t>
            </w:r>
          </w:p>
          <w:p w14:paraId="29F0DA84" w14:textId="77777777" w:rsidR="000E5A23" w:rsidRDefault="000E5A23" w:rsidP="000E5A23"/>
          <w:p w14:paraId="5DE3D1AA" w14:textId="7B613C1A" w:rsidR="000E5A23" w:rsidRPr="000E5A23" w:rsidRDefault="000E5A23" w:rsidP="00F92AF0">
            <w:pPr>
              <w:ind w:firstLine="0"/>
              <w:jc w:val="both"/>
            </w:pPr>
          </w:p>
        </w:tc>
      </w:tr>
    </w:tbl>
    <w:p w14:paraId="57B7C648" w14:textId="77777777" w:rsidR="000E5A23" w:rsidRDefault="000E5A23">
      <w:r>
        <w:br w:type="page"/>
      </w:r>
    </w:p>
    <w:tbl>
      <w:tblPr>
        <w:tblStyle w:val="TablePsuThesi"/>
        <w:tblpPr w:leftFromText="288" w:rightFromText="288" w:bottomFromText="288" w:vertAnchor="text" w:horzAnchor="margin" w:tblpXSpec="center" w:tblpY="88"/>
        <w:tblOverlap w:val="never"/>
        <w:tblW w:w="10560" w:type="dxa"/>
        <w:tblCellMar>
          <w:left w:w="0" w:type="dxa"/>
          <w:right w:w="0" w:type="dxa"/>
        </w:tblCellMar>
        <w:tblLook w:val="0000" w:firstRow="0" w:lastRow="0" w:firstColumn="0" w:lastColumn="0" w:noHBand="0" w:noVBand="0"/>
      </w:tblPr>
      <w:tblGrid>
        <w:gridCol w:w="10560"/>
      </w:tblGrid>
      <w:tr w:rsidR="00F71BED" w:rsidRPr="00D0755F" w14:paraId="69D15D51" w14:textId="77777777" w:rsidTr="00814636">
        <w:trPr>
          <w:trHeight w:val="501"/>
        </w:trPr>
        <w:tc>
          <w:tcPr>
            <w:tcW w:w="10560" w:type="dxa"/>
            <w:vAlign w:val="center"/>
          </w:tcPr>
          <w:p w14:paraId="7B4038D6" w14:textId="2EED1127" w:rsidR="00F71BED" w:rsidRPr="00D0755F" w:rsidRDefault="00F71BED" w:rsidP="002879F9">
            <w:pPr>
              <w:pStyle w:val="FigureCaption"/>
              <w:jc w:val="left"/>
              <w:rPr>
                <w:szCs w:val="22"/>
              </w:rPr>
            </w:pPr>
          </w:p>
        </w:tc>
      </w:tr>
    </w:tbl>
    <w:p w14:paraId="7345EAEF" w14:textId="29A19AFF" w:rsidR="005368F0" w:rsidRDefault="005368F0" w:rsidP="003E323A">
      <w:pPr>
        <w:ind w:firstLine="0"/>
        <w:rPr>
          <w:b/>
          <w:bCs/>
        </w:rPr>
      </w:pPr>
      <w:r>
        <w:rPr>
          <w:b/>
          <w:bCs/>
        </w:rPr>
        <w:t>Supplementary References:</w:t>
      </w:r>
    </w:p>
    <w:p w14:paraId="15999C9A" w14:textId="77777777" w:rsidR="000554F4" w:rsidRPr="000554F4" w:rsidRDefault="005368F0" w:rsidP="000554F4">
      <w:pPr>
        <w:pStyle w:val="Bibliography"/>
      </w:pPr>
      <w:r>
        <w:t xml:space="preserve"> </w:t>
      </w:r>
      <w:r>
        <w:fldChar w:fldCharType="begin"/>
      </w:r>
      <w:r w:rsidR="000554F4">
        <w:instrText xml:space="preserve"> ADDIN ZOTERO_BIBL {"uncited":[],"omitted":[],"custom":[]} CSL_BIBLIOGRAPHY </w:instrText>
      </w:r>
      <w:r>
        <w:fldChar w:fldCharType="separate"/>
      </w:r>
      <w:r w:rsidR="000554F4" w:rsidRPr="000554F4">
        <w:t>1.</w:t>
      </w:r>
      <w:r w:rsidR="000554F4" w:rsidRPr="000554F4">
        <w:tab/>
        <w:t xml:space="preserve">Holden, W. M. </w:t>
      </w:r>
      <w:r w:rsidR="000554F4" w:rsidRPr="000554F4">
        <w:rPr>
          <w:i/>
          <w:iCs/>
        </w:rPr>
        <w:t>et al.</w:t>
      </w:r>
      <w:r w:rsidR="000554F4" w:rsidRPr="000554F4">
        <w:t xml:space="preserve"> Skin bacteria provide early protection for newly metamorphosed southern leopard frogs (</w:t>
      </w:r>
      <w:r w:rsidR="000554F4" w:rsidRPr="000554F4">
        <w:rPr>
          <w:i/>
          <w:iCs/>
        </w:rPr>
        <w:t xml:space="preserve">Rana </w:t>
      </w:r>
      <w:proofErr w:type="spellStart"/>
      <w:r w:rsidR="000554F4" w:rsidRPr="000554F4">
        <w:rPr>
          <w:i/>
          <w:iCs/>
        </w:rPr>
        <w:t>sphenocephala</w:t>
      </w:r>
      <w:proofErr w:type="spellEnd"/>
      <w:r w:rsidR="000554F4" w:rsidRPr="000554F4">
        <w:t xml:space="preserve">) against the frog-killing fungus, </w:t>
      </w:r>
      <w:r w:rsidR="000554F4" w:rsidRPr="000554F4">
        <w:rPr>
          <w:i/>
          <w:iCs/>
        </w:rPr>
        <w:t>Batrachochytrium dendrobatidis</w:t>
      </w:r>
      <w:r w:rsidR="000554F4" w:rsidRPr="000554F4">
        <w:t xml:space="preserve">. </w:t>
      </w:r>
      <w:r w:rsidR="000554F4" w:rsidRPr="000554F4">
        <w:rPr>
          <w:i/>
          <w:iCs/>
        </w:rPr>
        <w:t>Biological Conservation</w:t>
      </w:r>
      <w:r w:rsidR="000554F4" w:rsidRPr="000554F4">
        <w:t xml:space="preserve"> </w:t>
      </w:r>
      <w:r w:rsidR="000554F4" w:rsidRPr="000554F4">
        <w:rPr>
          <w:b/>
          <w:bCs/>
        </w:rPr>
        <w:t>187</w:t>
      </w:r>
      <w:r w:rsidR="000554F4" w:rsidRPr="000554F4">
        <w:t>, 91–102 (2015).</w:t>
      </w:r>
    </w:p>
    <w:p w14:paraId="411979F1" w14:textId="77777777" w:rsidR="000554F4" w:rsidRPr="000554F4" w:rsidRDefault="000554F4" w:rsidP="000554F4">
      <w:pPr>
        <w:pStyle w:val="Bibliography"/>
      </w:pPr>
      <w:r w:rsidRPr="000554F4">
        <w:t>2.</w:t>
      </w:r>
      <w:r w:rsidRPr="000554F4">
        <w:tab/>
      </w:r>
      <w:proofErr w:type="spellStart"/>
      <w:r w:rsidRPr="000554F4">
        <w:t>Muijsers</w:t>
      </w:r>
      <w:proofErr w:type="spellEnd"/>
      <w:r w:rsidRPr="000554F4">
        <w:t xml:space="preserve">, M. </w:t>
      </w:r>
      <w:r w:rsidRPr="000554F4">
        <w:rPr>
          <w:i/>
          <w:iCs/>
        </w:rPr>
        <w:t>et al.</w:t>
      </w:r>
      <w:r w:rsidRPr="000554F4">
        <w:t xml:space="preserve"> Antibacterial therapeutics for the treatment of chytrid infection in amphibians: Columbus’s egg? </w:t>
      </w:r>
      <w:r w:rsidRPr="000554F4">
        <w:rPr>
          <w:i/>
          <w:iCs/>
        </w:rPr>
        <w:t>BMC Vet Res</w:t>
      </w:r>
      <w:r w:rsidRPr="000554F4">
        <w:t xml:space="preserve"> </w:t>
      </w:r>
      <w:r w:rsidRPr="000554F4">
        <w:rPr>
          <w:b/>
          <w:bCs/>
        </w:rPr>
        <w:t>8</w:t>
      </w:r>
      <w:r w:rsidRPr="000554F4">
        <w:t>, 175 (2012).</w:t>
      </w:r>
    </w:p>
    <w:p w14:paraId="0967DCA9" w14:textId="77777777" w:rsidR="000554F4" w:rsidRPr="000554F4" w:rsidRDefault="000554F4" w:rsidP="000554F4">
      <w:pPr>
        <w:pStyle w:val="Bibliography"/>
      </w:pPr>
      <w:r w:rsidRPr="000554F4">
        <w:t>3.</w:t>
      </w:r>
      <w:r w:rsidRPr="000554F4">
        <w:tab/>
        <w:t>Wyngaard, G. &amp; Chinnappa, C. C. General Biology and Cytology of Cyclopoids. https://works.bepress.com/grace_wyngaard/41/ (1982).</w:t>
      </w:r>
    </w:p>
    <w:p w14:paraId="7088E528" w14:textId="77777777" w:rsidR="000554F4" w:rsidRPr="000554F4" w:rsidRDefault="000554F4" w:rsidP="000554F4">
      <w:pPr>
        <w:pStyle w:val="Bibliography"/>
      </w:pPr>
      <w:r w:rsidRPr="000554F4">
        <w:t>4.</w:t>
      </w:r>
      <w:r w:rsidRPr="000554F4">
        <w:tab/>
        <w:t xml:space="preserve">Shen, W., Sipos, B. &amp; Zhao, L. SeqKit2: A Swiss army knife for sequence and alignment processing. </w:t>
      </w:r>
      <w:proofErr w:type="spellStart"/>
      <w:r w:rsidRPr="000554F4">
        <w:rPr>
          <w:i/>
          <w:iCs/>
        </w:rPr>
        <w:t>iMeta</w:t>
      </w:r>
      <w:proofErr w:type="spellEnd"/>
      <w:r w:rsidRPr="000554F4">
        <w:t xml:space="preserve"> </w:t>
      </w:r>
      <w:r w:rsidRPr="000554F4">
        <w:rPr>
          <w:b/>
          <w:bCs/>
        </w:rPr>
        <w:t>3</w:t>
      </w:r>
      <w:r w:rsidRPr="000554F4">
        <w:t>, e191 (2024).</w:t>
      </w:r>
    </w:p>
    <w:p w14:paraId="4ECC1E5A" w14:textId="77777777" w:rsidR="000554F4" w:rsidRPr="000554F4" w:rsidRDefault="000554F4" w:rsidP="000554F4">
      <w:pPr>
        <w:pStyle w:val="Bibliography"/>
      </w:pPr>
      <w:r w:rsidRPr="000554F4">
        <w:t>5.</w:t>
      </w:r>
      <w:r w:rsidRPr="000554F4">
        <w:tab/>
        <w:t xml:space="preserve">Martin, M. </w:t>
      </w:r>
      <w:proofErr w:type="spellStart"/>
      <w:r w:rsidRPr="000554F4">
        <w:t>Cutadapt</w:t>
      </w:r>
      <w:proofErr w:type="spellEnd"/>
      <w:r w:rsidRPr="000554F4">
        <w:t xml:space="preserve"> removes adapter sequences from high-throughput sequencing reads. </w:t>
      </w:r>
      <w:proofErr w:type="spellStart"/>
      <w:r w:rsidRPr="000554F4">
        <w:rPr>
          <w:i/>
          <w:iCs/>
        </w:rPr>
        <w:t>EMBnet</w:t>
      </w:r>
      <w:proofErr w:type="spellEnd"/>
      <w:r w:rsidRPr="000554F4">
        <w:rPr>
          <w:i/>
          <w:iCs/>
        </w:rPr>
        <w:t xml:space="preserve"> j.</w:t>
      </w:r>
      <w:r w:rsidRPr="000554F4">
        <w:t xml:space="preserve"> </w:t>
      </w:r>
      <w:r w:rsidRPr="000554F4">
        <w:rPr>
          <w:b/>
          <w:bCs/>
        </w:rPr>
        <w:t>17</w:t>
      </w:r>
      <w:r w:rsidRPr="000554F4">
        <w:t>, 10 (2011).</w:t>
      </w:r>
    </w:p>
    <w:p w14:paraId="07B52F0D" w14:textId="77777777" w:rsidR="000554F4" w:rsidRPr="000554F4" w:rsidRDefault="000554F4" w:rsidP="000554F4">
      <w:pPr>
        <w:pStyle w:val="Bibliography"/>
      </w:pPr>
      <w:r w:rsidRPr="000554F4">
        <w:t>6.</w:t>
      </w:r>
      <w:r w:rsidRPr="000554F4">
        <w:tab/>
      </w:r>
      <w:proofErr w:type="spellStart"/>
      <w:r w:rsidRPr="000554F4">
        <w:t>Bolyen</w:t>
      </w:r>
      <w:proofErr w:type="spellEnd"/>
      <w:r w:rsidRPr="000554F4">
        <w:t xml:space="preserve">, E. </w:t>
      </w:r>
      <w:r w:rsidRPr="000554F4">
        <w:rPr>
          <w:i/>
          <w:iCs/>
        </w:rPr>
        <w:t>et al.</w:t>
      </w:r>
      <w:r w:rsidRPr="000554F4">
        <w:t xml:space="preserve"> Reproducible, interactive, scalable and extensible microbiome data science using QIIME 2. </w:t>
      </w:r>
      <w:r w:rsidRPr="000554F4">
        <w:rPr>
          <w:i/>
          <w:iCs/>
        </w:rPr>
        <w:t xml:space="preserve">Nat </w:t>
      </w:r>
      <w:proofErr w:type="spellStart"/>
      <w:r w:rsidRPr="000554F4">
        <w:rPr>
          <w:i/>
          <w:iCs/>
        </w:rPr>
        <w:t>Biotechnol</w:t>
      </w:r>
      <w:proofErr w:type="spellEnd"/>
      <w:r w:rsidRPr="000554F4">
        <w:t xml:space="preserve"> </w:t>
      </w:r>
      <w:r w:rsidRPr="000554F4">
        <w:rPr>
          <w:b/>
          <w:bCs/>
        </w:rPr>
        <w:t>37</w:t>
      </w:r>
      <w:r w:rsidRPr="000554F4">
        <w:t>, 852–857 (2019).</w:t>
      </w:r>
    </w:p>
    <w:p w14:paraId="4CDABCB8" w14:textId="77777777" w:rsidR="000554F4" w:rsidRPr="000554F4" w:rsidRDefault="000554F4" w:rsidP="000554F4">
      <w:pPr>
        <w:pStyle w:val="Bibliography"/>
      </w:pPr>
      <w:r w:rsidRPr="000554F4">
        <w:t>7.</w:t>
      </w:r>
      <w:r w:rsidRPr="000554F4">
        <w:tab/>
        <w:t xml:space="preserve">Callahan, B. J. </w:t>
      </w:r>
      <w:r w:rsidRPr="000554F4">
        <w:rPr>
          <w:i/>
          <w:iCs/>
        </w:rPr>
        <w:t>et al.</w:t>
      </w:r>
      <w:r w:rsidRPr="000554F4">
        <w:t xml:space="preserve"> DADA2: High-resolution sample inference from Illumina amplicon data. </w:t>
      </w:r>
      <w:r w:rsidRPr="000554F4">
        <w:rPr>
          <w:i/>
          <w:iCs/>
        </w:rPr>
        <w:t>Nat Methods</w:t>
      </w:r>
      <w:r w:rsidRPr="000554F4">
        <w:t xml:space="preserve"> </w:t>
      </w:r>
      <w:r w:rsidRPr="000554F4">
        <w:rPr>
          <w:b/>
          <w:bCs/>
        </w:rPr>
        <w:t>13</w:t>
      </w:r>
      <w:r w:rsidRPr="000554F4">
        <w:t>, 581–583 (2016).</w:t>
      </w:r>
    </w:p>
    <w:p w14:paraId="7E86C51E" w14:textId="77777777" w:rsidR="000554F4" w:rsidRPr="000554F4" w:rsidRDefault="000554F4" w:rsidP="000554F4">
      <w:pPr>
        <w:pStyle w:val="Bibliography"/>
      </w:pPr>
      <w:r w:rsidRPr="000554F4">
        <w:t>8.</w:t>
      </w:r>
      <w:r w:rsidRPr="000554F4">
        <w:tab/>
        <w:t xml:space="preserve">Salle, A. J. </w:t>
      </w:r>
      <w:r w:rsidRPr="000554F4">
        <w:rPr>
          <w:i/>
          <w:iCs/>
        </w:rPr>
        <w:t xml:space="preserve">Fundamental Principles </w:t>
      </w:r>
      <w:proofErr w:type="gramStart"/>
      <w:r w:rsidRPr="000554F4">
        <w:rPr>
          <w:i/>
          <w:iCs/>
        </w:rPr>
        <w:t>Of</w:t>
      </w:r>
      <w:proofErr w:type="gramEnd"/>
      <w:r w:rsidRPr="000554F4">
        <w:rPr>
          <w:i/>
          <w:iCs/>
        </w:rPr>
        <w:t xml:space="preserve"> Bacteriology</w:t>
      </w:r>
      <w:r w:rsidRPr="000554F4">
        <w:t>. (McGraw Hill Book Company Inc., 1943).</w:t>
      </w:r>
    </w:p>
    <w:p w14:paraId="13450DC8" w14:textId="77777777" w:rsidR="000554F4" w:rsidRPr="000554F4" w:rsidRDefault="000554F4" w:rsidP="000554F4">
      <w:pPr>
        <w:pStyle w:val="Bibliography"/>
      </w:pPr>
      <w:r w:rsidRPr="000554F4">
        <w:t>9.</w:t>
      </w:r>
      <w:r w:rsidRPr="000554F4">
        <w:tab/>
        <w:t xml:space="preserve">Bell, S. C., Alford, R. A., Garland, S., Padilla, G. &amp; Thomas, A. D. Screening bacterial metabolites for inhibitory effects against Batrachochytrium dendrobatidis using a spectrophotometric assay. </w:t>
      </w:r>
      <w:r w:rsidRPr="000554F4">
        <w:rPr>
          <w:i/>
          <w:iCs/>
        </w:rPr>
        <w:t xml:space="preserve">Dis </w:t>
      </w:r>
      <w:proofErr w:type="spellStart"/>
      <w:r w:rsidRPr="000554F4">
        <w:rPr>
          <w:i/>
          <w:iCs/>
        </w:rPr>
        <w:t>Aquat</w:t>
      </w:r>
      <w:proofErr w:type="spellEnd"/>
      <w:r w:rsidRPr="000554F4">
        <w:rPr>
          <w:i/>
          <w:iCs/>
        </w:rPr>
        <w:t xml:space="preserve"> Organ</w:t>
      </w:r>
      <w:r w:rsidRPr="000554F4">
        <w:t xml:space="preserve"> </w:t>
      </w:r>
      <w:r w:rsidRPr="000554F4">
        <w:rPr>
          <w:b/>
          <w:bCs/>
        </w:rPr>
        <w:t>103</w:t>
      </w:r>
      <w:r w:rsidRPr="000554F4">
        <w:t>, 77–85 (2013).</w:t>
      </w:r>
    </w:p>
    <w:p w14:paraId="5B2E6B20" w14:textId="77777777" w:rsidR="000554F4" w:rsidRPr="000554F4" w:rsidRDefault="000554F4" w:rsidP="000554F4">
      <w:pPr>
        <w:pStyle w:val="Bibliography"/>
      </w:pPr>
      <w:r w:rsidRPr="000554F4">
        <w:t>10.</w:t>
      </w:r>
      <w:r w:rsidRPr="000554F4">
        <w:tab/>
      </w:r>
      <w:proofErr w:type="spellStart"/>
      <w:r w:rsidRPr="000554F4">
        <w:t>Prostak</w:t>
      </w:r>
      <w:proofErr w:type="spellEnd"/>
      <w:r w:rsidRPr="000554F4">
        <w:t xml:space="preserve">, S. M. &amp; Fritz-Laylin, L. K. Laboratory Maintenance of the Chytrid Fungus Batrachochytrium dendrobatidis. </w:t>
      </w:r>
      <w:r w:rsidRPr="000554F4">
        <w:rPr>
          <w:i/>
          <w:iCs/>
        </w:rPr>
        <w:t xml:space="preserve">Curr </w:t>
      </w:r>
      <w:proofErr w:type="spellStart"/>
      <w:r w:rsidRPr="000554F4">
        <w:rPr>
          <w:i/>
          <w:iCs/>
        </w:rPr>
        <w:t>Protoc</w:t>
      </w:r>
      <w:proofErr w:type="spellEnd"/>
      <w:r w:rsidRPr="000554F4">
        <w:t xml:space="preserve"> </w:t>
      </w:r>
      <w:r w:rsidRPr="000554F4">
        <w:rPr>
          <w:b/>
          <w:bCs/>
        </w:rPr>
        <w:t>1</w:t>
      </w:r>
      <w:r w:rsidRPr="000554F4">
        <w:t>, e309 (2021).</w:t>
      </w:r>
    </w:p>
    <w:p w14:paraId="1ED090AE" w14:textId="77777777" w:rsidR="000554F4" w:rsidRPr="000554F4" w:rsidRDefault="000554F4" w:rsidP="000554F4">
      <w:pPr>
        <w:pStyle w:val="Bibliography"/>
      </w:pPr>
      <w:r w:rsidRPr="000554F4">
        <w:lastRenderedPageBreak/>
        <w:t>11.</w:t>
      </w:r>
      <w:r w:rsidRPr="000554F4">
        <w:tab/>
        <w:t xml:space="preserve">McMahon, T. A., </w:t>
      </w:r>
      <w:proofErr w:type="spellStart"/>
      <w:r w:rsidRPr="000554F4">
        <w:t>Romansic</w:t>
      </w:r>
      <w:proofErr w:type="spellEnd"/>
      <w:r w:rsidRPr="000554F4">
        <w:t xml:space="preserve">, J. M. &amp; Rohr, J. R. Nonmonotonic and Monotonic Effects of Pesticides on the Pathogenic Fungus Batrachochytrium dendrobatidis in Culture and on Tadpoles. </w:t>
      </w:r>
      <w:r w:rsidRPr="000554F4">
        <w:rPr>
          <w:i/>
          <w:iCs/>
        </w:rPr>
        <w:t>Environ. Sci. Technol.</w:t>
      </w:r>
      <w:r w:rsidRPr="000554F4">
        <w:t xml:space="preserve"> </w:t>
      </w:r>
      <w:r w:rsidRPr="000554F4">
        <w:rPr>
          <w:b/>
          <w:bCs/>
        </w:rPr>
        <w:t>47</w:t>
      </w:r>
      <w:r w:rsidRPr="000554F4">
        <w:t>, 7958–7964 (2013).</w:t>
      </w:r>
    </w:p>
    <w:p w14:paraId="424B25D3" w14:textId="77777777" w:rsidR="000554F4" w:rsidRPr="000554F4" w:rsidRDefault="000554F4" w:rsidP="000554F4">
      <w:pPr>
        <w:pStyle w:val="Bibliography"/>
      </w:pPr>
      <w:r w:rsidRPr="000554F4">
        <w:t>12.</w:t>
      </w:r>
      <w:r w:rsidRPr="000554F4">
        <w:tab/>
      </w:r>
      <w:proofErr w:type="spellStart"/>
      <w:r w:rsidRPr="000554F4">
        <w:t>Siomko</w:t>
      </w:r>
      <w:proofErr w:type="spellEnd"/>
      <w:r w:rsidRPr="000554F4">
        <w:t xml:space="preserve">, S. A. </w:t>
      </w:r>
      <w:r w:rsidRPr="000554F4">
        <w:rPr>
          <w:i/>
          <w:iCs/>
        </w:rPr>
        <w:t>et al.</w:t>
      </w:r>
      <w:r w:rsidRPr="000554F4">
        <w:t xml:space="preserve"> Selection of an anti-pathogen skin microbiome following prophylaxis treatment in an amphibian model system. </w:t>
      </w:r>
      <w:r w:rsidRPr="000554F4">
        <w:rPr>
          <w:i/>
          <w:iCs/>
        </w:rPr>
        <w:t>Philosophical Transactions of the Royal Society B: Biological Sciences</w:t>
      </w:r>
      <w:r w:rsidRPr="000554F4">
        <w:t xml:space="preserve"> </w:t>
      </w:r>
      <w:r w:rsidRPr="000554F4">
        <w:rPr>
          <w:b/>
          <w:bCs/>
        </w:rPr>
        <w:t>378</w:t>
      </w:r>
      <w:r w:rsidRPr="000554F4">
        <w:t>, 20220126 (2023).</w:t>
      </w:r>
    </w:p>
    <w:p w14:paraId="6E5FFF72" w14:textId="58A575FF" w:rsidR="005368F0" w:rsidRPr="001D5DCF" w:rsidRDefault="005368F0" w:rsidP="003E323A">
      <w:pPr>
        <w:ind w:firstLine="0"/>
        <w:rPr>
          <w:b/>
          <w:bCs/>
        </w:rPr>
      </w:pPr>
      <w:r>
        <w:fldChar w:fldCharType="end"/>
      </w:r>
    </w:p>
    <w:sectPr w:rsidR="005368F0" w:rsidRPr="001D5DCF" w:rsidSect="0028287C">
      <w:headerReference w:type="default" r:id="rId15"/>
      <w:pgSz w:w="12240" w:h="15840" w:code="1"/>
      <w:pgMar w:top="1872" w:right="1440" w:bottom="1440" w:left="2160" w:header="1440" w:footer="1008"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1B244" w14:textId="77777777" w:rsidR="00BE55EF" w:rsidRDefault="00BE55EF">
      <w:pPr>
        <w:spacing w:line="240" w:lineRule="auto"/>
      </w:pPr>
      <w:r>
        <w:separator/>
      </w:r>
    </w:p>
  </w:endnote>
  <w:endnote w:type="continuationSeparator" w:id="0">
    <w:p w14:paraId="0F3D4227" w14:textId="77777777" w:rsidR="00BE55EF" w:rsidRDefault="00BE55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9EE7F" w14:textId="77777777" w:rsidR="00BE55EF" w:rsidRDefault="00BE55EF">
      <w:pPr>
        <w:spacing w:line="240" w:lineRule="auto"/>
      </w:pPr>
      <w:r>
        <w:separator/>
      </w:r>
    </w:p>
  </w:footnote>
  <w:footnote w:type="continuationSeparator" w:id="0">
    <w:p w14:paraId="5A29C57D" w14:textId="77777777" w:rsidR="00BE55EF" w:rsidRDefault="00BE55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38683364"/>
      <w:docPartObj>
        <w:docPartGallery w:val="Page Numbers (Top of Page)"/>
        <w:docPartUnique/>
      </w:docPartObj>
    </w:sdtPr>
    <w:sdtContent>
      <w:p w14:paraId="38FF1C76" w14:textId="40DFE641" w:rsidR="001D42AA" w:rsidRDefault="001D42AA" w:rsidP="00AB2EF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6CDBC07" w14:textId="68911989" w:rsidR="009A58BA" w:rsidRDefault="009A58BA" w:rsidP="001D42AA">
    <w:pPr>
      <w:pStyle w:val="Header"/>
      <w:ind w:right="36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0384C" w14:textId="77777777" w:rsidR="00B44392" w:rsidRDefault="00B44392">
    <w:pPr>
      <w:pStyle w:val="Header"/>
      <w:jc w:val="right"/>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C469A3"/>
    <w:multiLevelType w:val="hybridMultilevel"/>
    <w:tmpl w:val="76E25440"/>
    <w:lvl w:ilvl="0" w:tplc="99EEE9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1969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254"/>
    <w:rsid w:val="000040C0"/>
    <w:rsid w:val="00004B41"/>
    <w:rsid w:val="000074E6"/>
    <w:rsid w:val="00007695"/>
    <w:rsid w:val="00007E14"/>
    <w:rsid w:val="00007E68"/>
    <w:rsid w:val="0001164D"/>
    <w:rsid w:val="0001260D"/>
    <w:rsid w:val="00015209"/>
    <w:rsid w:val="0002165E"/>
    <w:rsid w:val="00022705"/>
    <w:rsid w:val="000227D2"/>
    <w:rsid w:val="000359D7"/>
    <w:rsid w:val="00036679"/>
    <w:rsid w:val="000369B2"/>
    <w:rsid w:val="00040C31"/>
    <w:rsid w:val="00041D6E"/>
    <w:rsid w:val="00044B82"/>
    <w:rsid w:val="00050F0E"/>
    <w:rsid w:val="00051439"/>
    <w:rsid w:val="00051BE5"/>
    <w:rsid w:val="000534C6"/>
    <w:rsid w:val="00053611"/>
    <w:rsid w:val="00053B92"/>
    <w:rsid w:val="0005408C"/>
    <w:rsid w:val="000554F4"/>
    <w:rsid w:val="00061CC8"/>
    <w:rsid w:val="000711F8"/>
    <w:rsid w:val="00073E8A"/>
    <w:rsid w:val="000741F4"/>
    <w:rsid w:val="00080C72"/>
    <w:rsid w:val="00081E97"/>
    <w:rsid w:val="000848F7"/>
    <w:rsid w:val="0008669D"/>
    <w:rsid w:val="000A087C"/>
    <w:rsid w:val="000A618B"/>
    <w:rsid w:val="000B03BC"/>
    <w:rsid w:val="000B0E68"/>
    <w:rsid w:val="000B421E"/>
    <w:rsid w:val="000B4684"/>
    <w:rsid w:val="000B55E8"/>
    <w:rsid w:val="000B744A"/>
    <w:rsid w:val="000C4ABD"/>
    <w:rsid w:val="000C79FD"/>
    <w:rsid w:val="000D22F3"/>
    <w:rsid w:val="000D5826"/>
    <w:rsid w:val="000E1795"/>
    <w:rsid w:val="000E5A23"/>
    <w:rsid w:val="000E6A55"/>
    <w:rsid w:val="000E7C0A"/>
    <w:rsid w:val="000F36CA"/>
    <w:rsid w:val="000F3CC0"/>
    <w:rsid w:val="000F52AA"/>
    <w:rsid w:val="000F5E45"/>
    <w:rsid w:val="001015E6"/>
    <w:rsid w:val="00102C11"/>
    <w:rsid w:val="00107045"/>
    <w:rsid w:val="001135DA"/>
    <w:rsid w:val="001137BD"/>
    <w:rsid w:val="00122380"/>
    <w:rsid w:val="0012306D"/>
    <w:rsid w:val="00123B02"/>
    <w:rsid w:val="00123C44"/>
    <w:rsid w:val="00131C8B"/>
    <w:rsid w:val="00132793"/>
    <w:rsid w:val="001328E0"/>
    <w:rsid w:val="001363C9"/>
    <w:rsid w:val="001427E8"/>
    <w:rsid w:val="001442BC"/>
    <w:rsid w:val="001449C2"/>
    <w:rsid w:val="001500BA"/>
    <w:rsid w:val="00151D15"/>
    <w:rsid w:val="00152FE7"/>
    <w:rsid w:val="00157322"/>
    <w:rsid w:val="001618FF"/>
    <w:rsid w:val="00165C79"/>
    <w:rsid w:val="00166FFB"/>
    <w:rsid w:val="001750DC"/>
    <w:rsid w:val="001772E3"/>
    <w:rsid w:val="00183B29"/>
    <w:rsid w:val="001841FA"/>
    <w:rsid w:val="00185AA6"/>
    <w:rsid w:val="00191798"/>
    <w:rsid w:val="0019315C"/>
    <w:rsid w:val="00196365"/>
    <w:rsid w:val="001A09C0"/>
    <w:rsid w:val="001A0B0E"/>
    <w:rsid w:val="001A7F79"/>
    <w:rsid w:val="001C266F"/>
    <w:rsid w:val="001C58BA"/>
    <w:rsid w:val="001D05B6"/>
    <w:rsid w:val="001D20C8"/>
    <w:rsid w:val="001D2796"/>
    <w:rsid w:val="001D3A63"/>
    <w:rsid w:val="001D42AA"/>
    <w:rsid w:val="001D5DCF"/>
    <w:rsid w:val="001E0019"/>
    <w:rsid w:val="001E042F"/>
    <w:rsid w:val="001E0842"/>
    <w:rsid w:val="002039D0"/>
    <w:rsid w:val="0021258B"/>
    <w:rsid w:val="00212C89"/>
    <w:rsid w:val="002147FC"/>
    <w:rsid w:val="00214BAA"/>
    <w:rsid w:val="0021548E"/>
    <w:rsid w:val="00215D64"/>
    <w:rsid w:val="00216406"/>
    <w:rsid w:val="00216DEE"/>
    <w:rsid w:val="00220516"/>
    <w:rsid w:val="002272A2"/>
    <w:rsid w:val="002330DB"/>
    <w:rsid w:val="00241527"/>
    <w:rsid w:val="0024254A"/>
    <w:rsid w:val="0024344A"/>
    <w:rsid w:val="00243FA3"/>
    <w:rsid w:val="00246E96"/>
    <w:rsid w:val="00250C8A"/>
    <w:rsid w:val="00251948"/>
    <w:rsid w:val="00263F22"/>
    <w:rsid w:val="0026501E"/>
    <w:rsid w:val="002676FC"/>
    <w:rsid w:val="002739C6"/>
    <w:rsid w:val="00274F0A"/>
    <w:rsid w:val="00275048"/>
    <w:rsid w:val="00275984"/>
    <w:rsid w:val="0028287C"/>
    <w:rsid w:val="00284448"/>
    <w:rsid w:val="00285395"/>
    <w:rsid w:val="002879F9"/>
    <w:rsid w:val="002922F6"/>
    <w:rsid w:val="00295005"/>
    <w:rsid w:val="002A2379"/>
    <w:rsid w:val="002A28DC"/>
    <w:rsid w:val="002A5C10"/>
    <w:rsid w:val="002B3CFA"/>
    <w:rsid w:val="002B5361"/>
    <w:rsid w:val="002C505F"/>
    <w:rsid w:val="002C5605"/>
    <w:rsid w:val="002C5606"/>
    <w:rsid w:val="002C77AB"/>
    <w:rsid w:val="002C7CD5"/>
    <w:rsid w:val="002D1159"/>
    <w:rsid w:val="002D736F"/>
    <w:rsid w:val="002E00D0"/>
    <w:rsid w:val="002E3278"/>
    <w:rsid w:val="002E340B"/>
    <w:rsid w:val="002E487A"/>
    <w:rsid w:val="002E59D0"/>
    <w:rsid w:val="00302510"/>
    <w:rsid w:val="00315FC6"/>
    <w:rsid w:val="0032057A"/>
    <w:rsid w:val="00323FE1"/>
    <w:rsid w:val="00325754"/>
    <w:rsid w:val="00326D14"/>
    <w:rsid w:val="003324FD"/>
    <w:rsid w:val="00334239"/>
    <w:rsid w:val="0034259B"/>
    <w:rsid w:val="003432A6"/>
    <w:rsid w:val="0034544F"/>
    <w:rsid w:val="0034546A"/>
    <w:rsid w:val="00346B01"/>
    <w:rsid w:val="00347E6C"/>
    <w:rsid w:val="00351ABB"/>
    <w:rsid w:val="00356168"/>
    <w:rsid w:val="003562C6"/>
    <w:rsid w:val="00360B5F"/>
    <w:rsid w:val="003610A3"/>
    <w:rsid w:val="003640B5"/>
    <w:rsid w:val="00380558"/>
    <w:rsid w:val="00381148"/>
    <w:rsid w:val="0038467E"/>
    <w:rsid w:val="00392B32"/>
    <w:rsid w:val="00393236"/>
    <w:rsid w:val="00395B18"/>
    <w:rsid w:val="003A3BCB"/>
    <w:rsid w:val="003A760D"/>
    <w:rsid w:val="003A7EAF"/>
    <w:rsid w:val="003C43EF"/>
    <w:rsid w:val="003C7619"/>
    <w:rsid w:val="003D069D"/>
    <w:rsid w:val="003D1094"/>
    <w:rsid w:val="003D5E58"/>
    <w:rsid w:val="003E323A"/>
    <w:rsid w:val="003E5747"/>
    <w:rsid w:val="003F0B7D"/>
    <w:rsid w:val="003F0F50"/>
    <w:rsid w:val="003F1687"/>
    <w:rsid w:val="003F18E0"/>
    <w:rsid w:val="003F3072"/>
    <w:rsid w:val="003F6D34"/>
    <w:rsid w:val="004002C5"/>
    <w:rsid w:val="00400B0A"/>
    <w:rsid w:val="00402B94"/>
    <w:rsid w:val="00403666"/>
    <w:rsid w:val="0040519A"/>
    <w:rsid w:val="00406460"/>
    <w:rsid w:val="00407558"/>
    <w:rsid w:val="00410F24"/>
    <w:rsid w:val="00421FA7"/>
    <w:rsid w:val="004244BE"/>
    <w:rsid w:val="00425530"/>
    <w:rsid w:val="00433978"/>
    <w:rsid w:val="004434DE"/>
    <w:rsid w:val="00470B46"/>
    <w:rsid w:val="00472F79"/>
    <w:rsid w:val="004776FB"/>
    <w:rsid w:val="004835EB"/>
    <w:rsid w:val="0048410F"/>
    <w:rsid w:val="004A12CE"/>
    <w:rsid w:val="004A7CEC"/>
    <w:rsid w:val="004B16C8"/>
    <w:rsid w:val="004B790D"/>
    <w:rsid w:val="004C4355"/>
    <w:rsid w:val="004D67AA"/>
    <w:rsid w:val="004D769D"/>
    <w:rsid w:val="004E6033"/>
    <w:rsid w:val="00507541"/>
    <w:rsid w:val="005120DA"/>
    <w:rsid w:val="00515DDB"/>
    <w:rsid w:val="005266F1"/>
    <w:rsid w:val="00527B56"/>
    <w:rsid w:val="00527ED5"/>
    <w:rsid w:val="00530A74"/>
    <w:rsid w:val="00531C4F"/>
    <w:rsid w:val="00533815"/>
    <w:rsid w:val="005345B1"/>
    <w:rsid w:val="00534FE8"/>
    <w:rsid w:val="00535D7D"/>
    <w:rsid w:val="005367AF"/>
    <w:rsid w:val="005368F0"/>
    <w:rsid w:val="005378C0"/>
    <w:rsid w:val="005419C2"/>
    <w:rsid w:val="005456E5"/>
    <w:rsid w:val="0054648E"/>
    <w:rsid w:val="00547F68"/>
    <w:rsid w:val="00550080"/>
    <w:rsid w:val="00553F0F"/>
    <w:rsid w:val="00554E96"/>
    <w:rsid w:val="0056754A"/>
    <w:rsid w:val="00574809"/>
    <w:rsid w:val="00576E72"/>
    <w:rsid w:val="00585BCD"/>
    <w:rsid w:val="0058652B"/>
    <w:rsid w:val="00590CED"/>
    <w:rsid w:val="0059136B"/>
    <w:rsid w:val="005916AD"/>
    <w:rsid w:val="005A0E3E"/>
    <w:rsid w:val="005A36A8"/>
    <w:rsid w:val="005A66A1"/>
    <w:rsid w:val="005A792B"/>
    <w:rsid w:val="005A7F7C"/>
    <w:rsid w:val="005B0927"/>
    <w:rsid w:val="005B2921"/>
    <w:rsid w:val="005B3E39"/>
    <w:rsid w:val="005B4B45"/>
    <w:rsid w:val="005B6259"/>
    <w:rsid w:val="005C075B"/>
    <w:rsid w:val="005C0D02"/>
    <w:rsid w:val="005C41FE"/>
    <w:rsid w:val="005C6E11"/>
    <w:rsid w:val="005D3B30"/>
    <w:rsid w:val="005E1DCE"/>
    <w:rsid w:val="005E31AD"/>
    <w:rsid w:val="005E37C3"/>
    <w:rsid w:val="005E44AE"/>
    <w:rsid w:val="005E4F2A"/>
    <w:rsid w:val="005F16B2"/>
    <w:rsid w:val="005F5E94"/>
    <w:rsid w:val="00601284"/>
    <w:rsid w:val="00604844"/>
    <w:rsid w:val="0060487C"/>
    <w:rsid w:val="006072F0"/>
    <w:rsid w:val="00607E32"/>
    <w:rsid w:val="0061044D"/>
    <w:rsid w:val="00622647"/>
    <w:rsid w:val="00623E87"/>
    <w:rsid w:val="00626C4F"/>
    <w:rsid w:val="00626ED0"/>
    <w:rsid w:val="00631B5E"/>
    <w:rsid w:val="006322B6"/>
    <w:rsid w:val="00633F92"/>
    <w:rsid w:val="00635546"/>
    <w:rsid w:val="00636C56"/>
    <w:rsid w:val="006437B2"/>
    <w:rsid w:val="00644155"/>
    <w:rsid w:val="006456A3"/>
    <w:rsid w:val="00652BBE"/>
    <w:rsid w:val="00654D49"/>
    <w:rsid w:val="00655985"/>
    <w:rsid w:val="006578BE"/>
    <w:rsid w:val="00670F34"/>
    <w:rsid w:val="006711BD"/>
    <w:rsid w:val="006727CE"/>
    <w:rsid w:val="00676673"/>
    <w:rsid w:val="00676BFB"/>
    <w:rsid w:val="00686514"/>
    <w:rsid w:val="00686EB8"/>
    <w:rsid w:val="00691E01"/>
    <w:rsid w:val="00693B57"/>
    <w:rsid w:val="00694676"/>
    <w:rsid w:val="006A1337"/>
    <w:rsid w:val="006A1DF1"/>
    <w:rsid w:val="006A296B"/>
    <w:rsid w:val="006A7169"/>
    <w:rsid w:val="006B2EFE"/>
    <w:rsid w:val="006B7889"/>
    <w:rsid w:val="006C1977"/>
    <w:rsid w:val="006C1A65"/>
    <w:rsid w:val="006C35A4"/>
    <w:rsid w:val="006C64BC"/>
    <w:rsid w:val="006C76B0"/>
    <w:rsid w:val="006D0825"/>
    <w:rsid w:val="006D37F3"/>
    <w:rsid w:val="006D3D31"/>
    <w:rsid w:val="006D62A0"/>
    <w:rsid w:val="006D65FC"/>
    <w:rsid w:val="006D67E7"/>
    <w:rsid w:val="006D7FD0"/>
    <w:rsid w:val="006E4941"/>
    <w:rsid w:val="006E7CCA"/>
    <w:rsid w:val="006F17AA"/>
    <w:rsid w:val="006F5562"/>
    <w:rsid w:val="006F6C63"/>
    <w:rsid w:val="00701CBC"/>
    <w:rsid w:val="00706279"/>
    <w:rsid w:val="00710E7F"/>
    <w:rsid w:val="00711D4F"/>
    <w:rsid w:val="007129B9"/>
    <w:rsid w:val="007158C6"/>
    <w:rsid w:val="00724924"/>
    <w:rsid w:val="0072536B"/>
    <w:rsid w:val="0072599B"/>
    <w:rsid w:val="00726029"/>
    <w:rsid w:val="0072790B"/>
    <w:rsid w:val="007324AD"/>
    <w:rsid w:val="00744565"/>
    <w:rsid w:val="00750765"/>
    <w:rsid w:val="0075244E"/>
    <w:rsid w:val="00752582"/>
    <w:rsid w:val="00755D0F"/>
    <w:rsid w:val="00756A5F"/>
    <w:rsid w:val="00760E2E"/>
    <w:rsid w:val="007629D9"/>
    <w:rsid w:val="00766DCB"/>
    <w:rsid w:val="007677BC"/>
    <w:rsid w:val="00780136"/>
    <w:rsid w:val="007807B2"/>
    <w:rsid w:val="00783505"/>
    <w:rsid w:val="00786DC6"/>
    <w:rsid w:val="0079211A"/>
    <w:rsid w:val="0079409C"/>
    <w:rsid w:val="00794FF8"/>
    <w:rsid w:val="007B0427"/>
    <w:rsid w:val="007B5982"/>
    <w:rsid w:val="007B5CE8"/>
    <w:rsid w:val="007C2D28"/>
    <w:rsid w:val="007D4B00"/>
    <w:rsid w:val="007E2497"/>
    <w:rsid w:val="007E7214"/>
    <w:rsid w:val="007F3629"/>
    <w:rsid w:val="007F6A70"/>
    <w:rsid w:val="007F7938"/>
    <w:rsid w:val="00801261"/>
    <w:rsid w:val="008018D5"/>
    <w:rsid w:val="0080651B"/>
    <w:rsid w:val="00817946"/>
    <w:rsid w:val="008202AD"/>
    <w:rsid w:val="00823A9C"/>
    <w:rsid w:val="00825CF2"/>
    <w:rsid w:val="00835C6D"/>
    <w:rsid w:val="008360FC"/>
    <w:rsid w:val="00837372"/>
    <w:rsid w:val="008407CA"/>
    <w:rsid w:val="00840CD3"/>
    <w:rsid w:val="008429E3"/>
    <w:rsid w:val="00852F20"/>
    <w:rsid w:val="00854895"/>
    <w:rsid w:val="00862896"/>
    <w:rsid w:val="00865ABE"/>
    <w:rsid w:val="00867FD4"/>
    <w:rsid w:val="008766B2"/>
    <w:rsid w:val="0088498C"/>
    <w:rsid w:val="00885BAD"/>
    <w:rsid w:val="00885EE8"/>
    <w:rsid w:val="008921F5"/>
    <w:rsid w:val="008923C9"/>
    <w:rsid w:val="00895DEB"/>
    <w:rsid w:val="008A04C4"/>
    <w:rsid w:val="008A30CB"/>
    <w:rsid w:val="008A4F61"/>
    <w:rsid w:val="008B0F36"/>
    <w:rsid w:val="008B3CF8"/>
    <w:rsid w:val="008B469C"/>
    <w:rsid w:val="008B5254"/>
    <w:rsid w:val="008C1C60"/>
    <w:rsid w:val="008C584D"/>
    <w:rsid w:val="008D54FD"/>
    <w:rsid w:val="008D6D5C"/>
    <w:rsid w:val="008E3C68"/>
    <w:rsid w:val="008E6447"/>
    <w:rsid w:val="008F1B33"/>
    <w:rsid w:val="008F2676"/>
    <w:rsid w:val="008F2776"/>
    <w:rsid w:val="008F7897"/>
    <w:rsid w:val="008F790D"/>
    <w:rsid w:val="00900AC4"/>
    <w:rsid w:val="00902F1F"/>
    <w:rsid w:val="00910F81"/>
    <w:rsid w:val="009121D3"/>
    <w:rsid w:val="0092062C"/>
    <w:rsid w:val="0093091B"/>
    <w:rsid w:val="00933646"/>
    <w:rsid w:val="009349C4"/>
    <w:rsid w:val="00935F60"/>
    <w:rsid w:val="00936289"/>
    <w:rsid w:val="009371AB"/>
    <w:rsid w:val="0094078D"/>
    <w:rsid w:val="009426B2"/>
    <w:rsid w:val="00942B8F"/>
    <w:rsid w:val="0094371D"/>
    <w:rsid w:val="00944FFE"/>
    <w:rsid w:val="00955897"/>
    <w:rsid w:val="00955C13"/>
    <w:rsid w:val="0096111E"/>
    <w:rsid w:val="0096113F"/>
    <w:rsid w:val="00966376"/>
    <w:rsid w:val="0097057A"/>
    <w:rsid w:val="0097084F"/>
    <w:rsid w:val="009718DF"/>
    <w:rsid w:val="00973704"/>
    <w:rsid w:val="00974A30"/>
    <w:rsid w:val="00977ED1"/>
    <w:rsid w:val="009878DC"/>
    <w:rsid w:val="00993F83"/>
    <w:rsid w:val="00994B2E"/>
    <w:rsid w:val="009A2258"/>
    <w:rsid w:val="009A58BA"/>
    <w:rsid w:val="009A7A0A"/>
    <w:rsid w:val="009B390D"/>
    <w:rsid w:val="009B7D54"/>
    <w:rsid w:val="009C11D6"/>
    <w:rsid w:val="009D1945"/>
    <w:rsid w:val="009D6C15"/>
    <w:rsid w:val="009D74F4"/>
    <w:rsid w:val="009E23AA"/>
    <w:rsid w:val="009E2FC9"/>
    <w:rsid w:val="009E3940"/>
    <w:rsid w:val="009E3BCB"/>
    <w:rsid w:val="009F6967"/>
    <w:rsid w:val="009F7684"/>
    <w:rsid w:val="00A01779"/>
    <w:rsid w:val="00A10491"/>
    <w:rsid w:val="00A20F41"/>
    <w:rsid w:val="00A21C41"/>
    <w:rsid w:val="00A321AC"/>
    <w:rsid w:val="00A32572"/>
    <w:rsid w:val="00A34951"/>
    <w:rsid w:val="00A37905"/>
    <w:rsid w:val="00A462C8"/>
    <w:rsid w:val="00A51931"/>
    <w:rsid w:val="00A569D7"/>
    <w:rsid w:val="00A6267E"/>
    <w:rsid w:val="00A71D45"/>
    <w:rsid w:val="00A82BCD"/>
    <w:rsid w:val="00A83185"/>
    <w:rsid w:val="00A86D41"/>
    <w:rsid w:val="00A92E7B"/>
    <w:rsid w:val="00A9682A"/>
    <w:rsid w:val="00A97E0B"/>
    <w:rsid w:val="00AA1F50"/>
    <w:rsid w:val="00AB3DD4"/>
    <w:rsid w:val="00AB76E2"/>
    <w:rsid w:val="00AC04C3"/>
    <w:rsid w:val="00AC23D4"/>
    <w:rsid w:val="00AC349D"/>
    <w:rsid w:val="00AC4690"/>
    <w:rsid w:val="00AE345E"/>
    <w:rsid w:val="00AE5CAE"/>
    <w:rsid w:val="00AF4F18"/>
    <w:rsid w:val="00B05524"/>
    <w:rsid w:val="00B0638C"/>
    <w:rsid w:val="00B07BE7"/>
    <w:rsid w:val="00B1763D"/>
    <w:rsid w:val="00B25B0E"/>
    <w:rsid w:val="00B26BF7"/>
    <w:rsid w:val="00B26FC2"/>
    <w:rsid w:val="00B27D27"/>
    <w:rsid w:val="00B31C70"/>
    <w:rsid w:val="00B33BB8"/>
    <w:rsid w:val="00B35662"/>
    <w:rsid w:val="00B375CA"/>
    <w:rsid w:val="00B37FD7"/>
    <w:rsid w:val="00B4238E"/>
    <w:rsid w:val="00B440A0"/>
    <w:rsid w:val="00B44392"/>
    <w:rsid w:val="00B501DD"/>
    <w:rsid w:val="00B62034"/>
    <w:rsid w:val="00B640B7"/>
    <w:rsid w:val="00B67657"/>
    <w:rsid w:val="00B70CF2"/>
    <w:rsid w:val="00B7337C"/>
    <w:rsid w:val="00B739BC"/>
    <w:rsid w:val="00B773D8"/>
    <w:rsid w:val="00B82D72"/>
    <w:rsid w:val="00B86D88"/>
    <w:rsid w:val="00B87786"/>
    <w:rsid w:val="00B87F52"/>
    <w:rsid w:val="00B907CD"/>
    <w:rsid w:val="00B94254"/>
    <w:rsid w:val="00B96CE5"/>
    <w:rsid w:val="00BB295A"/>
    <w:rsid w:val="00BB71A4"/>
    <w:rsid w:val="00BB7354"/>
    <w:rsid w:val="00BC5640"/>
    <w:rsid w:val="00BD0ABD"/>
    <w:rsid w:val="00BD1ABB"/>
    <w:rsid w:val="00BD4D02"/>
    <w:rsid w:val="00BD5EEA"/>
    <w:rsid w:val="00BE3C9C"/>
    <w:rsid w:val="00BE3ED0"/>
    <w:rsid w:val="00BE55EF"/>
    <w:rsid w:val="00BE59D1"/>
    <w:rsid w:val="00BE7618"/>
    <w:rsid w:val="00BF0EC5"/>
    <w:rsid w:val="00BF1F42"/>
    <w:rsid w:val="00BF3F8C"/>
    <w:rsid w:val="00C01874"/>
    <w:rsid w:val="00C03312"/>
    <w:rsid w:val="00C1033A"/>
    <w:rsid w:val="00C10366"/>
    <w:rsid w:val="00C113D7"/>
    <w:rsid w:val="00C13318"/>
    <w:rsid w:val="00C1717D"/>
    <w:rsid w:val="00C2243F"/>
    <w:rsid w:val="00C2430D"/>
    <w:rsid w:val="00C24841"/>
    <w:rsid w:val="00C437A7"/>
    <w:rsid w:val="00C47E0C"/>
    <w:rsid w:val="00C62866"/>
    <w:rsid w:val="00C665B7"/>
    <w:rsid w:val="00C6676D"/>
    <w:rsid w:val="00C70767"/>
    <w:rsid w:val="00C74B09"/>
    <w:rsid w:val="00C763FF"/>
    <w:rsid w:val="00C82D0B"/>
    <w:rsid w:val="00C8692B"/>
    <w:rsid w:val="00C90EC9"/>
    <w:rsid w:val="00C93B73"/>
    <w:rsid w:val="00C94356"/>
    <w:rsid w:val="00CA0B1B"/>
    <w:rsid w:val="00CA1EA9"/>
    <w:rsid w:val="00CA1F3B"/>
    <w:rsid w:val="00CA2975"/>
    <w:rsid w:val="00CA4053"/>
    <w:rsid w:val="00CB65F5"/>
    <w:rsid w:val="00CC5C6A"/>
    <w:rsid w:val="00CC6A29"/>
    <w:rsid w:val="00CC7E67"/>
    <w:rsid w:val="00CD09DD"/>
    <w:rsid w:val="00CD4770"/>
    <w:rsid w:val="00CD7C86"/>
    <w:rsid w:val="00CE2E06"/>
    <w:rsid w:val="00CE3E23"/>
    <w:rsid w:val="00CE67DA"/>
    <w:rsid w:val="00CE7E52"/>
    <w:rsid w:val="00D01B74"/>
    <w:rsid w:val="00D02619"/>
    <w:rsid w:val="00D02826"/>
    <w:rsid w:val="00D064F0"/>
    <w:rsid w:val="00D072EA"/>
    <w:rsid w:val="00D0755F"/>
    <w:rsid w:val="00D121C0"/>
    <w:rsid w:val="00D15722"/>
    <w:rsid w:val="00D1784C"/>
    <w:rsid w:val="00D20937"/>
    <w:rsid w:val="00D2525E"/>
    <w:rsid w:val="00D25262"/>
    <w:rsid w:val="00D30F43"/>
    <w:rsid w:val="00D36A48"/>
    <w:rsid w:val="00D3705E"/>
    <w:rsid w:val="00D375FB"/>
    <w:rsid w:val="00D37CC8"/>
    <w:rsid w:val="00D4237E"/>
    <w:rsid w:val="00D45150"/>
    <w:rsid w:val="00D45FA8"/>
    <w:rsid w:val="00D46FDE"/>
    <w:rsid w:val="00D56665"/>
    <w:rsid w:val="00D56BE6"/>
    <w:rsid w:val="00D66FD3"/>
    <w:rsid w:val="00D67DB8"/>
    <w:rsid w:val="00D75628"/>
    <w:rsid w:val="00D82E37"/>
    <w:rsid w:val="00D86147"/>
    <w:rsid w:val="00D913F9"/>
    <w:rsid w:val="00D91C7D"/>
    <w:rsid w:val="00D96800"/>
    <w:rsid w:val="00DA05C5"/>
    <w:rsid w:val="00DB29C3"/>
    <w:rsid w:val="00DC2881"/>
    <w:rsid w:val="00DC6BA6"/>
    <w:rsid w:val="00DC727E"/>
    <w:rsid w:val="00DD0B4C"/>
    <w:rsid w:val="00DD0E10"/>
    <w:rsid w:val="00DD5392"/>
    <w:rsid w:val="00DF6C9E"/>
    <w:rsid w:val="00E03787"/>
    <w:rsid w:val="00E03DEF"/>
    <w:rsid w:val="00E14738"/>
    <w:rsid w:val="00E17CB6"/>
    <w:rsid w:val="00E2243D"/>
    <w:rsid w:val="00E23B62"/>
    <w:rsid w:val="00E30699"/>
    <w:rsid w:val="00E32952"/>
    <w:rsid w:val="00E408A0"/>
    <w:rsid w:val="00E439F2"/>
    <w:rsid w:val="00E50F50"/>
    <w:rsid w:val="00E51959"/>
    <w:rsid w:val="00E55114"/>
    <w:rsid w:val="00E561FD"/>
    <w:rsid w:val="00E5736D"/>
    <w:rsid w:val="00E627C8"/>
    <w:rsid w:val="00E64E51"/>
    <w:rsid w:val="00E71666"/>
    <w:rsid w:val="00E71F81"/>
    <w:rsid w:val="00E74FF5"/>
    <w:rsid w:val="00E7592F"/>
    <w:rsid w:val="00E764F9"/>
    <w:rsid w:val="00E76890"/>
    <w:rsid w:val="00E770AB"/>
    <w:rsid w:val="00E82EAF"/>
    <w:rsid w:val="00E838DA"/>
    <w:rsid w:val="00E84EE0"/>
    <w:rsid w:val="00E9315F"/>
    <w:rsid w:val="00E9653B"/>
    <w:rsid w:val="00EA0856"/>
    <w:rsid w:val="00EA5FF8"/>
    <w:rsid w:val="00EC1AE5"/>
    <w:rsid w:val="00EC2B54"/>
    <w:rsid w:val="00EC5557"/>
    <w:rsid w:val="00ED1350"/>
    <w:rsid w:val="00ED2443"/>
    <w:rsid w:val="00EF1D46"/>
    <w:rsid w:val="00F023F1"/>
    <w:rsid w:val="00F036B0"/>
    <w:rsid w:val="00F0451D"/>
    <w:rsid w:val="00F0572C"/>
    <w:rsid w:val="00F05ACF"/>
    <w:rsid w:val="00F062DC"/>
    <w:rsid w:val="00F07E8E"/>
    <w:rsid w:val="00F121D3"/>
    <w:rsid w:val="00F17321"/>
    <w:rsid w:val="00F202A7"/>
    <w:rsid w:val="00F22433"/>
    <w:rsid w:val="00F22D89"/>
    <w:rsid w:val="00F30C03"/>
    <w:rsid w:val="00F313CB"/>
    <w:rsid w:val="00F35668"/>
    <w:rsid w:val="00F4035F"/>
    <w:rsid w:val="00F44B7B"/>
    <w:rsid w:val="00F46420"/>
    <w:rsid w:val="00F50FAE"/>
    <w:rsid w:val="00F53A77"/>
    <w:rsid w:val="00F54AC7"/>
    <w:rsid w:val="00F568CD"/>
    <w:rsid w:val="00F579D3"/>
    <w:rsid w:val="00F6505C"/>
    <w:rsid w:val="00F67BEA"/>
    <w:rsid w:val="00F707A6"/>
    <w:rsid w:val="00F7126C"/>
    <w:rsid w:val="00F71BED"/>
    <w:rsid w:val="00F7665C"/>
    <w:rsid w:val="00F83188"/>
    <w:rsid w:val="00F8510E"/>
    <w:rsid w:val="00F87A40"/>
    <w:rsid w:val="00F9021B"/>
    <w:rsid w:val="00F92AF0"/>
    <w:rsid w:val="00F961EA"/>
    <w:rsid w:val="00FA1633"/>
    <w:rsid w:val="00FA2334"/>
    <w:rsid w:val="00FA5F42"/>
    <w:rsid w:val="00FA7749"/>
    <w:rsid w:val="00FB3430"/>
    <w:rsid w:val="00FC017F"/>
    <w:rsid w:val="00FC101B"/>
    <w:rsid w:val="00FC1F07"/>
    <w:rsid w:val="00FC2B07"/>
    <w:rsid w:val="00FC2DD4"/>
    <w:rsid w:val="00FE0BBE"/>
    <w:rsid w:val="00FE5B1D"/>
    <w:rsid w:val="00FE67CE"/>
    <w:rsid w:val="00FF38B0"/>
    <w:rsid w:val="00FF4028"/>
    <w:rsid w:val="00FF4730"/>
    <w:rsid w:val="0AD0158E"/>
    <w:rsid w:val="1B1BF603"/>
    <w:rsid w:val="2B5C242B"/>
    <w:rsid w:val="655F5E72"/>
    <w:rsid w:val="799248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EBCA30"/>
  <w15:docId w15:val="{A4A86E78-7901-B249-9959-997E07949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4254"/>
    <w:pPr>
      <w:tabs>
        <w:tab w:val="left" w:pos="720"/>
      </w:tabs>
      <w:suppressAutoHyphens/>
      <w:spacing w:line="480" w:lineRule="auto"/>
      <w:ind w:firstLine="720"/>
    </w:pPr>
    <w:rPr>
      <w:sz w:val="22"/>
      <w:szCs w:val="24"/>
      <w:lang w:eastAsia="en-US"/>
    </w:rPr>
  </w:style>
  <w:style w:type="paragraph" w:styleId="Heading1">
    <w:name w:val="heading 1"/>
    <w:basedOn w:val="Normal"/>
    <w:next w:val="Normal"/>
    <w:qFormat/>
    <w:rsid w:val="00B94254"/>
    <w:pPr>
      <w:keepNext/>
      <w:keepLines/>
      <w:widowControl w:val="0"/>
      <w:spacing w:before="720" w:after="480" w:line="240" w:lineRule="auto"/>
      <w:ind w:firstLine="0"/>
      <w:jc w:val="center"/>
      <w:outlineLvl w:val="0"/>
    </w:pPr>
    <w:rPr>
      <w:b/>
      <w:bCs/>
      <w:sz w:val="26"/>
      <w:szCs w:val="32"/>
    </w:rPr>
  </w:style>
  <w:style w:type="paragraph" w:styleId="Heading2">
    <w:name w:val="heading 2"/>
    <w:basedOn w:val="Normal"/>
    <w:next w:val="Normal"/>
    <w:qFormat/>
    <w:rsid w:val="00B94254"/>
    <w:pPr>
      <w:keepNext/>
      <w:keepLines/>
      <w:widowControl w:val="0"/>
      <w:spacing w:before="720" w:after="480" w:line="240" w:lineRule="auto"/>
      <w:ind w:firstLine="0"/>
      <w:jc w:val="center"/>
      <w:outlineLvl w:val="1"/>
    </w:pPr>
    <w:rPr>
      <w:b/>
      <w:bCs/>
      <w:iCs/>
      <w:szCs w:val="28"/>
    </w:rPr>
  </w:style>
  <w:style w:type="paragraph" w:styleId="Heading3">
    <w:name w:val="heading 3"/>
    <w:basedOn w:val="Normal"/>
    <w:next w:val="Normal"/>
    <w:qFormat/>
    <w:rsid w:val="00B94254"/>
    <w:pPr>
      <w:keepNext/>
      <w:keepLines/>
      <w:widowControl w:val="0"/>
      <w:spacing w:before="720" w:after="480" w:line="240" w:lineRule="auto"/>
      <w:ind w:firstLine="0"/>
      <w:outlineLvl w:val="2"/>
    </w:pPr>
    <w:rPr>
      <w:b/>
      <w:bCs/>
      <w:szCs w:val="26"/>
    </w:rPr>
  </w:style>
  <w:style w:type="paragraph" w:styleId="Heading4">
    <w:name w:val="heading 4"/>
    <w:basedOn w:val="Normal"/>
    <w:next w:val="Normal"/>
    <w:qFormat/>
    <w:rsid w:val="00B94254"/>
    <w:pPr>
      <w:keepNext/>
      <w:keepLines/>
      <w:widowControl w:val="0"/>
      <w:spacing w:before="720" w:after="480" w:line="240" w:lineRule="auto"/>
      <w:ind w:firstLine="0"/>
      <w:outlineLvl w:val="3"/>
    </w:pPr>
    <w:rPr>
      <w:b/>
      <w:bCs/>
      <w:i/>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Single">
    <w:name w:val="NormalSingle"/>
    <w:basedOn w:val="Normal"/>
    <w:rsid w:val="00B94254"/>
    <w:pPr>
      <w:spacing w:line="240" w:lineRule="auto"/>
      <w:ind w:firstLine="0"/>
    </w:pPr>
  </w:style>
  <w:style w:type="character" w:customStyle="1" w:styleId="FigureReference">
    <w:name w:val="FigureReference"/>
    <w:basedOn w:val="DefaultParagraphFont"/>
    <w:rsid w:val="00B94254"/>
    <w:rPr>
      <w:rFonts w:ascii="Times New Roman" w:hAnsi="Times New Roman" w:cs="Times New Roman"/>
      <w:b/>
      <w:color w:val="FF0000"/>
      <w:sz w:val="22"/>
    </w:rPr>
  </w:style>
  <w:style w:type="paragraph" w:styleId="Footer">
    <w:name w:val="footer"/>
    <w:basedOn w:val="Normal"/>
    <w:rsid w:val="00B94254"/>
    <w:pPr>
      <w:tabs>
        <w:tab w:val="center" w:pos="4320"/>
        <w:tab w:val="right" w:pos="8640"/>
      </w:tabs>
      <w:spacing w:line="240" w:lineRule="auto"/>
      <w:ind w:firstLine="0"/>
    </w:pPr>
  </w:style>
  <w:style w:type="paragraph" w:styleId="Header">
    <w:name w:val="header"/>
    <w:basedOn w:val="Normal"/>
    <w:rsid w:val="00B94254"/>
    <w:pPr>
      <w:tabs>
        <w:tab w:val="center" w:pos="4320"/>
        <w:tab w:val="right" w:pos="8640"/>
      </w:tabs>
      <w:spacing w:line="240" w:lineRule="auto"/>
      <w:ind w:firstLine="0"/>
    </w:pPr>
  </w:style>
  <w:style w:type="character" w:styleId="PageNumber">
    <w:name w:val="page number"/>
    <w:basedOn w:val="DefaultParagraphFont"/>
    <w:rsid w:val="00B94254"/>
    <w:rPr>
      <w:rFonts w:ascii="Times New Roman" w:hAnsi="Times New Roman" w:cs="Times New Roman"/>
      <w:sz w:val="22"/>
    </w:rPr>
  </w:style>
  <w:style w:type="paragraph" w:styleId="TableofFigures">
    <w:name w:val="table of figures"/>
    <w:basedOn w:val="Normal"/>
    <w:next w:val="Normal"/>
    <w:uiPriority w:val="99"/>
    <w:rsid w:val="00B94254"/>
    <w:pPr>
      <w:tabs>
        <w:tab w:val="clear" w:pos="720"/>
        <w:tab w:val="left" w:leader="dot" w:pos="8064"/>
        <w:tab w:val="right" w:pos="8640"/>
      </w:tabs>
      <w:spacing w:before="240" w:line="240" w:lineRule="auto"/>
      <w:ind w:left="432" w:right="720" w:hanging="432"/>
    </w:pPr>
  </w:style>
  <w:style w:type="character" w:customStyle="1" w:styleId="TableReference">
    <w:name w:val="TableReference"/>
    <w:basedOn w:val="DefaultParagraphFont"/>
    <w:rsid w:val="00B94254"/>
    <w:rPr>
      <w:rFonts w:ascii="Times New Roman" w:hAnsi="Times New Roman" w:cs="Times New Roman"/>
      <w:b/>
      <w:color w:val="FF0000"/>
      <w:sz w:val="22"/>
    </w:rPr>
  </w:style>
  <w:style w:type="paragraph" w:customStyle="1" w:styleId="ThesisSignature">
    <w:name w:val="Thesis Signature"/>
    <w:basedOn w:val="Normal"/>
    <w:rsid w:val="00B94254"/>
    <w:pPr>
      <w:tabs>
        <w:tab w:val="clear" w:pos="720"/>
      </w:tabs>
      <w:spacing w:line="240" w:lineRule="auto"/>
      <w:ind w:left="432" w:hanging="432"/>
    </w:pPr>
  </w:style>
  <w:style w:type="paragraph" w:customStyle="1" w:styleId="ThesisTitlePage">
    <w:name w:val="Thesis Title Page"/>
    <w:basedOn w:val="Normal"/>
    <w:rsid w:val="00B94254"/>
    <w:pPr>
      <w:spacing w:line="240" w:lineRule="auto"/>
      <w:ind w:firstLine="0"/>
      <w:jc w:val="center"/>
    </w:pPr>
  </w:style>
  <w:style w:type="paragraph" w:styleId="TOC1">
    <w:name w:val="toc 1"/>
    <w:basedOn w:val="Normal"/>
    <w:next w:val="Normal"/>
    <w:uiPriority w:val="39"/>
    <w:rsid w:val="00B94254"/>
    <w:pPr>
      <w:tabs>
        <w:tab w:val="left" w:leader="dot" w:pos="8064"/>
        <w:tab w:val="right" w:pos="8640"/>
      </w:tabs>
      <w:spacing w:before="240" w:after="240" w:line="240" w:lineRule="auto"/>
      <w:ind w:left="432" w:right="720" w:hanging="432"/>
    </w:pPr>
  </w:style>
  <w:style w:type="paragraph" w:styleId="TOC2">
    <w:name w:val="toc 2"/>
    <w:basedOn w:val="Normal"/>
    <w:next w:val="Normal"/>
    <w:uiPriority w:val="39"/>
    <w:rsid w:val="00B94254"/>
    <w:pPr>
      <w:tabs>
        <w:tab w:val="left" w:leader="dot" w:pos="8064"/>
        <w:tab w:val="right" w:pos="8640"/>
      </w:tabs>
      <w:spacing w:line="240" w:lineRule="auto"/>
      <w:ind w:left="864" w:right="720" w:hanging="432"/>
    </w:pPr>
  </w:style>
  <w:style w:type="paragraph" w:styleId="TOC3">
    <w:name w:val="toc 3"/>
    <w:basedOn w:val="Normal"/>
    <w:next w:val="Normal"/>
    <w:uiPriority w:val="39"/>
    <w:rsid w:val="00B94254"/>
    <w:pPr>
      <w:tabs>
        <w:tab w:val="left" w:leader="dot" w:pos="8064"/>
        <w:tab w:val="right" w:pos="8640"/>
      </w:tabs>
      <w:spacing w:line="240" w:lineRule="auto"/>
      <w:ind w:left="1296" w:right="720" w:hanging="432"/>
    </w:pPr>
  </w:style>
  <w:style w:type="paragraph" w:styleId="TOC4">
    <w:name w:val="toc 4"/>
    <w:basedOn w:val="Normal"/>
    <w:next w:val="Normal"/>
    <w:semiHidden/>
    <w:rsid w:val="00B94254"/>
    <w:pPr>
      <w:tabs>
        <w:tab w:val="left" w:leader="dot" w:pos="8064"/>
        <w:tab w:val="right" w:pos="8640"/>
      </w:tabs>
      <w:spacing w:line="240" w:lineRule="auto"/>
      <w:ind w:left="1728" w:right="720" w:hanging="432"/>
    </w:pPr>
  </w:style>
  <w:style w:type="paragraph" w:customStyle="1" w:styleId="LongQuote">
    <w:name w:val="LongQuote"/>
    <w:basedOn w:val="Normal"/>
    <w:next w:val="Normal"/>
    <w:rsid w:val="00B94254"/>
    <w:pPr>
      <w:spacing w:after="240" w:line="240" w:lineRule="auto"/>
      <w:ind w:left="720" w:right="720" w:firstLine="0"/>
    </w:pPr>
  </w:style>
  <w:style w:type="paragraph" w:customStyle="1" w:styleId="FigureCaption">
    <w:name w:val="FigureCaption"/>
    <w:basedOn w:val="Normal"/>
    <w:next w:val="NormalSingle"/>
    <w:rsid w:val="00B94254"/>
    <w:pPr>
      <w:spacing w:before="120" w:after="120" w:line="240" w:lineRule="auto"/>
      <w:ind w:firstLine="0"/>
      <w:jc w:val="both"/>
    </w:pPr>
  </w:style>
  <w:style w:type="paragraph" w:customStyle="1" w:styleId="TableCaption">
    <w:name w:val="TableCaption"/>
    <w:basedOn w:val="Normal"/>
    <w:next w:val="NormalSingle"/>
    <w:rsid w:val="00B94254"/>
    <w:pPr>
      <w:spacing w:before="120" w:after="120" w:line="240" w:lineRule="auto"/>
      <w:ind w:firstLine="0"/>
      <w:jc w:val="both"/>
    </w:pPr>
  </w:style>
  <w:style w:type="paragraph" w:customStyle="1" w:styleId="TitleInTocYes">
    <w:name w:val="TitleInTocYes"/>
    <w:basedOn w:val="Normal"/>
    <w:next w:val="Normal"/>
    <w:rsid w:val="00B94254"/>
    <w:pPr>
      <w:keepNext/>
      <w:keepLines/>
      <w:widowControl w:val="0"/>
      <w:spacing w:after="480" w:line="240" w:lineRule="auto"/>
      <w:ind w:firstLine="0"/>
      <w:jc w:val="center"/>
    </w:pPr>
    <w:rPr>
      <w:b/>
    </w:rPr>
  </w:style>
  <w:style w:type="paragraph" w:customStyle="1" w:styleId="TitleInTocNo">
    <w:name w:val="TitleInTocNo"/>
    <w:basedOn w:val="TitleInTocYes"/>
    <w:next w:val="Normal"/>
    <w:rsid w:val="00B94254"/>
  </w:style>
  <w:style w:type="paragraph" w:customStyle="1" w:styleId="ThesisSignaturePage">
    <w:name w:val="Thesis Signature Page"/>
    <w:basedOn w:val="Normal"/>
    <w:rsid w:val="00B94254"/>
    <w:pPr>
      <w:spacing w:line="240" w:lineRule="auto"/>
      <w:ind w:firstLine="0"/>
    </w:pPr>
  </w:style>
  <w:style w:type="character" w:customStyle="1" w:styleId="FigureNumber">
    <w:name w:val="FigureNumber"/>
    <w:basedOn w:val="DefaultParagraphFont"/>
    <w:rsid w:val="00B94254"/>
    <w:rPr>
      <w:rFonts w:ascii="Times New Roman" w:hAnsi="Times New Roman" w:cs="Times New Roman"/>
      <w:b/>
      <w:color w:val="0000FF"/>
      <w:sz w:val="22"/>
    </w:rPr>
  </w:style>
  <w:style w:type="character" w:customStyle="1" w:styleId="TableNumber">
    <w:name w:val="TableNumber"/>
    <w:basedOn w:val="DefaultParagraphFont"/>
    <w:rsid w:val="00B94254"/>
    <w:rPr>
      <w:rFonts w:ascii="Times New Roman" w:hAnsi="Times New Roman" w:cs="Times New Roman"/>
      <w:b/>
      <w:color w:val="0000FF"/>
      <w:sz w:val="22"/>
    </w:rPr>
  </w:style>
  <w:style w:type="paragraph" w:customStyle="1" w:styleId="NormalUndented">
    <w:name w:val="NormalUndented"/>
    <w:basedOn w:val="Normal"/>
    <w:next w:val="Normal"/>
    <w:rsid w:val="00B94254"/>
    <w:pPr>
      <w:ind w:firstLine="0"/>
    </w:pPr>
  </w:style>
  <w:style w:type="character" w:customStyle="1" w:styleId="HeadingNumber">
    <w:name w:val="HeadingNumber"/>
    <w:basedOn w:val="DefaultParagraphFont"/>
    <w:rsid w:val="00B94254"/>
    <w:rPr>
      <w:rFonts w:ascii="Times New Roman" w:hAnsi="Times New Roman" w:cs="Times New Roman"/>
      <w:b w:val="0"/>
      <w:color w:val="0000FF"/>
      <w:sz w:val="22"/>
    </w:rPr>
  </w:style>
  <w:style w:type="table" w:customStyle="1" w:styleId="TablePsuThesi">
    <w:name w:val="TablePsuThesi"/>
    <w:basedOn w:val="TableNormal"/>
    <w:rsid w:val="00B94254"/>
    <w:tblPr>
      <w:tblCellMar>
        <w:left w:w="115" w:type="dxa"/>
        <w:right w:w="115" w:type="dxa"/>
      </w:tblCellMar>
    </w:tblPr>
  </w:style>
  <w:style w:type="paragraph" w:customStyle="1" w:styleId="SignaturePage">
    <w:name w:val="Signature Page"/>
    <w:basedOn w:val="Normal"/>
    <w:rsid w:val="00B94254"/>
    <w:pPr>
      <w:spacing w:line="240" w:lineRule="auto"/>
    </w:pPr>
  </w:style>
  <w:style w:type="paragraph" w:styleId="TOC5">
    <w:name w:val="toc 5"/>
    <w:basedOn w:val="Normal"/>
    <w:next w:val="Normal"/>
    <w:autoRedefine/>
    <w:rsid w:val="00F062DC"/>
    <w:pPr>
      <w:tabs>
        <w:tab w:val="clear" w:pos="720"/>
      </w:tabs>
      <w:ind w:left="880"/>
    </w:pPr>
  </w:style>
  <w:style w:type="paragraph" w:styleId="TOC6">
    <w:name w:val="toc 6"/>
    <w:basedOn w:val="Normal"/>
    <w:next w:val="Normal"/>
    <w:autoRedefine/>
    <w:rsid w:val="00F062DC"/>
    <w:pPr>
      <w:tabs>
        <w:tab w:val="clear" w:pos="720"/>
      </w:tabs>
      <w:ind w:left="1100"/>
    </w:pPr>
  </w:style>
  <w:style w:type="paragraph" w:styleId="TOC7">
    <w:name w:val="toc 7"/>
    <w:basedOn w:val="Normal"/>
    <w:next w:val="Normal"/>
    <w:autoRedefine/>
    <w:rsid w:val="00F062DC"/>
    <w:pPr>
      <w:tabs>
        <w:tab w:val="clear" w:pos="720"/>
      </w:tabs>
      <w:ind w:left="1320"/>
    </w:pPr>
  </w:style>
  <w:style w:type="paragraph" w:styleId="TOC8">
    <w:name w:val="toc 8"/>
    <w:basedOn w:val="Normal"/>
    <w:next w:val="Normal"/>
    <w:autoRedefine/>
    <w:rsid w:val="00F062DC"/>
    <w:pPr>
      <w:tabs>
        <w:tab w:val="clear" w:pos="720"/>
      </w:tabs>
      <w:ind w:left="1540"/>
    </w:pPr>
  </w:style>
  <w:style w:type="paragraph" w:styleId="TOC9">
    <w:name w:val="toc 9"/>
    <w:basedOn w:val="Normal"/>
    <w:next w:val="Normal"/>
    <w:autoRedefine/>
    <w:rsid w:val="00F062DC"/>
    <w:pPr>
      <w:tabs>
        <w:tab w:val="clear" w:pos="720"/>
      </w:tabs>
      <w:ind w:left="1760"/>
    </w:pPr>
  </w:style>
  <w:style w:type="paragraph" w:customStyle="1" w:styleId="Heading51">
    <w:name w:val="Heading 51"/>
    <w:basedOn w:val="Heading1"/>
    <w:qFormat/>
    <w:rsid w:val="001841FA"/>
  </w:style>
  <w:style w:type="paragraph" w:customStyle="1" w:styleId="Heading61">
    <w:name w:val="Heading 61"/>
    <w:basedOn w:val="Heading1"/>
    <w:qFormat/>
    <w:rsid w:val="001841FA"/>
  </w:style>
  <w:style w:type="paragraph" w:styleId="FootnoteText">
    <w:name w:val="footnote text"/>
    <w:basedOn w:val="Normal"/>
    <w:link w:val="FootnoteTextChar"/>
    <w:rsid w:val="00B44392"/>
    <w:pPr>
      <w:spacing w:line="240" w:lineRule="auto"/>
    </w:pPr>
    <w:rPr>
      <w:sz w:val="24"/>
    </w:rPr>
  </w:style>
  <w:style w:type="character" w:customStyle="1" w:styleId="FootnoteTextChar">
    <w:name w:val="Footnote Text Char"/>
    <w:basedOn w:val="DefaultParagraphFont"/>
    <w:link w:val="FootnoteText"/>
    <w:rsid w:val="00B44392"/>
    <w:rPr>
      <w:sz w:val="24"/>
      <w:szCs w:val="24"/>
      <w:lang w:eastAsia="en-US"/>
    </w:rPr>
  </w:style>
  <w:style w:type="character" w:styleId="FootnoteReference">
    <w:name w:val="footnote reference"/>
    <w:basedOn w:val="DefaultParagraphFont"/>
    <w:rsid w:val="00B44392"/>
    <w:rPr>
      <w:vertAlign w:val="superscript"/>
    </w:rPr>
  </w:style>
  <w:style w:type="paragraph" w:styleId="EndnoteText">
    <w:name w:val="endnote text"/>
    <w:basedOn w:val="Normal"/>
    <w:link w:val="EndnoteTextChar"/>
    <w:rsid w:val="00B44392"/>
    <w:pPr>
      <w:spacing w:line="240" w:lineRule="auto"/>
    </w:pPr>
    <w:rPr>
      <w:sz w:val="24"/>
    </w:rPr>
  </w:style>
  <w:style w:type="character" w:customStyle="1" w:styleId="EndnoteTextChar">
    <w:name w:val="Endnote Text Char"/>
    <w:basedOn w:val="DefaultParagraphFont"/>
    <w:link w:val="EndnoteText"/>
    <w:rsid w:val="00B44392"/>
    <w:rPr>
      <w:sz w:val="24"/>
      <w:szCs w:val="24"/>
      <w:lang w:eastAsia="en-US"/>
    </w:rPr>
  </w:style>
  <w:style w:type="character" w:styleId="EndnoteReference">
    <w:name w:val="endnote reference"/>
    <w:basedOn w:val="DefaultParagraphFont"/>
    <w:rsid w:val="00B44392"/>
    <w:rPr>
      <w:vertAlign w:val="superscript"/>
    </w:rPr>
  </w:style>
  <w:style w:type="character" w:styleId="CommentReference">
    <w:name w:val="annotation reference"/>
    <w:basedOn w:val="DefaultParagraphFont"/>
    <w:semiHidden/>
    <w:unhideWhenUsed/>
    <w:rsid w:val="00B31C70"/>
    <w:rPr>
      <w:sz w:val="16"/>
      <w:szCs w:val="16"/>
    </w:rPr>
  </w:style>
  <w:style w:type="character" w:styleId="Hyperlink">
    <w:name w:val="Hyperlink"/>
    <w:basedOn w:val="DefaultParagraphFont"/>
    <w:uiPriority w:val="99"/>
    <w:unhideWhenUsed/>
    <w:rsid w:val="00F22433"/>
    <w:rPr>
      <w:color w:val="0000FF" w:themeColor="hyperlink"/>
      <w:u w:val="single"/>
    </w:rPr>
  </w:style>
  <w:style w:type="paragraph" w:styleId="CommentText">
    <w:name w:val="annotation text"/>
    <w:basedOn w:val="Normal"/>
    <w:link w:val="CommentTextChar"/>
    <w:semiHidden/>
    <w:unhideWhenUsed/>
    <w:pPr>
      <w:spacing w:line="240" w:lineRule="auto"/>
    </w:pPr>
    <w:rPr>
      <w:sz w:val="20"/>
      <w:szCs w:val="20"/>
    </w:rPr>
  </w:style>
  <w:style w:type="character" w:customStyle="1" w:styleId="CommentTextChar">
    <w:name w:val="Comment Text Char"/>
    <w:basedOn w:val="DefaultParagraphFont"/>
    <w:link w:val="CommentText"/>
    <w:semiHidden/>
    <w:rPr>
      <w:lang w:eastAsia="en-US"/>
    </w:rPr>
  </w:style>
  <w:style w:type="paragraph" w:styleId="Bibliography">
    <w:name w:val="Bibliography"/>
    <w:basedOn w:val="Normal"/>
    <w:next w:val="Normal"/>
    <w:uiPriority w:val="37"/>
    <w:unhideWhenUsed/>
    <w:rsid w:val="001D5DCF"/>
    <w:pPr>
      <w:tabs>
        <w:tab w:val="clear" w:pos="720"/>
        <w:tab w:val="left" w:pos="384"/>
      </w:tabs>
      <w:ind w:left="384" w:hanging="384"/>
    </w:pPr>
  </w:style>
  <w:style w:type="paragraph" w:styleId="ListParagraph">
    <w:name w:val="List Paragraph"/>
    <w:basedOn w:val="Normal"/>
    <w:uiPriority w:val="34"/>
    <w:qFormat/>
    <w:rsid w:val="004776FB"/>
    <w:pPr>
      <w:ind w:left="720"/>
      <w:contextualSpacing/>
    </w:pPr>
  </w:style>
  <w:style w:type="paragraph" w:styleId="CommentSubject">
    <w:name w:val="annotation subject"/>
    <w:basedOn w:val="CommentText"/>
    <w:next w:val="CommentText"/>
    <w:link w:val="CommentSubjectChar"/>
    <w:semiHidden/>
    <w:unhideWhenUsed/>
    <w:rsid w:val="005E31AD"/>
    <w:rPr>
      <w:b/>
      <w:bCs/>
    </w:rPr>
  </w:style>
  <w:style w:type="character" w:customStyle="1" w:styleId="CommentSubjectChar">
    <w:name w:val="Comment Subject Char"/>
    <w:basedOn w:val="CommentTextChar"/>
    <w:link w:val="CommentSubject"/>
    <w:semiHidden/>
    <w:rsid w:val="005E31AD"/>
    <w:rPr>
      <w:b/>
      <w:bCs/>
      <w:lang w:eastAsia="en-US"/>
    </w:rPr>
  </w:style>
  <w:style w:type="paragraph" w:styleId="Revision">
    <w:name w:val="Revision"/>
    <w:hidden/>
    <w:uiPriority w:val="99"/>
    <w:semiHidden/>
    <w:rsid w:val="005E31AD"/>
    <w:rPr>
      <w:sz w:val="22"/>
      <w:szCs w:val="24"/>
      <w:lang w:eastAsia="en-US"/>
    </w:rPr>
  </w:style>
  <w:style w:type="character" w:styleId="LineNumber">
    <w:name w:val="line number"/>
    <w:basedOn w:val="DefaultParagraphFont"/>
    <w:semiHidden/>
    <w:unhideWhenUsed/>
    <w:rsid w:val="005F16B2"/>
  </w:style>
  <w:style w:type="character" w:customStyle="1" w:styleId="normaltextrun">
    <w:name w:val="normaltextrun"/>
    <w:basedOn w:val="DefaultParagraphFont"/>
    <w:rsid w:val="001449C2"/>
  </w:style>
  <w:style w:type="character" w:styleId="UnresolvedMention">
    <w:name w:val="Unresolved Mention"/>
    <w:basedOn w:val="DefaultParagraphFont"/>
    <w:uiPriority w:val="99"/>
    <w:semiHidden/>
    <w:unhideWhenUsed/>
    <w:rsid w:val="00D02619"/>
    <w:rPr>
      <w:color w:val="605E5C"/>
      <w:shd w:val="clear" w:color="auto" w:fill="E1DFDD"/>
    </w:rPr>
  </w:style>
  <w:style w:type="character" w:styleId="FollowedHyperlink">
    <w:name w:val="FollowedHyperlink"/>
    <w:basedOn w:val="DefaultParagraphFont"/>
    <w:rsid w:val="00D02619"/>
    <w:rPr>
      <w:color w:val="800080" w:themeColor="followedHyperlink"/>
      <w:u w:val="single"/>
    </w:rPr>
  </w:style>
  <w:style w:type="paragraph" w:styleId="Caption">
    <w:name w:val="caption"/>
    <w:basedOn w:val="Normal"/>
    <w:next w:val="Normal"/>
    <w:unhideWhenUsed/>
    <w:qFormat/>
    <w:rsid w:val="00D02619"/>
    <w:pPr>
      <w:spacing w:after="200"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698343">
      <w:bodyDiv w:val="1"/>
      <w:marLeft w:val="0"/>
      <w:marRight w:val="0"/>
      <w:marTop w:val="0"/>
      <w:marBottom w:val="0"/>
      <w:divBdr>
        <w:top w:val="none" w:sz="0" w:space="0" w:color="auto"/>
        <w:left w:val="none" w:sz="0" w:space="0" w:color="auto"/>
        <w:bottom w:val="none" w:sz="0" w:space="0" w:color="auto"/>
        <w:right w:val="none" w:sz="0" w:space="0" w:color="auto"/>
      </w:divBdr>
    </w:div>
    <w:div w:id="1191649085">
      <w:bodyDiv w:val="1"/>
      <w:marLeft w:val="0"/>
      <w:marRight w:val="0"/>
      <w:marTop w:val="0"/>
      <w:marBottom w:val="0"/>
      <w:divBdr>
        <w:top w:val="none" w:sz="0" w:space="0" w:color="auto"/>
        <w:left w:val="none" w:sz="0" w:space="0" w:color="auto"/>
        <w:bottom w:val="none" w:sz="0" w:space="0" w:color="auto"/>
        <w:right w:val="none" w:sz="0" w:space="0" w:color="auto"/>
      </w:divBdr>
    </w:div>
    <w:div w:id="1392733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76FAE425BF514986AC7B849D3D2977" ma:contentTypeVersion="6" ma:contentTypeDescription="Create a new document." ma:contentTypeScope="" ma:versionID="73c47710e931b5f2a26516d0ba1c2fb7">
  <xsd:schema xmlns:xsd="http://www.w3.org/2001/XMLSchema" xmlns:xs="http://www.w3.org/2001/XMLSchema" xmlns:p="http://schemas.microsoft.com/office/2006/metadata/properties" xmlns:ns2="b0cf4f32-d8a8-46e4-8512-bde74616fcd9" targetNamespace="http://schemas.microsoft.com/office/2006/metadata/properties" ma:root="true" ma:fieldsID="860ba5f69be58e05e28abac7bfa066c6" ns2:_="">
    <xsd:import namespace="b0cf4f32-d8a8-46e4-8512-bde74616fc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cf4f32-d8a8-46e4-8512-bde74616fc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8A4B0F-B2CC-44B1-A491-E7387623C7E5}">
  <ds:schemaRefs>
    <ds:schemaRef ds:uri="http://schemas.openxmlformats.org/officeDocument/2006/bibliography"/>
  </ds:schemaRefs>
</ds:datastoreItem>
</file>

<file path=customXml/itemProps2.xml><?xml version="1.0" encoding="utf-8"?>
<ds:datastoreItem xmlns:ds="http://schemas.openxmlformats.org/officeDocument/2006/customXml" ds:itemID="{3769E6EE-A7BC-4862-9A43-6638843E7AD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8F5AEBD-7F56-41CD-AE3F-64C26E8238DB}">
  <ds:schemaRefs>
    <ds:schemaRef ds:uri="http://schemas.microsoft.com/sharepoint/v3/contenttype/forms"/>
  </ds:schemaRefs>
</ds:datastoreItem>
</file>

<file path=customXml/itemProps4.xml><?xml version="1.0" encoding="utf-8"?>
<ds:datastoreItem xmlns:ds="http://schemas.openxmlformats.org/officeDocument/2006/customXml" ds:itemID="{8D2B1323-E7BE-4A50-A20F-5FA4AF42AB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cf4f32-d8a8-46e4-8512-bde74616fc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10</Pages>
  <Words>6392</Words>
  <Characters>36439</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The Pennsylvania State University</vt:lpstr>
    </vt:vector>
  </TitlesOfParts>
  <Company>psu</Company>
  <LinksUpToDate>false</LinksUpToDate>
  <CharactersWithSpaces>42746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Pennsylvania State University</dc:title>
  <dc:subject/>
  <dc:creator>s d</dc:creator>
  <cp:keywords/>
  <dc:description/>
  <cp:lastModifiedBy>Kauer Schuck, Laura</cp:lastModifiedBy>
  <cp:revision>6</cp:revision>
  <dcterms:created xsi:type="dcterms:W3CDTF">2025-12-15T19:56:00Z</dcterms:created>
  <dcterms:modified xsi:type="dcterms:W3CDTF">2026-05-07T20:17:00Z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0x0101001276FAE425BF514986AC7B849D3D2977</vt:lpwstr>
  </property>
  <property fmtid="{D5CDD505-2E9C-101B-9397-08002B2CF9AE}" pid="3" name="ZOTERO_PREF_1">
    <vt:lpwstr>&lt;data data-version="3" zotero-version="7.0.32"&gt;&lt;session id="xWIFrWwM"/&gt;&lt;style id="http://www.zotero.org/styles/nature" hasBibliography="1" bibliographyStyleHasBeenSet="1"/&gt;&lt;prefs&gt;&lt;pref name="fieldType" value="Field"/&gt;&lt;pref name="dontAskDelayCitationUpdate</vt:lpwstr>
  </property>
  <property fmtid="{D5CDD505-2E9C-101B-9397-08002B2CF9AE}" pid="4" name="ZOTERO_PREF_2">
    <vt:lpwstr>s" value="true"/&gt;&lt;/prefs&gt;&lt;/data&gt;</vt:lpwstr>
  </property>
</Properties>
</file>