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19239" w14:textId="0E6F8394" w:rsidR="009B7F89" w:rsidRDefault="009B7F89" w:rsidP="009B7F89">
      <w:pPr>
        <w:jc w:val="center"/>
        <w:rPr>
          <w:b/>
          <w:bCs/>
          <w:sz w:val="32"/>
          <w:szCs w:val="32"/>
        </w:rPr>
      </w:pPr>
      <w:r w:rsidRPr="009B7F89">
        <w:rPr>
          <w:b/>
          <w:bCs/>
          <w:sz w:val="32"/>
          <w:szCs w:val="32"/>
        </w:rPr>
        <w:t>Supplementary Information</w:t>
      </w:r>
    </w:p>
    <w:p w14:paraId="698B6ACD" w14:textId="77777777" w:rsidR="009B7F89" w:rsidRPr="009B7F89" w:rsidRDefault="009B7F89" w:rsidP="009B7F89">
      <w:pPr>
        <w:jc w:val="center"/>
        <w:rPr>
          <w:b/>
          <w:bCs/>
          <w:sz w:val="32"/>
          <w:szCs w:val="32"/>
        </w:rPr>
      </w:pPr>
    </w:p>
    <w:p w14:paraId="23F692F1" w14:textId="1097DEF2" w:rsidR="009B7F89" w:rsidRPr="009B7F89" w:rsidRDefault="009B7F89" w:rsidP="009B7F89">
      <w:pPr>
        <w:rPr>
          <w:b/>
          <w:bCs/>
        </w:rPr>
      </w:pPr>
      <w:r w:rsidRPr="009B7F89">
        <w:rPr>
          <w:b/>
          <w:bCs/>
        </w:rPr>
        <w:t xml:space="preserve">A synergistic </w:t>
      </w:r>
      <w:proofErr w:type="spellStart"/>
      <w:r w:rsidRPr="009B7F89">
        <w:rPr>
          <w:b/>
          <w:bCs/>
        </w:rPr>
        <w:t>nanotherapy</w:t>
      </w:r>
      <w:proofErr w:type="spellEnd"/>
      <w:r w:rsidRPr="009B7F89">
        <w:rPr>
          <w:b/>
          <w:bCs/>
        </w:rPr>
        <w:t xml:space="preserve"> for skin photoaging via self-assembly of epigallocatechin-3-gallate and recombinant human collagen</w:t>
      </w:r>
    </w:p>
    <w:p w14:paraId="59CEC007" w14:textId="248D2EFD" w:rsidR="009B7F89" w:rsidRDefault="009B7F89" w:rsidP="009B7F89">
      <w:r>
        <w:t xml:space="preserve">Huan Xia, </w:t>
      </w:r>
      <w:proofErr w:type="spellStart"/>
      <w:r>
        <w:t>Rufei</w:t>
      </w:r>
      <w:proofErr w:type="spellEnd"/>
      <w:r>
        <w:t xml:space="preserve"> Huang, </w:t>
      </w:r>
      <w:proofErr w:type="spellStart"/>
      <w:r>
        <w:t>Qihong</w:t>
      </w:r>
      <w:proofErr w:type="spellEnd"/>
      <w:r>
        <w:t xml:space="preserve"> Wu, Xun Tang, Tao Meng, Yufei Fan, Ziyi Li, Jinping Zhang, Yadong Huang, and Yan Yang</w:t>
      </w:r>
    </w:p>
    <w:p w14:paraId="79A36774" w14:textId="48F17AC9" w:rsidR="00190312" w:rsidRDefault="009B7F89" w:rsidP="009B7F89">
      <w:r>
        <w:t>This Supplementary Information file contains Supplementary Figures S1–S5 and Supplementary Tables S1–S2.</w:t>
      </w:r>
    </w:p>
    <w:p w14:paraId="61CA201C" w14:textId="77777777" w:rsidR="009B7F89" w:rsidRDefault="009B7F89" w:rsidP="009B7F89"/>
    <w:p w14:paraId="12D9C7DD" w14:textId="349EC911" w:rsidR="009B7F89" w:rsidRPr="009B7F89" w:rsidRDefault="009B7F89" w:rsidP="009B7F89">
      <w:pPr>
        <w:rPr>
          <w:b/>
          <w:bCs/>
        </w:rPr>
      </w:pPr>
      <w:r w:rsidRPr="009B7F89">
        <w:rPr>
          <w:b/>
          <w:bCs/>
        </w:rPr>
        <w:t>Supplementary Figures</w:t>
      </w:r>
    </w:p>
    <w:p w14:paraId="052A1345" w14:textId="0CC4B91E" w:rsidR="00334453" w:rsidRPr="00A96126" w:rsidRDefault="00190312" w:rsidP="00190312">
      <w:pPr>
        <w:jc w:val="center"/>
      </w:pPr>
      <w:r>
        <w:rPr>
          <w:noProof/>
        </w:rPr>
        <w:drawing>
          <wp:inline distT="0" distB="0" distL="0" distR="0" wp14:anchorId="6D9FDC3D" wp14:editId="174C92DA">
            <wp:extent cx="2401503" cy="3298534"/>
            <wp:effectExtent l="0" t="0" r="0" b="0"/>
            <wp:docPr id="7151874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187430" name="图片 7151874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698" cy="331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1EC5F" w14:textId="77777777" w:rsidR="00334453" w:rsidRPr="00A96126" w:rsidRDefault="00334453" w:rsidP="00334453">
      <w:pPr>
        <w:widowControl/>
        <w:rPr>
          <w:sz w:val="21"/>
          <w:szCs w:val="21"/>
        </w:rPr>
      </w:pPr>
      <w:r w:rsidRPr="00A96126">
        <w:rPr>
          <w:rFonts w:hint="eastAsia"/>
          <w:sz w:val="21"/>
          <w:szCs w:val="21"/>
        </w:rPr>
        <w:t>Figure S1. Zeta potential of recombinant human collagen (RHC), epigallocatechin-3-gallate (EGCG), and EGCG</w:t>
      </w:r>
      <w:r w:rsidRPr="00A96126">
        <w:rPr>
          <w:rFonts w:hint="eastAsia"/>
          <w:sz w:val="21"/>
          <w:szCs w:val="21"/>
        </w:rPr>
        <w:t>–</w:t>
      </w:r>
      <w:r w:rsidRPr="00A96126">
        <w:rPr>
          <w:rFonts w:hint="eastAsia"/>
          <w:sz w:val="21"/>
          <w:szCs w:val="21"/>
        </w:rPr>
        <w:t xml:space="preserve">RHC nanospheres (NSs). Zeta potential was measured in saline at 25 </w:t>
      </w:r>
      <w:r w:rsidRPr="00A96126">
        <w:rPr>
          <w:rFonts w:hint="eastAsia"/>
          <w:sz w:val="21"/>
          <w:szCs w:val="21"/>
        </w:rPr>
        <w:t>℃</w:t>
      </w:r>
      <w:r w:rsidRPr="00A96126">
        <w:rPr>
          <w:rFonts w:hint="eastAsia"/>
          <w:sz w:val="21"/>
          <w:szCs w:val="21"/>
        </w:rPr>
        <w:t xml:space="preserve"> using a Malvern </w:t>
      </w:r>
      <w:proofErr w:type="spellStart"/>
      <w:r w:rsidRPr="00A96126">
        <w:rPr>
          <w:rFonts w:hint="eastAsia"/>
          <w:sz w:val="21"/>
          <w:szCs w:val="21"/>
        </w:rPr>
        <w:t>Zetasizer</w:t>
      </w:r>
      <w:proofErr w:type="spellEnd"/>
      <w:r w:rsidRPr="00A96126">
        <w:rPr>
          <w:rFonts w:hint="eastAsia"/>
          <w:sz w:val="21"/>
          <w:szCs w:val="21"/>
        </w:rPr>
        <w:t xml:space="preserve"> Nano S90 based on dynamic light scattering. Data are p</w:t>
      </w:r>
      <w:r w:rsidRPr="00A96126">
        <w:rPr>
          <w:sz w:val="21"/>
          <w:szCs w:val="21"/>
        </w:rPr>
        <w:t>resented as mean ± SD (n = 3).</w:t>
      </w:r>
    </w:p>
    <w:p w14:paraId="2845DC18" w14:textId="77777777" w:rsidR="00334453" w:rsidRPr="00A96126" w:rsidRDefault="00334453" w:rsidP="00334453">
      <w:pPr>
        <w:widowControl/>
      </w:pPr>
      <w:r w:rsidRPr="00A96126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6FEFA23" wp14:editId="4ECEC5CD">
            <wp:simplePos x="0" y="0"/>
            <wp:positionH relativeFrom="column">
              <wp:posOffset>1021080</wp:posOffset>
            </wp:positionH>
            <wp:positionV relativeFrom="paragraph">
              <wp:posOffset>342900</wp:posOffset>
            </wp:positionV>
            <wp:extent cx="3105785" cy="2249805"/>
            <wp:effectExtent l="0" t="0" r="0" b="0"/>
            <wp:wrapTopAndBottom/>
            <wp:docPr id="19164097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40976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19478F" w14:textId="77777777" w:rsidR="00334453" w:rsidRDefault="00334453" w:rsidP="00334453">
      <w:pPr>
        <w:pStyle w:val="a7"/>
        <w:ind w:leftChars="0" w:left="0"/>
      </w:pPr>
      <w:r w:rsidRPr="00A96126">
        <w:t>Figure S2. Optimization of the EGCG:</w:t>
      </w:r>
      <w:r w:rsidRPr="00A96126">
        <w:rPr>
          <w:rFonts w:hint="eastAsia"/>
        </w:rPr>
        <w:t xml:space="preserve"> </w:t>
      </w:r>
      <w:r w:rsidRPr="00A96126">
        <w:t>RHC mass ratio for nanosphere preparation.</w:t>
      </w:r>
    </w:p>
    <w:p w14:paraId="33DAED53" w14:textId="77777777" w:rsidR="00334453" w:rsidRDefault="00334453" w:rsidP="00334453">
      <w:pPr>
        <w:spacing w:line="360" w:lineRule="auto"/>
        <w:rPr>
          <w:highlight w:val="yellow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D872AB1" wp14:editId="757DA8F5">
            <wp:simplePos x="0" y="0"/>
            <wp:positionH relativeFrom="column">
              <wp:posOffset>81280</wp:posOffset>
            </wp:positionH>
            <wp:positionV relativeFrom="paragraph">
              <wp:posOffset>280035</wp:posOffset>
            </wp:positionV>
            <wp:extent cx="5183505" cy="4167505"/>
            <wp:effectExtent l="0" t="0" r="0" b="4445"/>
            <wp:wrapTopAndBottom/>
            <wp:docPr id="2091646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64621" name="图片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3505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E49E24" w14:textId="7900173F" w:rsidR="00334453" w:rsidRDefault="00334453" w:rsidP="00334453">
      <w:r w:rsidRPr="007D5F13">
        <w:rPr>
          <w:rFonts w:hint="eastAsia"/>
        </w:rPr>
        <w:t>Fig</w:t>
      </w:r>
      <w:r w:rsidR="0089731A">
        <w:rPr>
          <w:rFonts w:hint="eastAsia"/>
        </w:rPr>
        <w:t>ur</w:t>
      </w:r>
      <w:r w:rsidRPr="007D5F13">
        <w:rPr>
          <w:rFonts w:hint="eastAsia"/>
        </w:rPr>
        <w:t>e S3</w:t>
      </w:r>
      <w:r w:rsidRPr="007D5F13">
        <w:t>. Storage stability of EGCG–RHC NSs under different conditions over 12 weeks.</w:t>
      </w:r>
      <w:r w:rsidRPr="007D5F13">
        <w:rPr>
          <w:rFonts w:hint="eastAsia"/>
        </w:rPr>
        <w:t xml:space="preserve"> </w:t>
      </w:r>
      <w:r w:rsidRPr="007D5F13">
        <w:t>(</w:t>
      </w:r>
      <w:r w:rsidRPr="007D5F13">
        <w:rPr>
          <w:rFonts w:hint="eastAsia"/>
        </w:rPr>
        <w:t>a</w:t>
      </w:r>
      <w:r w:rsidRPr="007D5F13">
        <w:t>) Representative photographs showing the macroscopic appearance of EGCG–RHC NSs during storage.</w:t>
      </w:r>
      <w:r w:rsidRPr="007D5F13">
        <w:rPr>
          <w:rFonts w:hint="eastAsia"/>
        </w:rPr>
        <w:t xml:space="preserve"> </w:t>
      </w:r>
      <w:r w:rsidRPr="007D5F13">
        <w:t>(</w:t>
      </w:r>
      <w:r w:rsidRPr="007D5F13">
        <w:rPr>
          <w:rFonts w:hint="eastAsia"/>
        </w:rPr>
        <w:t>b</w:t>
      </w:r>
      <w:r w:rsidRPr="007D5F13">
        <w:t>) Changes in average hydrodynamic size of EGCG–RHC NSs stored at 4°C in the dark, 25°C in the dark, and 25°C under light exposure.</w:t>
      </w:r>
      <w:r w:rsidRPr="007D5F13">
        <w:rPr>
          <w:rFonts w:hint="eastAsia"/>
        </w:rPr>
        <w:t xml:space="preserve"> </w:t>
      </w:r>
      <w:r w:rsidRPr="007D5F13">
        <w:t>(</w:t>
      </w:r>
      <w:r w:rsidRPr="007D5F13">
        <w:rPr>
          <w:rFonts w:hint="eastAsia"/>
        </w:rPr>
        <w:t>c</w:t>
      </w:r>
      <w:r w:rsidRPr="007D5F13">
        <w:t xml:space="preserve">) Changes in polydispersity index (PDI) under </w:t>
      </w:r>
      <w:r w:rsidRPr="007D5F13">
        <w:lastRenderedPageBreak/>
        <w:t>the same storage conditions.</w:t>
      </w:r>
      <w:r w:rsidR="00915564">
        <w:rPr>
          <w:rFonts w:hint="eastAsia"/>
        </w:rPr>
        <w:t xml:space="preserve"> </w:t>
      </w:r>
      <w:r w:rsidRPr="007D5F13">
        <w:t>Data are presented as mean ± SD (n = 3).</w:t>
      </w:r>
    </w:p>
    <w:p w14:paraId="5EA683B8" w14:textId="77777777" w:rsidR="009B7F89" w:rsidRDefault="009B7F89" w:rsidP="00334453"/>
    <w:p w14:paraId="56DC26FC" w14:textId="5B2ACE8E" w:rsidR="00190312" w:rsidRDefault="00334453" w:rsidP="00CA130E">
      <w:pPr>
        <w:widowControl/>
      </w:pPr>
      <w:r w:rsidRPr="00A96126">
        <w:rPr>
          <w:noProof/>
        </w:rPr>
        <w:drawing>
          <wp:anchor distT="0" distB="0" distL="114300" distR="114300" simplePos="0" relativeHeight="251660288" behindDoc="0" locked="0" layoutInCell="1" allowOverlap="1" wp14:anchorId="70C7A521" wp14:editId="0AF16921">
            <wp:simplePos x="0" y="0"/>
            <wp:positionH relativeFrom="column">
              <wp:posOffset>-1270</wp:posOffset>
            </wp:positionH>
            <wp:positionV relativeFrom="paragraph">
              <wp:posOffset>18614</wp:posOffset>
            </wp:positionV>
            <wp:extent cx="5273675" cy="1944370"/>
            <wp:effectExtent l="0" t="0" r="3175" b="0"/>
            <wp:wrapTopAndBottom/>
            <wp:docPr id="19546018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601897" name="图片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96126">
        <w:t>Figure S</w:t>
      </w:r>
      <w:r>
        <w:rPr>
          <w:rFonts w:hint="eastAsia"/>
        </w:rPr>
        <w:t>4</w:t>
      </w:r>
      <w:r w:rsidRPr="00A96126">
        <w:t xml:space="preserve">. </w:t>
      </w:r>
      <w:r w:rsidRPr="00A47419">
        <w:rPr>
          <w:i/>
          <w:iCs/>
        </w:rPr>
        <w:t>In vivo</w:t>
      </w:r>
      <w:r w:rsidRPr="00A96126">
        <w:t xml:space="preserve"> skin penetration of FITC-labeled formulations.</w:t>
      </w:r>
      <w:r w:rsidRPr="00A96126">
        <w:rPr>
          <w:rFonts w:hint="eastAsia"/>
        </w:rPr>
        <w:t xml:space="preserve"> </w:t>
      </w:r>
      <w:r w:rsidRPr="00A96126">
        <w:t>(</w:t>
      </w:r>
      <w:r w:rsidRPr="00A96126">
        <w:rPr>
          <w:rFonts w:hint="eastAsia"/>
        </w:rPr>
        <w:t>a</w:t>
      </w:r>
      <w:r w:rsidRPr="00A96126">
        <w:t xml:space="preserve">) Schematic of the </w:t>
      </w:r>
      <w:r w:rsidRPr="00A47419">
        <w:rPr>
          <w:i/>
          <w:iCs/>
        </w:rPr>
        <w:t>in vivo</w:t>
      </w:r>
      <w:r w:rsidRPr="00A96126">
        <w:t xml:space="preserve"> skin penetration study. FITC-labeled RHC (FITC-RHC) or FITC-labeled nanospheres (FITC-NSs) were topically applied to mouse dorsal skin for 6 or 12 h, followed by skin harvesting and preparation of frozen sections for imaging.</w:t>
      </w:r>
      <w:r w:rsidRPr="00A96126">
        <w:rPr>
          <w:rFonts w:hint="eastAsia"/>
        </w:rPr>
        <w:t xml:space="preserve"> </w:t>
      </w:r>
      <w:r w:rsidRPr="00A96126">
        <w:t>(</w:t>
      </w:r>
      <w:r w:rsidRPr="00A96126">
        <w:rPr>
          <w:rFonts w:hint="eastAsia"/>
        </w:rPr>
        <w:t>b</w:t>
      </w:r>
      <w:r w:rsidRPr="00A96126">
        <w:t xml:space="preserve">) Representative confocal fluorescence images of skin cryosections collected at 6 and 12 h after topical administration of FITC-RHC or FITC-NSs. Nuclei were stained with DAPI (blue) and FITC signals are shown in green. Scale bar: 200 </w:t>
      </w:r>
      <w:proofErr w:type="spellStart"/>
      <w:r w:rsidRPr="00A96126">
        <w:t>μm</w:t>
      </w:r>
      <w:proofErr w:type="spellEnd"/>
      <w:r w:rsidRPr="00A96126">
        <w:t>.</w:t>
      </w:r>
      <w:r w:rsidRPr="00A96126">
        <w:rPr>
          <w:rFonts w:hint="eastAsia"/>
        </w:rPr>
        <w:t xml:space="preserve"> </w:t>
      </w:r>
      <w:r w:rsidRPr="00A96126">
        <w:t>(</w:t>
      </w:r>
      <w:r w:rsidRPr="00A96126">
        <w:rPr>
          <w:rFonts w:hint="eastAsia"/>
        </w:rPr>
        <w:t>c</w:t>
      </w:r>
      <w:r w:rsidRPr="00A96126">
        <w:t xml:space="preserve">) Quantification of FITC penetration depth in skin sections at indicated time points. Data are presented as mean ± SD (n = </w:t>
      </w:r>
      <w:r w:rsidRPr="00A96126">
        <w:rPr>
          <w:rFonts w:hint="eastAsia"/>
        </w:rPr>
        <w:t>3</w:t>
      </w:r>
      <w:r w:rsidRPr="00A96126">
        <w:t xml:space="preserve">). For each mouse, multiple sections were analyzed and summarized to obtain one value per animal for statistical comparisons. </w:t>
      </w:r>
      <w:r w:rsidR="00F112BB">
        <w:rPr>
          <w:rFonts w:hint="eastAsia"/>
        </w:rPr>
        <w:t>S</w:t>
      </w:r>
      <w:r w:rsidRPr="00A96126">
        <w:t>tatistical significance is indicated as ns, not significant (</w:t>
      </w:r>
      <w:r w:rsidRPr="00A96126">
        <w:rPr>
          <w:i/>
          <w:iCs/>
        </w:rPr>
        <w:t xml:space="preserve">p </w:t>
      </w:r>
      <w:r w:rsidRPr="00A96126">
        <w:t>≥ 0.05), *</w:t>
      </w:r>
      <w:r w:rsidRPr="00A96126">
        <w:rPr>
          <w:i/>
          <w:iCs/>
        </w:rPr>
        <w:t>p</w:t>
      </w:r>
      <w:r w:rsidRPr="00A96126">
        <w:t xml:space="preserve"> &lt; 0.05, **</w:t>
      </w:r>
      <w:r w:rsidRPr="00A96126">
        <w:rPr>
          <w:i/>
          <w:iCs/>
        </w:rPr>
        <w:t>p</w:t>
      </w:r>
      <w:r w:rsidRPr="00A96126">
        <w:t xml:space="preserve"> &lt; 0.01, ***</w:t>
      </w:r>
      <w:r w:rsidRPr="00A96126">
        <w:rPr>
          <w:i/>
          <w:iCs/>
        </w:rPr>
        <w:t>p</w:t>
      </w:r>
      <w:r w:rsidRPr="00A96126">
        <w:t xml:space="preserve"> &lt; 0.001, ****</w:t>
      </w:r>
      <w:r w:rsidRPr="00A96126">
        <w:rPr>
          <w:i/>
          <w:iCs/>
        </w:rPr>
        <w:t>p</w:t>
      </w:r>
      <w:r w:rsidRPr="00A96126">
        <w:t xml:space="preserve"> &lt; 0.0001 versus the indicated groups.</w:t>
      </w:r>
    </w:p>
    <w:p w14:paraId="68035206" w14:textId="77777777" w:rsidR="00190312" w:rsidRDefault="00190312">
      <w:pPr>
        <w:widowControl/>
        <w:spacing w:line="240" w:lineRule="auto"/>
        <w:jc w:val="left"/>
      </w:pPr>
      <w:r>
        <w:br w:type="page"/>
      </w:r>
    </w:p>
    <w:p w14:paraId="36DF96DF" w14:textId="2FC168CF" w:rsidR="00334453" w:rsidRPr="00A96126" w:rsidRDefault="001C24BA" w:rsidP="00190312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A436D2F" wp14:editId="5364A156">
            <wp:simplePos x="0" y="0"/>
            <wp:positionH relativeFrom="column">
              <wp:posOffset>960755</wp:posOffset>
            </wp:positionH>
            <wp:positionV relativeFrom="paragraph">
              <wp:posOffset>13970</wp:posOffset>
            </wp:positionV>
            <wp:extent cx="3346450" cy="3538220"/>
            <wp:effectExtent l="0" t="0" r="6350" b="5080"/>
            <wp:wrapTopAndBottom/>
            <wp:docPr id="3143345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34597" name="图片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353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90312" w:rsidRPr="00190312">
        <w:rPr>
          <w:rStyle w:val="ad"/>
          <w:b w:val="0"/>
          <w:bCs w:val="0"/>
        </w:rPr>
        <w:t>Figure S</w:t>
      </w:r>
      <w:r w:rsidR="00190312" w:rsidRPr="00190312">
        <w:rPr>
          <w:rStyle w:val="ad"/>
          <w:rFonts w:hint="eastAsia"/>
          <w:b w:val="0"/>
          <w:bCs w:val="0"/>
        </w:rPr>
        <w:t>5</w:t>
      </w:r>
      <w:r w:rsidR="00190312" w:rsidRPr="00190312">
        <w:rPr>
          <w:rStyle w:val="ad"/>
          <w:b w:val="0"/>
          <w:bCs w:val="0"/>
        </w:rPr>
        <w:t>. NIH-3T3 cell viability under the same UVB irradiation and treatment conditions used for the scratch assay.</w:t>
      </w:r>
      <w:r w:rsidR="00190312" w:rsidRPr="00190312">
        <w:rPr>
          <w:b/>
          <w:bCs/>
        </w:rPr>
        <w:t xml:space="preserve"> </w:t>
      </w:r>
      <w:r w:rsidR="00190312">
        <w:t xml:space="preserve">NIH-3T3 fibroblasts were irradiated with UVB (120 </w:t>
      </w:r>
      <w:proofErr w:type="spellStart"/>
      <w:r w:rsidR="00190312">
        <w:t>mJ</w:t>
      </w:r>
      <w:proofErr w:type="spellEnd"/>
      <w:r w:rsidR="00190312">
        <w:t>/cm</w:t>
      </w:r>
      <w:r w:rsidR="00190312" w:rsidRPr="00190312">
        <w:rPr>
          <w:rFonts w:hint="eastAsia"/>
          <w:vertAlign w:val="superscript"/>
        </w:rPr>
        <w:t>2</w:t>
      </w:r>
      <w:r w:rsidR="00190312">
        <w:t xml:space="preserve">, 6 min) and then treated with RHC, EGCG, or EGCG–RHC NSs (0.01 mg/mL) for 24 h. Cell viability was determined by CCK-8 assay. Data </w:t>
      </w:r>
      <w:proofErr w:type="gramStart"/>
      <w:r w:rsidR="00190312">
        <w:t>are</w:t>
      </w:r>
      <w:proofErr w:type="gramEnd"/>
      <w:r w:rsidR="00190312">
        <w:t xml:space="preserve"> presented as mean ± SD.</w:t>
      </w:r>
      <w:r w:rsidR="000A6FAD">
        <w:rPr>
          <w:rFonts w:hint="eastAsia"/>
        </w:rPr>
        <w:t xml:space="preserve"> </w:t>
      </w:r>
    </w:p>
    <w:p w14:paraId="627835CA" w14:textId="38B4634B" w:rsidR="00334453" w:rsidRDefault="00CA130E" w:rsidP="00CA130E">
      <w:pPr>
        <w:widowControl/>
        <w:spacing w:line="240" w:lineRule="auto"/>
        <w:jc w:val="left"/>
      </w:pPr>
      <w:r>
        <w:br w:type="page"/>
      </w:r>
    </w:p>
    <w:p w14:paraId="2F364929" w14:textId="77777777" w:rsidR="00915564" w:rsidRDefault="00915564" w:rsidP="00334453">
      <w:pPr>
        <w:widowControl/>
        <w:rPr>
          <w:b/>
          <w:bCs/>
        </w:rPr>
        <w:sectPr w:rsidR="00915564" w:rsidSect="00915564">
          <w:pgSz w:w="11906" w:h="16838"/>
          <w:pgMar w:top="1418" w:right="1134" w:bottom="1134" w:left="1418" w:header="851" w:footer="992" w:gutter="0"/>
          <w:cols w:space="425"/>
          <w:docGrid w:type="lines" w:linePitch="326"/>
        </w:sectPr>
      </w:pPr>
    </w:p>
    <w:p w14:paraId="76F5CF5D" w14:textId="3B790EF3" w:rsidR="009B7F89" w:rsidRPr="009B7F89" w:rsidRDefault="009B7F89" w:rsidP="00334453">
      <w:pPr>
        <w:widowControl/>
        <w:rPr>
          <w:b/>
          <w:bCs/>
          <w:sz w:val="21"/>
          <w:szCs w:val="21"/>
        </w:rPr>
      </w:pPr>
      <w:r w:rsidRPr="009B7F89">
        <w:rPr>
          <w:b/>
          <w:bCs/>
        </w:rPr>
        <w:lastRenderedPageBreak/>
        <w:t>Supplementary Tables</w:t>
      </w:r>
    </w:p>
    <w:p w14:paraId="153300F3" w14:textId="35180EA0" w:rsidR="00334453" w:rsidRPr="00A96126" w:rsidRDefault="00334453" w:rsidP="00334453">
      <w:pPr>
        <w:widowControl/>
        <w:rPr>
          <w:sz w:val="21"/>
          <w:szCs w:val="21"/>
        </w:rPr>
      </w:pPr>
      <w:r w:rsidRPr="00A96126">
        <w:rPr>
          <w:sz w:val="21"/>
          <w:szCs w:val="21"/>
        </w:rPr>
        <w:t>Table S1. Encapsulation efficiency (EE) of EGCG in EGCG–RHC nanospheres (NSs). EGCG–RHC NSs were prepared at a stirring rate of 1000 rpm for 5 min with a mass ratio m(RHC):m(EGCG) = 1:1 in saline. EE (%) values from three independent batches and the corresponding mean ± SD are shown.</w:t>
      </w:r>
    </w:p>
    <w:tbl>
      <w:tblPr>
        <w:tblW w:w="9568" w:type="dxa"/>
        <w:jc w:val="center"/>
        <w:tblLook w:val="04A0" w:firstRow="1" w:lastRow="0" w:firstColumn="1" w:lastColumn="0" w:noHBand="0" w:noVBand="1"/>
      </w:tblPr>
      <w:tblGrid>
        <w:gridCol w:w="1917"/>
        <w:gridCol w:w="1802"/>
        <w:gridCol w:w="2086"/>
        <w:gridCol w:w="1523"/>
        <w:gridCol w:w="2240"/>
      </w:tblGrid>
      <w:tr w:rsidR="00334453" w:rsidRPr="00A96126" w14:paraId="3D5E4225" w14:textId="77777777" w:rsidTr="00E758B8">
        <w:trPr>
          <w:trHeight w:val="225"/>
          <w:jc w:val="center"/>
        </w:trPr>
        <w:tc>
          <w:tcPr>
            <w:tcW w:w="19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B827CB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Stirring rate (rpm)</w:t>
            </w:r>
          </w:p>
        </w:tc>
        <w:tc>
          <w:tcPr>
            <w:tcW w:w="18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DB7575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Time (min)</w:t>
            </w:r>
          </w:p>
        </w:tc>
        <w:tc>
          <w:tcPr>
            <w:tcW w:w="20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35D3C2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m(RHC):m(EGCG)</w:t>
            </w:r>
          </w:p>
        </w:tc>
        <w:tc>
          <w:tcPr>
            <w:tcW w:w="15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09938A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EE (%)</w:t>
            </w:r>
          </w:p>
        </w:tc>
        <w:tc>
          <w:tcPr>
            <w:tcW w:w="22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6DFBB5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EE (Mean ± SD, %)</w:t>
            </w:r>
          </w:p>
        </w:tc>
      </w:tr>
      <w:tr w:rsidR="00334453" w:rsidRPr="00A96126" w14:paraId="549C73C2" w14:textId="77777777" w:rsidTr="00E758B8">
        <w:trPr>
          <w:trHeight w:val="427"/>
          <w:jc w:val="center"/>
        </w:trPr>
        <w:tc>
          <w:tcPr>
            <w:tcW w:w="191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41C54CA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1000</w:t>
            </w:r>
          </w:p>
        </w:tc>
        <w:tc>
          <w:tcPr>
            <w:tcW w:w="180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EDB0EF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208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2A99BB7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1:1</w:t>
            </w:r>
          </w:p>
        </w:tc>
        <w:tc>
          <w:tcPr>
            <w:tcW w:w="152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FC77B9F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93.21</w:t>
            </w:r>
          </w:p>
        </w:tc>
        <w:tc>
          <w:tcPr>
            <w:tcW w:w="224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72DE48D1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94.94 ± 1.73</w:t>
            </w:r>
          </w:p>
        </w:tc>
      </w:tr>
      <w:tr w:rsidR="00334453" w:rsidRPr="00A96126" w14:paraId="72A9E80A" w14:textId="77777777" w:rsidTr="00E758B8">
        <w:trPr>
          <w:trHeight w:val="225"/>
          <w:jc w:val="center"/>
        </w:trPr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1C0CE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1000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E64D1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E98CB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1:1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868C1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94.94</w:t>
            </w:r>
          </w:p>
        </w:tc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2A7991F" w14:textId="77777777" w:rsidR="00334453" w:rsidRPr="00A96126" w:rsidRDefault="00334453" w:rsidP="00E758B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334453" w:rsidRPr="00A96126" w14:paraId="016C31D2" w14:textId="77777777" w:rsidTr="00E758B8">
        <w:trPr>
          <w:trHeight w:val="427"/>
          <w:jc w:val="center"/>
        </w:trPr>
        <w:tc>
          <w:tcPr>
            <w:tcW w:w="19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37C729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1000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5E066A8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CCF1120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1:1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D0C727" w14:textId="77777777" w:rsidR="00334453" w:rsidRPr="00A96126" w:rsidRDefault="00334453" w:rsidP="00E758B8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  <w:r w:rsidRPr="00A96126"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  <w:t>96.67</w:t>
            </w:r>
          </w:p>
        </w:tc>
        <w:tc>
          <w:tcPr>
            <w:tcW w:w="224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74E46E" w14:textId="77777777" w:rsidR="00334453" w:rsidRPr="00A96126" w:rsidRDefault="00334453" w:rsidP="00E758B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52A66522" w14:textId="7E406153" w:rsidR="00CA130E" w:rsidRDefault="00CA130E" w:rsidP="00CA130E">
      <w:pPr>
        <w:spacing w:line="360" w:lineRule="auto"/>
        <w:jc w:val="center"/>
      </w:pPr>
      <w:r>
        <w:t>.</w:t>
      </w:r>
    </w:p>
    <w:tbl>
      <w:tblPr>
        <w:tblStyle w:val="ac"/>
        <w:tblpPr w:leftFromText="180" w:rightFromText="180" w:horzAnchor="margin" w:tblpY="643"/>
        <w:tblW w:w="0" w:type="auto"/>
        <w:jc w:val="left"/>
        <w:tblLook w:val="04A0" w:firstRow="1" w:lastRow="0" w:firstColumn="1" w:lastColumn="0" w:noHBand="0" w:noVBand="1"/>
      </w:tblPr>
      <w:tblGrid>
        <w:gridCol w:w="1952"/>
        <w:gridCol w:w="1735"/>
        <w:gridCol w:w="1910"/>
        <w:gridCol w:w="1630"/>
        <w:gridCol w:w="3077"/>
        <w:gridCol w:w="1930"/>
        <w:gridCol w:w="1922"/>
        <w:gridCol w:w="1242"/>
      </w:tblGrid>
      <w:tr w:rsidR="00915564" w:rsidRPr="00CA130E" w14:paraId="615A7252" w14:textId="77777777" w:rsidTr="00E758B8">
        <w:trPr>
          <w:jc w:val="left"/>
        </w:trPr>
        <w:tc>
          <w:tcPr>
            <w:tcW w:w="0" w:type="auto"/>
            <w:hideMark/>
          </w:tcPr>
          <w:p w14:paraId="4873A0FE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lastRenderedPageBreak/>
              <w:t>System</w:t>
            </w:r>
          </w:p>
        </w:tc>
        <w:tc>
          <w:tcPr>
            <w:tcW w:w="0" w:type="auto"/>
            <w:hideMark/>
          </w:tcPr>
          <w:p w14:paraId="16F4089E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Protein-based component</w:t>
            </w:r>
          </w:p>
        </w:tc>
        <w:tc>
          <w:tcPr>
            <w:tcW w:w="0" w:type="auto"/>
            <w:hideMark/>
          </w:tcPr>
          <w:p w14:paraId="2AFB4ECC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Particle size</w:t>
            </w:r>
          </w:p>
        </w:tc>
        <w:tc>
          <w:tcPr>
            <w:tcW w:w="1630" w:type="dxa"/>
            <w:hideMark/>
          </w:tcPr>
          <w:p w14:paraId="060AA0D5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EGCG encapsulation efficiency</w:t>
            </w:r>
          </w:p>
        </w:tc>
        <w:tc>
          <w:tcPr>
            <w:tcW w:w="3077" w:type="dxa"/>
            <w:hideMark/>
          </w:tcPr>
          <w:p w14:paraId="60C8D21C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Stability improvement factor / stability-related readout</w:t>
            </w:r>
          </w:p>
        </w:tc>
        <w:tc>
          <w:tcPr>
            <w:tcW w:w="0" w:type="auto"/>
            <w:hideMark/>
          </w:tcPr>
          <w:p w14:paraId="133167FF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Transdermal or skin-delivery enhancement</w:t>
            </w:r>
          </w:p>
        </w:tc>
        <w:tc>
          <w:tcPr>
            <w:tcW w:w="0" w:type="auto"/>
            <w:hideMark/>
          </w:tcPr>
          <w:p w14:paraId="696F63B9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Main application</w:t>
            </w:r>
          </w:p>
        </w:tc>
        <w:tc>
          <w:tcPr>
            <w:tcW w:w="0" w:type="auto"/>
            <w:hideMark/>
          </w:tcPr>
          <w:p w14:paraId="715191FC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Reference</w:t>
            </w:r>
          </w:p>
        </w:tc>
      </w:tr>
      <w:tr w:rsidR="00915564" w:rsidRPr="00CA130E" w14:paraId="0A5867C1" w14:textId="77777777" w:rsidTr="00E758B8">
        <w:trPr>
          <w:jc w:val="left"/>
        </w:trPr>
        <w:tc>
          <w:tcPr>
            <w:tcW w:w="0" w:type="auto"/>
            <w:hideMark/>
          </w:tcPr>
          <w:p w14:paraId="65E0A4B4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EGCG–RHC NSs</w:t>
            </w:r>
          </w:p>
        </w:tc>
        <w:tc>
          <w:tcPr>
            <w:tcW w:w="0" w:type="auto"/>
            <w:hideMark/>
          </w:tcPr>
          <w:p w14:paraId="761B8353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Recombinant human type III collagen</w:t>
            </w:r>
          </w:p>
        </w:tc>
        <w:tc>
          <w:tcPr>
            <w:tcW w:w="0" w:type="auto"/>
            <w:hideMark/>
          </w:tcPr>
          <w:p w14:paraId="188A039C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94.55 ± 2.32 nm; PDI 0.18 ± 0.01</w:t>
            </w:r>
          </w:p>
        </w:tc>
        <w:tc>
          <w:tcPr>
            <w:tcW w:w="1630" w:type="dxa"/>
            <w:hideMark/>
          </w:tcPr>
          <w:p w14:paraId="01B94647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94.94%</w:t>
            </w:r>
          </w:p>
        </w:tc>
        <w:tc>
          <w:tcPr>
            <w:tcW w:w="3077" w:type="dxa"/>
            <w:hideMark/>
          </w:tcPr>
          <w:p w14:paraId="3BC9B3A9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12-week colloidal stability under 4°C/dark and 25°C/dark conditions; EGCG chemical retention factor not directly determined</w:t>
            </w:r>
          </w:p>
        </w:tc>
        <w:tc>
          <w:tcPr>
            <w:tcW w:w="0" w:type="auto"/>
            <w:hideMark/>
          </w:tcPr>
          <w:p w14:paraId="43FE3822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2.04-fold higher skin permeation at 24 h compared with FITC–RHC</w:t>
            </w:r>
          </w:p>
        </w:tc>
        <w:tc>
          <w:tcPr>
            <w:tcW w:w="0" w:type="auto"/>
            <w:hideMark/>
          </w:tcPr>
          <w:p w14:paraId="0ABC43C0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Topical anti-photoaging; antioxidant delivery and ECM remodeling</w:t>
            </w:r>
          </w:p>
        </w:tc>
        <w:tc>
          <w:tcPr>
            <w:tcW w:w="0" w:type="auto"/>
            <w:hideMark/>
          </w:tcPr>
          <w:p w14:paraId="737FD698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This study</w:t>
            </w:r>
          </w:p>
        </w:tc>
      </w:tr>
      <w:tr w:rsidR="00915564" w:rsidRPr="00CA130E" w14:paraId="2B4C6E59" w14:textId="77777777" w:rsidTr="00E758B8">
        <w:trPr>
          <w:jc w:val="left"/>
        </w:trPr>
        <w:tc>
          <w:tcPr>
            <w:tcW w:w="0" w:type="auto"/>
            <w:hideMark/>
          </w:tcPr>
          <w:p w14:paraId="7C910531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EGCG-loaded BLG–CA nanoparticles</w:t>
            </w:r>
          </w:p>
        </w:tc>
        <w:tc>
          <w:tcPr>
            <w:tcW w:w="0" w:type="auto"/>
            <w:hideMark/>
          </w:tcPr>
          <w:p w14:paraId="62811DD6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β-lactoglobulin–chlorogenic acid conjugate</w:t>
            </w:r>
          </w:p>
        </w:tc>
        <w:tc>
          <w:tcPr>
            <w:tcW w:w="0" w:type="auto"/>
            <w:hideMark/>
          </w:tcPr>
          <w:p w14:paraId="0E629075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105.8–110.3 nm</w:t>
            </w:r>
          </w:p>
        </w:tc>
        <w:tc>
          <w:tcPr>
            <w:tcW w:w="1630" w:type="dxa"/>
            <w:hideMark/>
          </w:tcPr>
          <w:p w14:paraId="764C99B0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71.8–73.5%</w:t>
            </w:r>
          </w:p>
        </w:tc>
        <w:tc>
          <w:tcPr>
            <w:tcW w:w="3077" w:type="dxa"/>
            <w:hideMark/>
          </w:tcPr>
          <w:p w14:paraId="73B0F630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 xml:space="preserve">EGCG retention at 6 h: 65.5% in BLG–CA-high nanoparticles vs 18.8% for free EGCG; approximately </w:t>
            </w: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3.5-fold</w:t>
            </w: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 xml:space="preserve"> retention improvement</w:t>
            </w:r>
          </w:p>
        </w:tc>
        <w:tc>
          <w:tcPr>
            <w:tcW w:w="0" w:type="auto"/>
            <w:hideMark/>
          </w:tcPr>
          <w:p w14:paraId="66E17603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NR</w:t>
            </w:r>
          </w:p>
        </w:tc>
        <w:tc>
          <w:tcPr>
            <w:tcW w:w="0" w:type="auto"/>
            <w:hideMark/>
          </w:tcPr>
          <w:p w14:paraId="7279448D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EGCG stabilization and simulated gastrointestinal delivery</w:t>
            </w:r>
          </w:p>
        </w:tc>
        <w:tc>
          <w:tcPr>
            <w:tcW w:w="0" w:type="auto"/>
            <w:hideMark/>
          </w:tcPr>
          <w:p w14:paraId="3147D1E8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t>[56]</w:t>
            </w:r>
          </w:p>
        </w:tc>
      </w:tr>
      <w:tr w:rsidR="00915564" w:rsidRPr="00CA130E" w14:paraId="22443E18" w14:textId="77777777" w:rsidTr="00E758B8">
        <w:trPr>
          <w:jc w:val="left"/>
        </w:trPr>
        <w:tc>
          <w:tcPr>
            <w:tcW w:w="0" w:type="auto"/>
            <w:hideMark/>
          </w:tcPr>
          <w:p w14:paraId="2E322799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β-Lg–GA–EGCG complex nanoparticles</w:t>
            </w:r>
          </w:p>
        </w:tc>
        <w:tc>
          <w:tcPr>
            <w:tcW w:w="0" w:type="auto"/>
            <w:hideMark/>
          </w:tcPr>
          <w:p w14:paraId="5525D533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 xml:space="preserve">β-lactoglobulin / gum </w:t>
            </w:r>
            <w:proofErr w:type="spellStart"/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arabic</w:t>
            </w:r>
            <w:proofErr w:type="spellEnd"/>
          </w:p>
        </w:tc>
        <w:tc>
          <w:tcPr>
            <w:tcW w:w="0" w:type="auto"/>
            <w:hideMark/>
          </w:tcPr>
          <w:p w14:paraId="2770DD58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133 nm</w:t>
            </w:r>
          </w:p>
        </w:tc>
        <w:tc>
          <w:tcPr>
            <w:tcW w:w="1630" w:type="dxa"/>
            <w:hideMark/>
          </w:tcPr>
          <w:p w14:paraId="2FE84E50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84.5%</w:t>
            </w:r>
          </w:p>
        </w:tc>
        <w:tc>
          <w:tcPr>
            <w:tcW w:w="3077" w:type="dxa"/>
            <w:hideMark/>
          </w:tcPr>
          <w:p w14:paraId="7E1128A1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Improved EGCG stability and controlled gastrointestinal release; exact stability improvement factor NR</w:t>
            </w:r>
          </w:p>
        </w:tc>
        <w:tc>
          <w:tcPr>
            <w:tcW w:w="0" w:type="auto"/>
            <w:hideMark/>
          </w:tcPr>
          <w:p w14:paraId="735092F5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NR</w:t>
            </w:r>
          </w:p>
        </w:tc>
        <w:tc>
          <w:tcPr>
            <w:tcW w:w="0" w:type="auto"/>
            <w:hideMark/>
          </w:tcPr>
          <w:p w14:paraId="7522C58D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Simulated gastrointestinal digestion / oral delivery</w:t>
            </w:r>
          </w:p>
        </w:tc>
        <w:tc>
          <w:tcPr>
            <w:tcW w:w="0" w:type="auto"/>
            <w:hideMark/>
          </w:tcPr>
          <w:p w14:paraId="52019880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t>[57]</w:t>
            </w:r>
          </w:p>
        </w:tc>
      </w:tr>
      <w:tr w:rsidR="00915564" w:rsidRPr="00CA130E" w14:paraId="1FE070E5" w14:textId="77777777" w:rsidTr="00E758B8">
        <w:trPr>
          <w:jc w:val="left"/>
        </w:trPr>
        <w:tc>
          <w:tcPr>
            <w:tcW w:w="0" w:type="auto"/>
            <w:hideMark/>
          </w:tcPr>
          <w:p w14:paraId="2F0EDF29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EGCG/gelatin/γ-PGA nanoparticles</w:t>
            </w:r>
          </w:p>
        </w:tc>
        <w:tc>
          <w:tcPr>
            <w:tcW w:w="0" w:type="auto"/>
            <w:hideMark/>
          </w:tcPr>
          <w:p w14:paraId="6893E376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Type-A gelatin / poly-γ-glutamic acid</w:t>
            </w:r>
          </w:p>
        </w:tc>
        <w:tc>
          <w:tcPr>
            <w:tcW w:w="0" w:type="auto"/>
            <w:hideMark/>
          </w:tcPr>
          <w:p w14:paraId="0C8A0F38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155.1 ± 7.3 nm</w:t>
            </w:r>
          </w:p>
        </w:tc>
        <w:tc>
          <w:tcPr>
            <w:tcW w:w="1630" w:type="dxa"/>
            <w:hideMark/>
          </w:tcPr>
          <w:p w14:paraId="277699A8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51.2–72.4%</w:t>
            </w:r>
          </w:p>
        </w:tc>
        <w:tc>
          <w:tcPr>
            <w:tcW w:w="3077" w:type="dxa"/>
            <w:hideMark/>
          </w:tcPr>
          <w:p w14:paraId="0BF1925C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 xml:space="preserve">DPPH activity after 14 days: 86.2% for nanoparticles vs 39.1% for free EGCG; approximately </w:t>
            </w:r>
            <w:r w:rsidRPr="00CA130E">
              <w:rPr>
                <w:rFonts w:eastAsia="宋体" w:cs="Times New Roman"/>
                <w:b/>
                <w:bCs/>
                <w:kern w:val="0"/>
                <w:szCs w:val="24"/>
                <w14:ligatures w14:val="none"/>
              </w:rPr>
              <w:t>2.2-fold</w:t>
            </w: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 xml:space="preserve"> antioxidant-retention improvement</w:t>
            </w:r>
          </w:p>
        </w:tc>
        <w:tc>
          <w:tcPr>
            <w:tcW w:w="0" w:type="auto"/>
            <w:hideMark/>
          </w:tcPr>
          <w:p w14:paraId="4D887C1C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NR for skin delivery; approximately 3.1-fold higher Caco-2 transport than free EGCG</w:t>
            </w:r>
          </w:p>
        </w:tc>
        <w:tc>
          <w:tcPr>
            <w:tcW w:w="0" w:type="auto"/>
            <w:hideMark/>
          </w:tcPr>
          <w:p w14:paraId="080E09DA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Functional food delivery; intestinal transport</w:t>
            </w:r>
          </w:p>
        </w:tc>
        <w:tc>
          <w:tcPr>
            <w:tcW w:w="0" w:type="auto"/>
            <w:hideMark/>
          </w:tcPr>
          <w:p w14:paraId="1D9CB535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t>[26]</w:t>
            </w:r>
          </w:p>
        </w:tc>
      </w:tr>
      <w:tr w:rsidR="00915564" w:rsidRPr="00CA130E" w14:paraId="518D0DA3" w14:textId="77777777" w:rsidTr="00E758B8">
        <w:trPr>
          <w:jc w:val="left"/>
        </w:trPr>
        <w:tc>
          <w:tcPr>
            <w:tcW w:w="0" w:type="auto"/>
            <w:hideMark/>
          </w:tcPr>
          <w:p w14:paraId="0057D557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EGCG-loaded BSA/PUL nanoparticles</w:t>
            </w:r>
          </w:p>
        </w:tc>
        <w:tc>
          <w:tcPr>
            <w:tcW w:w="0" w:type="auto"/>
            <w:hideMark/>
          </w:tcPr>
          <w:p w14:paraId="44A01D68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Bovine serum albumin / pullulan</w:t>
            </w:r>
          </w:p>
        </w:tc>
        <w:tc>
          <w:tcPr>
            <w:tcW w:w="0" w:type="auto"/>
            <w:hideMark/>
          </w:tcPr>
          <w:p w14:paraId="4D94FE77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Approximately 350 nm by TEM for BSA/PUL carrier nanoparticles</w:t>
            </w:r>
          </w:p>
        </w:tc>
        <w:tc>
          <w:tcPr>
            <w:tcW w:w="1630" w:type="dxa"/>
            <w:hideMark/>
          </w:tcPr>
          <w:p w14:paraId="67F301BB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&gt;99.0%</w:t>
            </w:r>
          </w:p>
        </w:tc>
        <w:tc>
          <w:tcPr>
            <w:tcW w:w="3077" w:type="dxa"/>
            <w:hideMark/>
          </w:tcPr>
          <w:p w14:paraId="70964F5A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High stability and continuous EGCG release over 6 h; exact stability improvement factor NR</w:t>
            </w:r>
          </w:p>
        </w:tc>
        <w:tc>
          <w:tcPr>
            <w:tcW w:w="0" w:type="auto"/>
            <w:hideMark/>
          </w:tcPr>
          <w:p w14:paraId="516F2987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NR</w:t>
            </w:r>
          </w:p>
        </w:tc>
        <w:tc>
          <w:tcPr>
            <w:tcW w:w="0" w:type="auto"/>
            <w:hideMark/>
          </w:tcPr>
          <w:p w14:paraId="3099075F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Antioxidant delivery / food-grade EGCG carrier</w:t>
            </w:r>
          </w:p>
        </w:tc>
        <w:tc>
          <w:tcPr>
            <w:tcW w:w="0" w:type="auto"/>
            <w:hideMark/>
          </w:tcPr>
          <w:p w14:paraId="79BC8D7E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t>[58]</w:t>
            </w:r>
          </w:p>
        </w:tc>
      </w:tr>
      <w:tr w:rsidR="00915564" w:rsidRPr="00CA130E" w14:paraId="7FCFA9EB" w14:textId="77777777" w:rsidTr="00E758B8">
        <w:trPr>
          <w:jc w:val="left"/>
        </w:trPr>
        <w:tc>
          <w:tcPr>
            <w:tcW w:w="0" w:type="auto"/>
            <w:hideMark/>
          </w:tcPr>
          <w:p w14:paraId="2B511197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Zein–GA–EGCG complex nanoparticles</w:t>
            </w:r>
          </w:p>
        </w:tc>
        <w:tc>
          <w:tcPr>
            <w:tcW w:w="0" w:type="auto"/>
            <w:hideMark/>
          </w:tcPr>
          <w:p w14:paraId="601C8C7E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 xml:space="preserve">Zein / gum </w:t>
            </w:r>
            <w:proofErr w:type="spellStart"/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arabic</w:t>
            </w:r>
            <w:proofErr w:type="spellEnd"/>
          </w:p>
        </w:tc>
        <w:tc>
          <w:tcPr>
            <w:tcW w:w="0" w:type="auto"/>
            <w:hideMark/>
          </w:tcPr>
          <w:p w14:paraId="4246B848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128.03–221.23 nm</w:t>
            </w:r>
          </w:p>
        </w:tc>
        <w:tc>
          <w:tcPr>
            <w:tcW w:w="1630" w:type="dxa"/>
            <w:hideMark/>
          </w:tcPr>
          <w:p w14:paraId="2E187B53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Up to 75.23%</w:t>
            </w:r>
          </w:p>
        </w:tc>
        <w:tc>
          <w:tcPr>
            <w:tcW w:w="3077" w:type="dxa"/>
            <w:hideMark/>
          </w:tcPr>
          <w:p w14:paraId="7C3FD878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Lower EGCG release during simulated gastric digestion than Zein–EGCG nanoparticles; exact stability improvement factor NR</w:t>
            </w:r>
          </w:p>
        </w:tc>
        <w:tc>
          <w:tcPr>
            <w:tcW w:w="0" w:type="auto"/>
            <w:hideMark/>
          </w:tcPr>
          <w:p w14:paraId="38607213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NR</w:t>
            </w:r>
          </w:p>
        </w:tc>
        <w:tc>
          <w:tcPr>
            <w:tcW w:w="0" w:type="auto"/>
            <w:hideMark/>
          </w:tcPr>
          <w:p w14:paraId="67050DC1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rPr>
                <w:rFonts w:eastAsia="宋体" w:cs="Times New Roman"/>
                <w:kern w:val="0"/>
                <w:szCs w:val="24"/>
                <w14:ligatures w14:val="none"/>
              </w:rPr>
              <w:t>EGCG protection and simulated digestion</w:t>
            </w:r>
          </w:p>
        </w:tc>
        <w:tc>
          <w:tcPr>
            <w:tcW w:w="0" w:type="auto"/>
            <w:hideMark/>
          </w:tcPr>
          <w:p w14:paraId="47ED908F" w14:textId="77777777" w:rsidR="00915564" w:rsidRPr="00CA130E" w:rsidRDefault="00915564" w:rsidP="00E758B8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CA130E">
              <w:t>[59]</w:t>
            </w:r>
          </w:p>
        </w:tc>
      </w:tr>
    </w:tbl>
    <w:p w14:paraId="633732F4" w14:textId="6A7DFC2E" w:rsidR="00CA130E" w:rsidRPr="00CA130E" w:rsidRDefault="0089731A" w:rsidP="00915564">
      <w:pPr>
        <w:widowControl/>
        <w:spacing w:line="240" w:lineRule="auto"/>
        <w:jc w:val="left"/>
      </w:pPr>
      <w:r>
        <w:t>Table S2</w:t>
      </w:r>
      <w:r>
        <w:rPr>
          <w:rFonts w:hint="eastAsia"/>
        </w:rPr>
        <w:t>.</w:t>
      </w:r>
      <w:r w:rsidRPr="0089731A">
        <w:t xml:space="preserve"> </w:t>
      </w:r>
      <w:r>
        <w:t xml:space="preserve">Quantitative comparison of EGCG–RHC NSs with representative EGCG–protein or protein-containing </w:t>
      </w:r>
      <w:proofErr w:type="spellStart"/>
      <w:r>
        <w:t>nanosystems</w:t>
      </w:r>
      <w:proofErr w:type="spellEnd"/>
    </w:p>
    <w:sectPr w:rsidR="00CA130E" w:rsidRPr="00CA130E" w:rsidSect="00915564">
      <w:pgSz w:w="16838" w:h="11906" w:orient="landscape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26190" w14:textId="77777777" w:rsidR="0007150E" w:rsidRDefault="0007150E" w:rsidP="00B34B2A">
      <w:r>
        <w:separator/>
      </w:r>
    </w:p>
  </w:endnote>
  <w:endnote w:type="continuationSeparator" w:id="0">
    <w:p w14:paraId="118A6663" w14:textId="77777777" w:rsidR="0007150E" w:rsidRDefault="0007150E" w:rsidP="00B34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B99E1" w14:textId="77777777" w:rsidR="0007150E" w:rsidRDefault="0007150E" w:rsidP="00B34B2A">
      <w:r>
        <w:separator/>
      </w:r>
    </w:p>
  </w:footnote>
  <w:footnote w:type="continuationSeparator" w:id="0">
    <w:p w14:paraId="6FE20BAE" w14:textId="77777777" w:rsidR="0007150E" w:rsidRDefault="0007150E" w:rsidP="00B34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6DF3"/>
    <w:multiLevelType w:val="hybridMultilevel"/>
    <w:tmpl w:val="90C42AB2"/>
    <w:lvl w:ilvl="0" w:tplc="FA7C094E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20823B1"/>
    <w:multiLevelType w:val="hybridMultilevel"/>
    <w:tmpl w:val="F7A4D6E4"/>
    <w:lvl w:ilvl="0" w:tplc="04090011">
      <w:start w:val="1"/>
      <w:numFmt w:val="decimal"/>
      <w:lvlText w:val="%1)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0257734D"/>
    <w:multiLevelType w:val="hybridMultilevel"/>
    <w:tmpl w:val="327E8A36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06C6066B"/>
    <w:multiLevelType w:val="hybridMultilevel"/>
    <w:tmpl w:val="B1F46FFA"/>
    <w:lvl w:ilvl="0" w:tplc="04090011">
      <w:start w:val="1"/>
      <w:numFmt w:val="decimal"/>
      <w:lvlText w:val="%1)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10151BF0"/>
    <w:multiLevelType w:val="hybridMultilevel"/>
    <w:tmpl w:val="16063A1C"/>
    <w:lvl w:ilvl="0" w:tplc="FA7C094E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39E4856"/>
    <w:multiLevelType w:val="hybridMultilevel"/>
    <w:tmpl w:val="E3CC8BFC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8B85816"/>
    <w:multiLevelType w:val="multilevel"/>
    <w:tmpl w:val="24A07472"/>
    <w:lvl w:ilvl="0">
      <w:start w:val="1"/>
      <w:numFmt w:val="decimal"/>
      <w:pStyle w:val="1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425" w:hanging="425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Zero"/>
      <w:lvlRestart w:val="0"/>
      <w:pStyle w:val="5"/>
      <w:suff w:val="space"/>
      <w:lvlText w:val="实验操作 %5："/>
      <w:lvlJc w:val="left"/>
      <w:pPr>
        <w:ind w:left="708" w:hanging="425"/>
      </w:pPr>
      <w:rPr>
        <w:rFonts w:hint="eastAsia"/>
        <w:lang w:val="en-US"/>
      </w:rPr>
    </w:lvl>
    <w:lvl w:ilvl="5">
      <w:start w:val="1"/>
      <w:numFmt w:val="decimalZero"/>
      <w:lvlRestart w:val="0"/>
      <w:pStyle w:val="6"/>
      <w:suff w:val="space"/>
      <w:lvlText w:val="实验数据 %6："/>
      <w:lvlJc w:val="left"/>
      <w:pPr>
        <w:ind w:left="566" w:hanging="425"/>
      </w:p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2C7711B3"/>
    <w:multiLevelType w:val="multilevel"/>
    <w:tmpl w:val="12548904"/>
    <w:lvl w:ilvl="0">
      <w:start w:val="1"/>
      <w:numFmt w:val="decimal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suff w:val="space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Zero"/>
      <w:suff w:val="space"/>
      <w:lvlText w:val="图 %5："/>
      <w:lvlJc w:val="left"/>
      <w:pPr>
        <w:ind w:left="567" w:hanging="425"/>
      </w:pPr>
      <w:rPr>
        <w:rFonts w:hint="eastAsia"/>
      </w:rPr>
    </w:lvl>
    <w:lvl w:ilvl="5">
      <w:start w:val="1"/>
      <w:numFmt w:val="decimalZero"/>
      <w:lvlRestart w:val="0"/>
      <w:suff w:val="space"/>
      <w:lvlText w:val="实验数据 %6："/>
      <w:lvlJc w:val="left"/>
      <w:pPr>
        <w:ind w:left="2126" w:hanging="425"/>
      </w:pPr>
      <w:rPr>
        <w:rFonts w:hint="eastAsia"/>
      </w:rPr>
    </w:lvl>
    <w:lvl w:ilvl="6">
      <w:start w:val="1"/>
      <w:numFmt w:val="decimal"/>
      <w:pStyle w:val="7"/>
      <w:suff w:val="space"/>
      <w:lvlText w:val="图%7. "/>
      <w:lvlJc w:val="left"/>
      <w:pPr>
        <w:ind w:left="2409" w:firstLine="0"/>
      </w:pPr>
      <w:rPr>
        <w:rFonts w:hint="eastAsia"/>
        <w:lang w:val="en-US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2D6D67AE"/>
    <w:multiLevelType w:val="hybridMultilevel"/>
    <w:tmpl w:val="C1602572"/>
    <w:lvl w:ilvl="0" w:tplc="04090011">
      <w:start w:val="1"/>
      <w:numFmt w:val="decimal"/>
      <w:lvlText w:val="%1)"/>
      <w:lvlJc w:val="left"/>
      <w:pPr>
        <w:ind w:left="920" w:hanging="440"/>
      </w:pPr>
    </w:lvl>
    <w:lvl w:ilvl="1" w:tplc="FFFFFFFF" w:tentative="1">
      <w:start w:val="1"/>
      <w:numFmt w:val="lowerLetter"/>
      <w:lvlText w:val="%2)"/>
      <w:lvlJc w:val="left"/>
      <w:pPr>
        <w:ind w:left="1360" w:hanging="440"/>
      </w:pPr>
    </w:lvl>
    <w:lvl w:ilvl="2" w:tplc="FFFFFFFF" w:tentative="1">
      <w:start w:val="1"/>
      <w:numFmt w:val="lowerRoman"/>
      <w:lvlText w:val="%3."/>
      <w:lvlJc w:val="righ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lowerLetter"/>
      <w:lvlText w:val="%5)"/>
      <w:lvlJc w:val="left"/>
      <w:pPr>
        <w:ind w:left="2680" w:hanging="440"/>
      </w:pPr>
    </w:lvl>
    <w:lvl w:ilvl="5" w:tplc="FFFFFFFF" w:tentative="1">
      <w:start w:val="1"/>
      <w:numFmt w:val="lowerRoman"/>
      <w:lvlText w:val="%6."/>
      <w:lvlJc w:val="righ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lowerLetter"/>
      <w:lvlText w:val="%8)"/>
      <w:lvlJc w:val="left"/>
      <w:pPr>
        <w:ind w:left="4000" w:hanging="440"/>
      </w:pPr>
    </w:lvl>
    <w:lvl w:ilvl="8" w:tplc="FFFFFFFF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39104EBD"/>
    <w:multiLevelType w:val="hybridMultilevel"/>
    <w:tmpl w:val="7D941560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3A68792C"/>
    <w:multiLevelType w:val="hybridMultilevel"/>
    <w:tmpl w:val="B89A908C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F8A4AF5"/>
    <w:multiLevelType w:val="hybridMultilevel"/>
    <w:tmpl w:val="D9D8BC2E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A2D3CDA"/>
    <w:multiLevelType w:val="multilevel"/>
    <w:tmpl w:val="D050337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表%8 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5AC2153E"/>
    <w:multiLevelType w:val="multilevel"/>
    <w:tmpl w:val="74101788"/>
    <w:lvl w:ilvl="0">
      <w:start w:val="1"/>
      <w:numFmt w:val="decimal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suff w:val="space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Zero"/>
      <w:suff w:val="space"/>
      <w:lvlText w:val="实验操作%5：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" w15:restartNumberingAfterBreak="0">
    <w:nsid w:val="60C83474"/>
    <w:multiLevelType w:val="multilevel"/>
    <w:tmpl w:val="FA0C67B4"/>
    <w:lvl w:ilvl="0">
      <w:start w:val="1"/>
      <w:numFmt w:val="decimal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suff w:val="space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none"/>
      <w:suff w:val="space"/>
      <w:lvlText w:val="操作流程1：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6F8F01F9"/>
    <w:multiLevelType w:val="hybridMultilevel"/>
    <w:tmpl w:val="A8007BA4"/>
    <w:lvl w:ilvl="0" w:tplc="810C354E">
      <w:start w:val="1"/>
      <w:numFmt w:val="decimalEnclosedCircle"/>
      <w:lvlText w:val="%1"/>
      <w:lvlJc w:val="left"/>
      <w:pPr>
        <w:ind w:left="86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6" w15:restartNumberingAfterBreak="0">
    <w:nsid w:val="7EE15E0D"/>
    <w:multiLevelType w:val="hybridMultilevel"/>
    <w:tmpl w:val="659EC2B8"/>
    <w:lvl w:ilvl="0" w:tplc="810C354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643435167">
    <w:abstractNumId w:val="6"/>
  </w:num>
  <w:num w:numId="2" w16cid:durableId="1378970613">
    <w:abstractNumId w:val="14"/>
  </w:num>
  <w:num w:numId="3" w16cid:durableId="8851454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0462060">
    <w:abstractNumId w:val="13"/>
  </w:num>
  <w:num w:numId="5" w16cid:durableId="283275714">
    <w:abstractNumId w:val="13"/>
  </w:num>
  <w:num w:numId="6" w16cid:durableId="854197503">
    <w:abstractNumId w:val="13"/>
    <w:lvlOverride w:ilvl="0">
      <w:lvl w:ilvl="0">
        <w:start w:val="1"/>
        <w:numFmt w:val="decimal"/>
        <w:suff w:val="space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425" w:hanging="425"/>
        </w:pPr>
        <w:rPr>
          <w:rFonts w:hint="eastAsia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425" w:hanging="425"/>
        </w:pPr>
        <w:rPr>
          <w:rFonts w:hint="eastAsia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425" w:hanging="425"/>
        </w:pPr>
        <w:rPr>
          <w:rFonts w:hint="eastAsia"/>
        </w:rPr>
      </w:lvl>
    </w:lvlOverride>
    <w:lvlOverride w:ilvl="4">
      <w:lvl w:ilvl="4">
        <w:start w:val="1"/>
        <w:numFmt w:val="none"/>
        <w:suff w:val="space"/>
        <w:lvlText w:val=""/>
        <w:lvlJc w:val="left"/>
        <w:pPr>
          <w:ind w:left="425" w:hanging="425"/>
        </w:pPr>
        <w:rPr>
          <w:rFonts w:hint="eastAsia"/>
        </w:rPr>
      </w:lvl>
    </w:lvlOverride>
    <w:lvlOverride w:ilvl="5">
      <w:lvl w:ilvl="5">
        <w:start w:val="1"/>
        <w:numFmt w:val="decimal"/>
        <w:suff w:val="space"/>
        <w:lvlText w:val="实验数据%6"/>
        <w:lvlJc w:val="left"/>
        <w:pPr>
          <w:ind w:left="425" w:hanging="425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7" w16cid:durableId="2064088008">
    <w:abstractNumId w:val="6"/>
    <w:lvlOverride w:ilvl="0">
      <w:lvl w:ilvl="0">
        <w:start w:val="1"/>
        <w:numFmt w:val="decimal"/>
        <w:pStyle w:val="1"/>
        <w:suff w:val="space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pStyle w:val="2"/>
        <w:suff w:val="space"/>
        <w:lvlText w:val="%1.%2"/>
        <w:lvlJc w:val="left"/>
        <w:pPr>
          <w:ind w:left="425" w:hanging="425"/>
        </w:pPr>
        <w:rPr>
          <w:rFonts w:hint="eastAsia"/>
        </w:rPr>
      </w:lvl>
    </w:lvlOverride>
    <w:lvlOverride w:ilvl="2">
      <w:lvl w:ilvl="2">
        <w:start w:val="1"/>
        <w:numFmt w:val="decimal"/>
        <w:pStyle w:val="3"/>
        <w:suff w:val="space"/>
        <w:lvlText w:val="%1.%2.%3"/>
        <w:lvlJc w:val="left"/>
        <w:pPr>
          <w:ind w:left="425" w:hanging="425"/>
        </w:pPr>
        <w:rPr>
          <w:rFonts w:hint="eastAsia"/>
        </w:rPr>
      </w:lvl>
    </w:lvlOverride>
    <w:lvlOverride w:ilvl="3">
      <w:lvl w:ilvl="3">
        <w:start w:val="1"/>
        <w:numFmt w:val="decimal"/>
        <w:pStyle w:val="4"/>
        <w:suff w:val="space"/>
        <w:lvlText w:val="%1.%2.%3.%4"/>
        <w:lvlJc w:val="left"/>
        <w:pPr>
          <w:ind w:left="425" w:hanging="425"/>
        </w:pPr>
        <w:rPr>
          <w:rFonts w:hint="eastAsia"/>
        </w:rPr>
      </w:lvl>
    </w:lvlOverride>
    <w:lvlOverride w:ilvl="4">
      <w:lvl w:ilvl="4">
        <w:start w:val="1"/>
        <w:numFmt w:val="decimal"/>
        <w:pStyle w:val="5"/>
        <w:lvlText w:val="操作流程 %5"/>
        <w:lvlJc w:val="left"/>
        <w:pPr>
          <w:ind w:left="425" w:hanging="425"/>
        </w:pPr>
        <w:rPr>
          <w:rFonts w:hint="eastAsia"/>
        </w:rPr>
      </w:lvl>
    </w:lvlOverride>
    <w:lvlOverride w:ilvl="5">
      <w:lvl w:ilvl="5">
        <w:start w:val="1"/>
        <w:numFmt w:val="decimal"/>
        <w:pStyle w:val="6"/>
        <w:suff w:val="space"/>
        <w:lvlText w:val="实验数据%6："/>
        <w:lvlJc w:val="left"/>
        <w:pPr>
          <w:ind w:left="425" w:hanging="425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8" w16cid:durableId="7873114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938181">
    <w:abstractNumId w:val="13"/>
    <w:lvlOverride w:ilvl="0">
      <w:lvl w:ilvl="0">
        <w:start w:val="1"/>
        <w:numFmt w:val="decimal"/>
        <w:suff w:val="space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425" w:hanging="425"/>
        </w:pPr>
        <w:rPr>
          <w:rFonts w:hint="eastAsia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425" w:hanging="425"/>
        </w:pPr>
        <w:rPr>
          <w:rFonts w:hint="eastAsia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425" w:hanging="425"/>
        </w:pPr>
        <w:rPr>
          <w:rFonts w:hint="eastAsia"/>
        </w:rPr>
      </w:lvl>
    </w:lvlOverride>
    <w:lvlOverride w:ilvl="4">
      <w:lvl w:ilvl="4">
        <w:start w:val="1"/>
        <w:numFmt w:val="decimalZero"/>
        <w:suff w:val="space"/>
        <w:lvlText w:val="实验操作%5："/>
        <w:lvlJc w:val="left"/>
        <w:pPr>
          <w:ind w:left="425" w:hanging="425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0" w16cid:durableId="9019073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71815963">
    <w:abstractNumId w:val="6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2"/>
    </w:lvlOverride>
    <w:lvlOverride w:ilvl="4">
      <w:startOverride w:val="1"/>
    </w:lvlOverride>
    <w:lvlOverride w:ilvl="5">
      <w:startOverride w:val="2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63020307">
    <w:abstractNumId w:val="6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3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31844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755588">
    <w:abstractNumId w:val="0"/>
  </w:num>
  <w:num w:numId="15" w16cid:durableId="75367844">
    <w:abstractNumId w:val="4"/>
  </w:num>
  <w:num w:numId="16" w16cid:durableId="1639022180">
    <w:abstractNumId w:val="5"/>
  </w:num>
  <w:num w:numId="17" w16cid:durableId="2074886807">
    <w:abstractNumId w:val="15"/>
  </w:num>
  <w:num w:numId="18" w16cid:durableId="2070764981">
    <w:abstractNumId w:val="16"/>
  </w:num>
  <w:num w:numId="19" w16cid:durableId="40372822">
    <w:abstractNumId w:val="7"/>
  </w:num>
  <w:num w:numId="20" w16cid:durableId="79571921">
    <w:abstractNumId w:val="10"/>
  </w:num>
  <w:num w:numId="21" w16cid:durableId="984941250">
    <w:abstractNumId w:val="1"/>
  </w:num>
  <w:num w:numId="22" w16cid:durableId="1503009496">
    <w:abstractNumId w:val="3"/>
  </w:num>
  <w:num w:numId="23" w16cid:durableId="1950579771">
    <w:abstractNumId w:val="9"/>
  </w:num>
  <w:num w:numId="24" w16cid:durableId="920409859">
    <w:abstractNumId w:val="12"/>
  </w:num>
  <w:num w:numId="25" w16cid:durableId="446200453">
    <w:abstractNumId w:val="2"/>
  </w:num>
  <w:num w:numId="26" w16cid:durableId="1564607076">
    <w:abstractNumId w:val="8"/>
  </w:num>
  <w:num w:numId="27" w16cid:durableId="4335945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attachedTemplate r:id="rId1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A2NDU2tTS3NLUwNTZQ0lEKTi0uzszPAymwrAUA+pcPnCwAAAA="/>
  </w:docVars>
  <w:rsids>
    <w:rsidRoot w:val="00334453"/>
    <w:rsid w:val="00002F76"/>
    <w:rsid w:val="00003DF2"/>
    <w:rsid w:val="0000479C"/>
    <w:rsid w:val="000065A7"/>
    <w:rsid w:val="00007216"/>
    <w:rsid w:val="00007CA5"/>
    <w:rsid w:val="00011128"/>
    <w:rsid w:val="00011E51"/>
    <w:rsid w:val="0001205A"/>
    <w:rsid w:val="00012433"/>
    <w:rsid w:val="0002150E"/>
    <w:rsid w:val="0002174C"/>
    <w:rsid w:val="000230AE"/>
    <w:rsid w:val="00027D2F"/>
    <w:rsid w:val="0003156F"/>
    <w:rsid w:val="000330AE"/>
    <w:rsid w:val="00033377"/>
    <w:rsid w:val="000361F9"/>
    <w:rsid w:val="000405DF"/>
    <w:rsid w:val="00044369"/>
    <w:rsid w:val="0004495B"/>
    <w:rsid w:val="00044CDE"/>
    <w:rsid w:val="0005241D"/>
    <w:rsid w:val="00052455"/>
    <w:rsid w:val="00055C8D"/>
    <w:rsid w:val="00062248"/>
    <w:rsid w:val="00062ABC"/>
    <w:rsid w:val="00064FF7"/>
    <w:rsid w:val="000659E0"/>
    <w:rsid w:val="0007150E"/>
    <w:rsid w:val="00071CEC"/>
    <w:rsid w:val="00073046"/>
    <w:rsid w:val="0007379F"/>
    <w:rsid w:val="0007388C"/>
    <w:rsid w:val="000801BC"/>
    <w:rsid w:val="00080F08"/>
    <w:rsid w:val="00083C9E"/>
    <w:rsid w:val="00085627"/>
    <w:rsid w:val="00087A0D"/>
    <w:rsid w:val="00091FA2"/>
    <w:rsid w:val="00092FD2"/>
    <w:rsid w:val="000944A5"/>
    <w:rsid w:val="00094715"/>
    <w:rsid w:val="00094794"/>
    <w:rsid w:val="00094B5F"/>
    <w:rsid w:val="000952C0"/>
    <w:rsid w:val="00096155"/>
    <w:rsid w:val="000A0336"/>
    <w:rsid w:val="000A3278"/>
    <w:rsid w:val="000A6FAD"/>
    <w:rsid w:val="000A7583"/>
    <w:rsid w:val="000A7BA0"/>
    <w:rsid w:val="000B0192"/>
    <w:rsid w:val="000B3265"/>
    <w:rsid w:val="000B577D"/>
    <w:rsid w:val="000C13B3"/>
    <w:rsid w:val="000C13DF"/>
    <w:rsid w:val="000C3C49"/>
    <w:rsid w:val="000C3E28"/>
    <w:rsid w:val="000C4FA7"/>
    <w:rsid w:val="000C6C91"/>
    <w:rsid w:val="000C6F5E"/>
    <w:rsid w:val="000D0D5E"/>
    <w:rsid w:val="000D2B6B"/>
    <w:rsid w:val="000D5B09"/>
    <w:rsid w:val="000D6B9B"/>
    <w:rsid w:val="000D77DB"/>
    <w:rsid w:val="000E115C"/>
    <w:rsid w:val="000E1374"/>
    <w:rsid w:val="00100397"/>
    <w:rsid w:val="00103534"/>
    <w:rsid w:val="00103868"/>
    <w:rsid w:val="00106970"/>
    <w:rsid w:val="00110250"/>
    <w:rsid w:val="001143B8"/>
    <w:rsid w:val="0011597C"/>
    <w:rsid w:val="00115E21"/>
    <w:rsid w:val="00116B2C"/>
    <w:rsid w:val="00117041"/>
    <w:rsid w:val="0012055E"/>
    <w:rsid w:val="00124D6A"/>
    <w:rsid w:val="00125CD4"/>
    <w:rsid w:val="00126425"/>
    <w:rsid w:val="00126CA8"/>
    <w:rsid w:val="001305E5"/>
    <w:rsid w:val="0013082C"/>
    <w:rsid w:val="00130A09"/>
    <w:rsid w:val="00132432"/>
    <w:rsid w:val="00135AAE"/>
    <w:rsid w:val="0013619A"/>
    <w:rsid w:val="00136C99"/>
    <w:rsid w:val="0013778D"/>
    <w:rsid w:val="001379C5"/>
    <w:rsid w:val="0014623D"/>
    <w:rsid w:val="00147759"/>
    <w:rsid w:val="00151EB8"/>
    <w:rsid w:val="00154003"/>
    <w:rsid w:val="00154BF0"/>
    <w:rsid w:val="00155789"/>
    <w:rsid w:val="001561D5"/>
    <w:rsid w:val="0016018B"/>
    <w:rsid w:val="0016028E"/>
    <w:rsid w:val="00161FD0"/>
    <w:rsid w:val="00162F1A"/>
    <w:rsid w:val="001633B0"/>
    <w:rsid w:val="00167671"/>
    <w:rsid w:val="0017298C"/>
    <w:rsid w:val="00181DDF"/>
    <w:rsid w:val="00181F47"/>
    <w:rsid w:val="001846CC"/>
    <w:rsid w:val="00190312"/>
    <w:rsid w:val="00190427"/>
    <w:rsid w:val="001907E9"/>
    <w:rsid w:val="00190A1E"/>
    <w:rsid w:val="001921A7"/>
    <w:rsid w:val="00192E27"/>
    <w:rsid w:val="0019391E"/>
    <w:rsid w:val="00196A05"/>
    <w:rsid w:val="00197560"/>
    <w:rsid w:val="001A1F5C"/>
    <w:rsid w:val="001B0172"/>
    <w:rsid w:val="001B11EC"/>
    <w:rsid w:val="001B2A97"/>
    <w:rsid w:val="001B4232"/>
    <w:rsid w:val="001B4481"/>
    <w:rsid w:val="001C0227"/>
    <w:rsid w:val="001C24BA"/>
    <w:rsid w:val="001C3190"/>
    <w:rsid w:val="001C33DC"/>
    <w:rsid w:val="001C3977"/>
    <w:rsid w:val="001C39CB"/>
    <w:rsid w:val="001C4091"/>
    <w:rsid w:val="001D29C6"/>
    <w:rsid w:val="001D3624"/>
    <w:rsid w:val="001D52C4"/>
    <w:rsid w:val="001E26B1"/>
    <w:rsid w:val="001E3320"/>
    <w:rsid w:val="001F2369"/>
    <w:rsid w:val="001F3BD2"/>
    <w:rsid w:val="001F7A51"/>
    <w:rsid w:val="001F7D0A"/>
    <w:rsid w:val="00201F62"/>
    <w:rsid w:val="00210176"/>
    <w:rsid w:val="00212399"/>
    <w:rsid w:val="00213853"/>
    <w:rsid w:val="0021433C"/>
    <w:rsid w:val="00216639"/>
    <w:rsid w:val="0022027B"/>
    <w:rsid w:val="00220581"/>
    <w:rsid w:val="00222A6F"/>
    <w:rsid w:val="0022625D"/>
    <w:rsid w:val="00230927"/>
    <w:rsid w:val="00234629"/>
    <w:rsid w:val="0023467D"/>
    <w:rsid w:val="0023738A"/>
    <w:rsid w:val="002405DE"/>
    <w:rsid w:val="00240C26"/>
    <w:rsid w:val="0024213F"/>
    <w:rsid w:val="00262C7D"/>
    <w:rsid w:val="00262E85"/>
    <w:rsid w:val="002649E6"/>
    <w:rsid w:val="00276A82"/>
    <w:rsid w:val="002778C1"/>
    <w:rsid w:val="0028544B"/>
    <w:rsid w:val="002856B3"/>
    <w:rsid w:val="00295E3D"/>
    <w:rsid w:val="002A2BA3"/>
    <w:rsid w:val="002A31DB"/>
    <w:rsid w:val="002A5D69"/>
    <w:rsid w:val="002A6325"/>
    <w:rsid w:val="002A6C7B"/>
    <w:rsid w:val="002B1355"/>
    <w:rsid w:val="002B2DC3"/>
    <w:rsid w:val="002B61DF"/>
    <w:rsid w:val="002B6D01"/>
    <w:rsid w:val="002C0B66"/>
    <w:rsid w:val="002C1F38"/>
    <w:rsid w:val="002C237E"/>
    <w:rsid w:val="002C43CE"/>
    <w:rsid w:val="002C5531"/>
    <w:rsid w:val="002D1ABE"/>
    <w:rsid w:val="002D2622"/>
    <w:rsid w:val="002D37FD"/>
    <w:rsid w:val="002D4858"/>
    <w:rsid w:val="002D6B5D"/>
    <w:rsid w:val="002D6BF4"/>
    <w:rsid w:val="002D7697"/>
    <w:rsid w:val="002E03A3"/>
    <w:rsid w:val="002E2669"/>
    <w:rsid w:val="002E413F"/>
    <w:rsid w:val="002E4DA5"/>
    <w:rsid w:val="002E591F"/>
    <w:rsid w:val="002F2D5D"/>
    <w:rsid w:val="002F3544"/>
    <w:rsid w:val="002F7377"/>
    <w:rsid w:val="002F7A5B"/>
    <w:rsid w:val="002F7F53"/>
    <w:rsid w:val="003019AB"/>
    <w:rsid w:val="00302690"/>
    <w:rsid w:val="003035D6"/>
    <w:rsid w:val="00305FB3"/>
    <w:rsid w:val="003063B1"/>
    <w:rsid w:val="00307D3D"/>
    <w:rsid w:val="003111E8"/>
    <w:rsid w:val="00312214"/>
    <w:rsid w:val="00312457"/>
    <w:rsid w:val="00313DF2"/>
    <w:rsid w:val="00313E81"/>
    <w:rsid w:val="003146D0"/>
    <w:rsid w:val="00315194"/>
    <w:rsid w:val="00315351"/>
    <w:rsid w:val="003160BB"/>
    <w:rsid w:val="00320C06"/>
    <w:rsid w:val="00322313"/>
    <w:rsid w:val="00322655"/>
    <w:rsid w:val="0032298F"/>
    <w:rsid w:val="003246AC"/>
    <w:rsid w:val="0032560B"/>
    <w:rsid w:val="00325A43"/>
    <w:rsid w:val="00332932"/>
    <w:rsid w:val="00334453"/>
    <w:rsid w:val="00334E4D"/>
    <w:rsid w:val="0034196C"/>
    <w:rsid w:val="00344A60"/>
    <w:rsid w:val="00354D63"/>
    <w:rsid w:val="00355C23"/>
    <w:rsid w:val="0035600F"/>
    <w:rsid w:val="00361443"/>
    <w:rsid w:val="00362B4B"/>
    <w:rsid w:val="003636EE"/>
    <w:rsid w:val="003700B3"/>
    <w:rsid w:val="00371B87"/>
    <w:rsid w:val="00371EC6"/>
    <w:rsid w:val="00372CB9"/>
    <w:rsid w:val="00374EC9"/>
    <w:rsid w:val="00375362"/>
    <w:rsid w:val="003756E5"/>
    <w:rsid w:val="00375D4B"/>
    <w:rsid w:val="00377199"/>
    <w:rsid w:val="0038172F"/>
    <w:rsid w:val="00381E0D"/>
    <w:rsid w:val="0038285C"/>
    <w:rsid w:val="00383439"/>
    <w:rsid w:val="00387FBA"/>
    <w:rsid w:val="00391B15"/>
    <w:rsid w:val="00392FAB"/>
    <w:rsid w:val="00395D2B"/>
    <w:rsid w:val="003966C5"/>
    <w:rsid w:val="003A15A2"/>
    <w:rsid w:val="003A237E"/>
    <w:rsid w:val="003B01CE"/>
    <w:rsid w:val="003B25B9"/>
    <w:rsid w:val="003B38A0"/>
    <w:rsid w:val="003B6903"/>
    <w:rsid w:val="003B7381"/>
    <w:rsid w:val="003C2ABB"/>
    <w:rsid w:val="003C47C2"/>
    <w:rsid w:val="003C5D8E"/>
    <w:rsid w:val="003C5FBA"/>
    <w:rsid w:val="003C786E"/>
    <w:rsid w:val="003D1837"/>
    <w:rsid w:val="003D1A2A"/>
    <w:rsid w:val="003D49CE"/>
    <w:rsid w:val="003D4FCD"/>
    <w:rsid w:val="003E0430"/>
    <w:rsid w:val="003E2BD4"/>
    <w:rsid w:val="003E57ED"/>
    <w:rsid w:val="003F0E60"/>
    <w:rsid w:val="003F13BF"/>
    <w:rsid w:val="003F1DF6"/>
    <w:rsid w:val="003F4D11"/>
    <w:rsid w:val="003F554D"/>
    <w:rsid w:val="00404B78"/>
    <w:rsid w:val="00405D6C"/>
    <w:rsid w:val="00407FAC"/>
    <w:rsid w:val="0041282E"/>
    <w:rsid w:val="0041300D"/>
    <w:rsid w:val="00413FA5"/>
    <w:rsid w:val="00416771"/>
    <w:rsid w:val="00416819"/>
    <w:rsid w:val="00420FEF"/>
    <w:rsid w:val="0043066D"/>
    <w:rsid w:val="00435A5C"/>
    <w:rsid w:val="00435E01"/>
    <w:rsid w:val="00441176"/>
    <w:rsid w:val="00441D2F"/>
    <w:rsid w:val="0044434E"/>
    <w:rsid w:val="004443D0"/>
    <w:rsid w:val="00444796"/>
    <w:rsid w:val="00445FE7"/>
    <w:rsid w:val="00447C29"/>
    <w:rsid w:val="00452756"/>
    <w:rsid w:val="00453610"/>
    <w:rsid w:val="00453C90"/>
    <w:rsid w:val="00456544"/>
    <w:rsid w:val="00462B27"/>
    <w:rsid w:val="0046330A"/>
    <w:rsid w:val="0046388B"/>
    <w:rsid w:val="004670E8"/>
    <w:rsid w:val="00470050"/>
    <w:rsid w:val="00470603"/>
    <w:rsid w:val="00476078"/>
    <w:rsid w:val="004809A0"/>
    <w:rsid w:val="00484005"/>
    <w:rsid w:val="00485108"/>
    <w:rsid w:val="004859CA"/>
    <w:rsid w:val="00486F8D"/>
    <w:rsid w:val="004873C3"/>
    <w:rsid w:val="00491613"/>
    <w:rsid w:val="00491E66"/>
    <w:rsid w:val="004A0441"/>
    <w:rsid w:val="004A0C52"/>
    <w:rsid w:val="004A0FAA"/>
    <w:rsid w:val="004A7080"/>
    <w:rsid w:val="004B1B64"/>
    <w:rsid w:val="004B3D4C"/>
    <w:rsid w:val="004B47F8"/>
    <w:rsid w:val="004B6960"/>
    <w:rsid w:val="004C1444"/>
    <w:rsid w:val="004C3AF3"/>
    <w:rsid w:val="004C55FA"/>
    <w:rsid w:val="004C61CE"/>
    <w:rsid w:val="004C6DE8"/>
    <w:rsid w:val="004C72B6"/>
    <w:rsid w:val="004D22BA"/>
    <w:rsid w:val="004D2C1C"/>
    <w:rsid w:val="004D5A2F"/>
    <w:rsid w:val="004E16FF"/>
    <w:rsid w:val="004E2784"/>
    <w:rsid w:val="004E2A8E"/>
    <w:rsid w:val="004E30F8"/>
    <w:rsid w:val="004E598D"/>
    <w:rsid w:val="004E5F84"/>
    <w:rsid w:val="004E6FAA"/>
    <w:rsid w:val="004F0375"/>
    <w:rsid w:val="004F2D86"/>
    <w:rsid w:val="004F63A6"/>
    <w:rsid w:val="00514886"/>
    <w:rsid w:val="00517174"/>
    <w:rsid w:val="005177B3"/>
    <w:rsid w:val="005201D0"/>
    <w:rsid w:val="00522B83"/>
    <w:rsid w:val="00522C15"/>
    <w:rsid w:val="00525131"/>
    <w:rsid w:val="00535491"/>
    <w:rsid w:val="00535B73"/>
    <w:rsid w:val="005366A7"/>
    <w:rsid w:val="0054095C"/>
    <w:rsid w:val="0054144B"/>
    <w:rsid w:val="005439CC"/>
    <w:rsid w:val="00543DB4"/>
    <w:rsid w:val="00547CB7"/>
    <w:rsid w:val="00550938"/>
    <w:rsid w:val="00556224"/>
    <w:rsid w:val="0056167A"/>
    <w:rsid w:val="0056190F"/>
    <w:rsid w:val="005629A7"/>
    <w:rsid w:val="00562C50"/>
    <w:rsid w:val="00564241"/>
    <w:rsid w:val="00573E69"/>
    <w:rsid w:val="00574278"/>
    <w:rsid w:val="005762CB"/>
    <w:rsid w:val="00576C9C"/>
    <w:rsid w:val="00585DA4"/>
    <w:rsid w:val="00586517"/>
    <w:rsid w:val="0059171D"/>
    <w:rsid w:val="00594A82"/>
    <w:rsid w:val="0059512C"/>
    <w:rsid w:val="0059705F"/>
    <w:rsid w:val="0059798F"/>
    <w:rsid w:val="005A1E04"/>
    <w:rsid w:val="005A3C2D"/>
    <w:rsid w:val="005A4022"/>
    <w:rsid w:val="005A5AB8"/>
    <w:rsid w:val="005A71B7"/>
    <w:rsid w:val="005B0280"/>
    <w:rsid w:val="005B0767"/>
    <w:rsid w:val="005B2110"/>
    <w:rsid w:val="005B39E6"/>
    <w:rsid w:val="005B7DA0"/>
    <w:rsid w:val="005C5325"/>
    <w:rsid w:val="005C7E39"/>
    <w:rsid w:val="005D77CA"/>
    <w:rsid w:val="005E0CF5"/>
    <w:rsid w:val="005E74CD"/>
    <w:rsid w:val="005F0AEE"/>
    <w:rsid w:val="005F274E"/>
    <w:rsid w:val="005F28E0"/>
    <w:rsid w:val="005F41CF"/>
    <w:rsid w:val="005F426B"/>
    <w:rsid w:val="005F72DA"/>
    <w:rsid w:val="005F75C1"/>
    <w:rsid w:val="005F76DB"/>
    <w:rsid w:val="005F7A8F"/>
    <w:rsid w:val="00603002"/>
    <w:rsid w:val="00604593"/>
    <w:rsid w:val="00605127"/>
    <w:rsid w:val="00607E03"/>
    <w:rsid w:val="00611327"/>
    <w:rsid w:val="0061143A"/>
    <w:rsid w:val="00611881"/>
    <w:rsid w:val="00613AB1"/>
    <w:rsid w:val="00615200"/>
    <w:rsid w:val="006173A1"/>
    <w:rsid w:val="006246E0"/>
    <w:rsid w:val="0062697A"/>
    <w:rsid w:val="00630D7B"/>
    <w:rsid w:val="00634EC7"/>
    <w:rsid w:val="00634FB1"/>
    <w:rsid w:val="006358BC"/>
    <w:rsid w:val="0063677B"/>
    <w:rsid w:val="00636C93"/>
    <w:rsid w:val="006373FC"/>
    <w:rsid w:val="006374C6"/>
    <w:rsid w:val="0064229A"/>
    <w:rsid w:val="00642D96"/>
    <w:rsid w:val="006434A0"/>
    <w:rsid w:val="00646746"/>
    <w:rsid w:val="00647003"/>
    <w:rsid w:val="00647D85"/>
    <w:rsid w:val="00650EAE"/>
    <w:rsid w:val="0065330C"/>
    <w:rsid w:val="006536DA"/>
    <w:rsid w:val="006548CD"/>
    <w:rsid w:val="00656D01"/>
    <w:rsid w:val="006615F8"/>
    <w:rsid w:val="006625C0"/>
    <w:rsid w:val="00671E78"/>
    <w:rsid w:val="006734E2"/>
    <w:rsid w:val="00674A9E"/>
    <w:rsid w:val="006763A7"/>
    <w:rsid w:val="0067789C"/>
    <w:rsid w:val="00680C60"/>
    <w:rsid w:val="00682842"/>
    <w:rsid w:val="006851DD"/>
    <w:rsid w:val="006854EE"/>
    <w:rsid w:val="00685CF4"/>
    <w:rsid w:val="006868AC"/>
    <w:rsid w:val="0069059C"/>
    <w:rsid w:val="006907FA"/>
    <w:rsid w:val="00691965"/>
    <w:rsid w:val="006934DE"/>
    <w:rsid w:val="00693ECC"/>
    <w:rsid w:val="00694AE5"/>
    <w:rsid w:val="006972D2"/>
    <w:rsid w:val="0069743E"/>
    <w:rsid w:val="00697EA9"/>
    <w:rsid w:val="006A0340"/>
    <w:rsid w:val="006A1554"/>
    <w:rsid w:val="006A2003"/>
    <w:rsid w:val="006A22E0"/>
    <w:rsid w:val="006A2B33"/>
    <w:rsid w:val="006A2C48"/>
    <w:rsid w:val="006A364A"/>
    <w:rsid w:val="006A3E42"/>
    <w:rsid w:val="006A6635"/>
    <w:rsid w:val="006B2156"/>
    <w:rsid w:val="006B40A3"/>
    <w:rsid w:val="006B41B3"/>
    <w:rsid w:val="006B54CE"/>
    <w:rsid w:val="006C0683"/>
    <w:rsid w:val="006C1815"/>
    <w:rsid w:val="006C2742"/>
    <w:rsid w:val="006C59AA"/>
    <w:rsid w:val="006C6F46"/>
    <w:rsid w:val="006D29BB"/>
    <w:rsid w:val="006D7DD1"/>
    <w:rsid w:val="006F146F"/>
    <w:rsid w:val="006F18EA"/>
    <w:rsid w:val="006F228B"/>
    <w:rsid w:val="006F3908"/>
    <w:rsid w:val="006F39C6"/>
    <w:rsid w:val="006F5334"/>
    <w:rsid w:val="006F6E23"/>
    <w:rsid w:val="007007E3"/>
    <w:rsid w:val="00702011"/>
    <w:rsid w:val="007033C2"/>
    <w:rsid w:val="00704420"/>
    <w:rsid w:val="00705350"/>
    <w:rsid w:val="00705A84"/>
    <w:rsid w:val="007104CC"/>
    <w:rsid w:val="00710C94"/>
    <w:rsid w:val="00712C01"/>
    <w:rsid w:val="00712CB9"/>
    <w:rsid w:val="0071322C"/>
    <w:rsid w:val="00715230"/>
    <w:rsid w:val="00715801"/>
    <w:rsid w:val="0071669E"/>
    <w:rsid w:val="00722737"/>
    <w:rsid w:val="00727640"/>
    <w:rsid w:val="00727D4A"/>
    <w:rsid w:val="00727FC8"/>
    <w:rsid w:val="0073049C"/>
    <w:rsid w:val="007411C4"/>
    <w:rsid w:val="00743416"/>
    <w:rsid w:val="007441C7"/>
    <w:rsid w:val="00744273"/>
    <w:rsid w:val="00744A90"/>
    <w:rsid w:val="00744DBC"/>
    <w:rsid w:val="00746A82"/>
    <w:rsid w:val="00751080"/>
    <w:rsid w:val="007511B9"/>
    <w:rsid w:val="00757095"/>
    <w:rsid w:val="00757332"/>
    <w:rsid w:val="007649C2"/>
    <w:rsid w:val="00764C43"/>
    <w:rsid w:val="007664C4"/>
    <w:rsid w:val="0077582B"/>
    <w:rsid w:val="00775C8F"/>
    <w:rsid w:val="00782BF1"/>
    <w:rsid w:val="007845AD"/>
    <w:rsid w:val="00785E26"/>
    <w:rsid w:val="007876A7"/>
    <w:rsid w:val="00790DD8"/>
    <w:rsid w:val="007910CE"/>
    <w:rsid w:val="00791171"/>
    <w:rsid w:val="007927F6"/>
    <w:rsid w:val="00792CD8"/>
    <w:rsid w:val="00794545"/>
    <w:rsid w:val="00795D35"/>
    <w:rsid w:val="00796393"/>
    <w:rsid w:val="007A2324"/>
    <w:rsid w:val="007A26E2"/>
    <w:rsid w:val="007A320F"/>
    <w:rsid w:val="007A5785"/>
    <w:rsid w:val="007B067A"/>
    <w:rsid w:val="007B3565"/>
    <w:rsid w:val="007B4F2E"/>
    <w:rsid w:val="007B5087"/>
    <w:rsid w:val="007B5755"/>
    <w:rsid w:val="007B6CE8"/>
    <w:rsid w:val="007B75F6"/>
    <w:rsid w:val="007C2AFD"/>
    <w:rsid w:val="007C4DF7"/>
    <w:rsid w:val="007C51B1"/>
    <w:rsid w:val="007C56AA"/>
    <w:rsid w:val="007D00D8"/>
    <w:rsid w:val="007D46B2"/>
    <w:rsid w:val="007D48D8"/>
    <w:rsid w:val="007D5318"/>
    <w:rsid w:val="007D5465"/>
    <w:rsid w:val="007D59B7"/>
    <w:rsid w:val="007E19D8"/>
    <w:rsid w:val="007E4020"/>
    <w:rsid w:val="007E520A"/>
    <w:rsid w:val="007F2766"/>
    <w:rsid w:val="007F2805"/>
    <w:rsid w:val="007F6B5B"/>
    <w:rsid w:val="00800DD0"/>
    <w:rsid w:val="00801A36"/>
    <w:rsid w:val="00802173"/>
    <w:rsid w:val="00803089"/>
    <w:rsid w:val="00805116"/>
    <w:rsid w:val="008074AF"/>
    <w:rsid w:val="00807747"/>
    <w:rsid w:val="00820761"/>
    <w:rsid w:val="008223D6"/>
    <w:rsid w:val="008304D1"/>
    <w:rsid w:val="0083344D"/>
    <w:rsid w:val="00834132"/>
    <w:rsid w:val="008359AB"/>
    <w:rsid w:val="00836A92"/>
    <w:rsid w:val="00842B4B"/>
    <w:rsid w:val="00842FAD"/>
    <w:rsid w:val="00844878"/>
    <w:rsid w:val="00844C4E"/>
    <w:rsid w:val="00845A7A"/>
    <w:rsid w:val="0084612E"/>
    <w:rsid w:val="00846F3B"/>
    <w:rsid w:val="0085096B"/>
    <w:rsid w:val="00857521"/>
    <w:rsid w:val="00857B7D"/>
    <w:rsid w:val="0087602D"/>
    <w:rsid w:val="008763D0"/>
    <w:rsid w:val="0087767E"/>
    <w:rsid w:val="00880263"/>
    <w:rsid w:val="008815A5"/>
    <w:rsid w:val="00883812"/>
    <w:rsid w:val="00886C34"/>
    <w:rsid w:val="00887202"/>
    <w:rsid w:val="008913A5"/>
    <w:rsid w:val="00891F2B"/>
    <w:rsid w:val="0089731A"/>
    <w:rsid w:val="008A1916"/>
    <w:rsid w:val="008A61A0"/>
    <w:rsid w:val="008A75E0"/>
    <w:rsid w:val="008B5DB4"/>
    <w:rsid w:val="008B6A7F"/>
    <w:rsid w:val="008C3A45"/>
    <w:rsid w:val="008C6E9A"/>
    <w:rsid w:val="008C7115"/>
    <w:rsid w:val="008D0DEC"/>
    <w:rsid w:val="008D328D"/>
    <w:rsid w:val="008D41DC"/>
    <w:rsid w:val="008D4FBA"/>
    <w:rsid w:val="008D7367"/>
    <w:rsid w:val="008D7D86"/>
    <w:rsid w:val="008E0E9C"/>
    <w:rsid w:val="008E7E2B"/>
    <w:rsid w:val="008F213C"/>
    <w:rsid w:val="008F291C"/>
    <w:rsid w:val="008F34D1"/>
    <w:rsid w:val="008F5B91"/>
    <w:rsid w:val="00902BDC"/>
    <w:rsid w:val="00903FA0"/>
    <w:rsid w:val="009062CF"/>
    <w:rsid w:val="00911A60"/>
    <w:rsid w:val="009126A4"/>
    <w:rsid w:val="00915564"/>
    <w:rsid w:val="00920195"/>
    <w:rsid w:val="00921A9C"/>
    <w:rsid w:val="00923600"/>
    <w:rsid w:val="009255BA"/>
    <w:rsid w:val="009267EA"/>
    <w:rsid w:val="00931476"/>
    <w:rsid w:val="00933307"/>
    <w:rsid w:val="00934C92"/>
    <w:rsid w:val="00935C07"/>
    <w:rsid w:val="00936121"/>
    <w:rsid w:val="00940D8E"/>
    <w:rsid w:val="00941415"/>
    <w:rsid w:val="00943602"/>
    <w:rsid w:val="00953FEB"/>
    <w:rsid w:val="009551C7"/>
    <w:rsid w:val="009628BA"/>
    <w:rsid w:val="00966A5A"/>
    <w:rsid w:val="00967AA6"/>
    <w:rsid w:val="00971962"/>
    <w:rsid w:val="00973198"/>
    <w:rsid w:val="009753D4"/>
    <w:rsid w:val="009755C1"/>
    <w:rsid w:val="00982046"/>
    <w:rsid w:val="00982313"/>
    <w:rsid w:val="0098763A"/>
    <w:rsid w:val="00990D25"/>
    <w:rsid w:val="00991623"/>
    <w:rsid w:val="00992B92"/>
    <w:rsid w:val="0099368B"/>
    <w:rsid w:val="00994033"/>
    <w:rsid w:val="00994DF6"/>
    <w:rsid w:val="009A17A8"/>
    <w:rsid w:val="009A2C83"/>
    <w:rsid w:val="009A3B99"/>
    <w:rsid w:val="009A4BC3"/>
    <w:rsid w:val="009B09D7"/>
    <w:rsid w:val="009B3FE0"/>
    <w:rsid w:val="009B40AC"/>
    <w:rsid w:val="009B5BF3"/>
    <w:rsid w:val="009B7F89"/>
    <w:rsid w:val="009C04F6"/>
    <w:rsid w:val="009C0A69"/>
    <w:rsid w:val="009C2279"/>
    <w:rsid w:val="009C5EAC"/>
    <w:rsid w:val="009C7A8D"/>
    <w:rsid w:val="009C7BFD"/>
    <w:rsid w:val="009D3250"/>
    <w:rsid w:val="009D4CA9"/>
    <w:rsid w:val="009D508F"/>
    <w:rsid w:val="009D74D3"/>
    <w:rsid w:val="009E3664"/>
    <w:rsid w:val="009E55E0"/>
    <w:rsid w:val="009F19ED"/>
    <w:rsid w:val="009F1FF0"/>
    <w:rsid w:val="009F4048"/>
    <w:rsid w:val="009F5E02"/>
    <w:rsid w:val="009F6B60"/>
    <w:rsid w:val="009F6C30"/>
    <w:rsid w:val="00A04026"/>
    <w:rsid w:val="00A04657"/>
    <w:rsid w:val="00A059C5"/>
    <w:rsid w:val="00A10B00"/>
    <w:rsid w:val="00A11568"/>
    <w:rsid w:val="00A1163D"/>
    <w:rsid w:val="00A12667"/>
    <w:rsid w:val="00A12686"/>
    <w:rsid w:val="00A1687B"/>
    <w:rsid w:val="00A20CD3"/>
    <w:rsid w:val="00A233A2"/>
    <w:rsid w:val="00A23934"/>
    <w:rsid w:val="00A33D86"/>
    <w:rsid w:val="00A3527A"/>
    <w:rsid w:val="00A3594D"/>
    <w:rsid w:val="00A3735C"/>
    <w:rsid w:val="00A406D6"/>
    <w:rsid w:val="00A4386B"/>
    <w:rsid w:val="00A461DB"/>
    <w:rsid w:val="00A47BD9"/>
    <w:rsid w:val="00A50D5B"/>
    <w:rsid w:val="00A50E64"/>
    <w:rsid w:val="00A53E15"/>
    <w:rsid w:val="00A5660E"/>
    <w:rsid w:val="00A60119"/>
    <w:rsid w:val="00A70A78"/>
    <w:rsid w:val="00A7175C"/>
    <w:rsid w:val="00A72E1B"/>
    <w:rsid w:val="00A73F75"/>
    <w:rsid w:val="00A7455E"/>
    <w:rsid w:val="00A746C3"/>
    <w:rsid w:val="00A76285"/>
    <w:rsid w:val="00A8369C"/>
    <w:rsid w:val="00A839EA"/>
    <w:rsid w:val="00A846B2"/>
    <w:rsid w:val="00A855EC"/>
    <w:rsid w:val="00A8575B"/>
    <w:rsid w:val="00A87D8E"/>
    <w:rsid w:val="00A9311A"/>
    <w:rsid w:val="00A95531"/>
    <w:rsid w:val="00A961E0"/>
    <w:rsid w:val="00AA0B36"/>
    <w:rsid w:val="00AA2483"/>
    <w:rsid w:val="00AA443E"/>
    <w:rsid w:val="00AA5314"/>
    <w:rsid w:val="00AA6924"/>
    <w:rsid w:val="00AB2175"/>
    <w:rsid w:val="00AB4E75"/>
    <w:rsid w:val="00AB61E9"/>
    <w:rsid w:val="00AC030A"/>
    <w:rsid w:val="00AC25F8"/>
    <w:rsid w:val="00AC5EF1"/>
    <w:rsid w:val="00AC7BA3"/>
    <w:rsid w:val="00AD57A9"/>
    <w:rsid w:val="00AE1A6C"/>
    <w:rsid w:val="00AE2544"/>
    <w:rsid w:val="00AE2B9D"/>
    <w:rsid w:val="00AE2CB1"/>
    <w:rsid w:val="00AE58BC"/>
    <w:rsid w:val="00AE6C6C"/>
    <w:rsid w:val="00AF0296"/>
    <w:rsid w:val="00AF1CA8"/>
    <w:rsid w:val="00AF4005"/>
    <w:rsid w:val="00AF452F"/>
    <w:rsid w:val="00B0136B"/>
    <w:rsid w:val="00B0223D"/>
    <w:rsid w:val="00B02B35"/>
    <w:rsid w:val="00B05137"/>
    <w:rsid w:val="00B05BDD"/>
    <w:rsid w:val="00B129CA"/>
    <w:rsid w:val="00B14FDD"/>
    <w:rsid w:val="00B15AC7"/>
    <w:rsid w:val="00B15FE2"/>
    <w:rsid w:val="00B1734D"/>
    <w:rsid w:val="00B2434B"/>
    <w:rsid w:val="00B2560A"/>
    <w:rsid w:val="00B25DE3"/>
    <w:rsid w:val="00B26262"/>
    <w:rsid w:val="00B27E32"/>
    <w:rsid w:val="00B30767"/>
    <w:rsid w:val="00B34B2A"/>
    <w:rsid w:val="00B3534C"/>
    <w:rsid w:val="00B35758"/>
    <w:rsid w:val="00B3631E"/>
    <w:rsid w:val="00B43BC0"/>
    <w:rsid w:val="00B45049"/>
    <w:rsid w:val="00B501EE"/>
    <w:rsid w:val="00B52F3A"/>
    <w:rsid w:val="00B54BB7"/>
    <w:rsid w:val="00B57353"/>
    <w:rsid w:val="00B60111"/>
    <w:rsid w:val="00B6167D"/>
    <w:rsid w:val="00B62BF3"/>
    <w:rsid w:val="00B6370B"/>
    <w:rsid w:val="00B66617"/>
    <w:rsid w:val="00B737D8"/>
    <w:rsid w:val="00B80129"/>
    <w:rsid w:val="00B819F2"/>
    <w:rsid w:val="00B81C8E"/>
    <w:rsid w:val="00B82A1A"/>
    <w:rsid w:val="00B83F3D"/>
    <w:rsid w:val="00B842AD"/>
    <w:rsid w:val="00B937A0"/>
    <w:rsid w:val="00B93CD7"/>
    <w:rsid w:val="00B96FFA"/>
    <w:rsid w:val="00BA1A6F"/>
    <w:rsid w:val="00BA376C"/>
    <w:rsid w:val="00BB0480"/>
    <w:rsid w:val="00BB2A2B"/>
    <w:rsid w:val="00BB3339"/>
    <w:rsid w:val="00BB33C5"/>
    <w:rsid w:val="00BB4D35"/>
    <w:rsid w:val="00BB5E00"/>
    <w:rsid w:val="00BB75A8"/>
    <w:rsid w:val="00BC14F9"/>
    <w:rsid w:val="00BC4AB9"/>
    <w:rsid w:val="00BC5BC4"/>
    <w:rsid w:val="00BC5C70"/>
    <w:rsid w:val="00BC65E8"/>
    <w:rsid w:val="00BD3572"/>
    <w:rsid w:val="00BE0122"/>
    <w:rsid w:val="00BE04F6"/>
    <w:rsid w:val="00BE0A1E"/>
    <w:rsid w:val="00BE0FAE"/>
    <w:rsid w:val="00BE161D"/>
    <w:rsid w:val="00BE364B"/>
    <w:rsid w:val="00BE3709"/>
    <w:rsid w:val="00BE5D80"/>
    <w:rsid w:val="00BE6A3F"/>
    <w:rsid w:val="00BE7AD1"/>
    <w:rsid w:val="00BF04AC"/>
    <w:rsid w:val="00BF0E87"/>
    <w:rsid w:val="00BF235D"/>
    <w:rsid w:val="00BF3874"/>
    <w:rsid w:val="00BF5BC6"/>
    <w:rsid w:val="00BF7AC2"/>
    <w:rsid w:val="00C02346"/>
    <w:rsid w:val="00C02EFA"/>
    <w:rsid w:val="00C0730E"/>
    <w:rsid w:val="00C11FA0"/>
    <w:rsid w:val="00C16B4F"/>
    <w:rsid w:val="00C178CC"/>
    <w:rsid w:val="00C215F5"/>
    <w:rsid w:val="00C23468"/>
    <w:rsid w:val="00C3099A"/>
    <w:rsid w:val="00C311E2"/>
    <w:rsid w:val="00C314AF"/>
    <w:rsid w:val="00C31644"/>
    <w:rsid w:val="00C32A75"/>
    <w:rsid w:val="00C347D3"/>
    <w:rsid w:val="00C375E5"/>
    <w:rsid w:val="00C37D23"/>
    <w:rsid w:val="00C37EA5"/>
    <w:rsid w:val="00C4086E"/>
    <w:rsid w:val="00C57EF0"/>
    <w:rsid w:val="00C60BB8"/>
    <w:rsid w:val="00C7327B"/>
    <w:rsid w:val="00C75850"/>
    <w:rsid w:val="00C77AC1"/>
    <w:rsid w:val="00C80040"/>
    <w:rsid w:val="00C80C93"/>
    <w:rsid w:val="00C8229E"/>
    <w:rsid w:val="00C824B8"/>
    <w:rsid w:val="00C84B7E"/>
    <w:rsid w:val="00C865AC"/>
    <w:rsid w:val="00CA077C"/>
    <w:rsid w:val="00CA130E"/>
    <w:rsid w:val="00CA2A42"/>
    <w:rsid w:val="00CA4BC8"/>
    <w:rsid w:val="00CB001C"/>
    <w:rsid w:val="00CB332B"/>
    <w:rsid w:val="00CB4259"/>
    <w:rsid w:val="00CB4D67"/>
    <w:rsid w:val="00CB5979"/>
    <w:rsid w:val="00CC2EEF"/>
    <w:rsid w:val="00CC40B9"/>
    <w:rsid w:val="00CC52D4"/>
    <w:rsid w:val="00CC5AD1"/>
    <w:rsid w:val="00CD0EC8"/>
    <w:rsid w:val="00CD16A5"/>
    <w:rsid w:val="00CD4B1F"/>
    <w:rsid w:val="00CD6159"/>
    <w:rsid w:val="00CD69A6"/>
    <w:rsid w:val="00CE388C"/>
    <w:rsid w:val="00CE3D27"/>
    <w:rsid w:val="00CE3E18"/>
    <w:rsid w:val="00CE7684"/>
    <w:rsid w:val="00CE7A12"/>
    <w:rsid w:val="00CF1763"/>
    <w:rsid w:val="00CF3D04"/>
    <w:rsid w:val="00CF62AD"/>
    <w:rsid w:val="00D001AD"/>
    <w:rsid w:val="00D05FD7"/>
    <w:rsid w:val="00D0797E"/>
    <w:rsid w:val="00D1083E"/>
    <w:rsid w:val="00D13B8C"/>
    <w:rsid w:val="00D14365"/>
    <w:rsid w:val="00D15E6C"/>
    <w:rsid w:val="00D163D1"/>
    <w:rsid w:val="00D20605"/>
    <w:rsid w:val="00D21EC8"/>
    <w:rsid w:val="00D232BB"/>
    <w:rsid w:val="00D242E6"/>
    <w:rsid w:val="00D273F7"/>
    <w:rsid w:val="00D30AB4"/>
    <w:rsid w:val="00D30E54"/>
    <w:rsid w:val="00D40E41"/>
    <w:rsid w:val="00D468FB"/>
    <w:rsid w:val="00D47010"/>
    <w:rsid w:val="00D472EB"/>
    <w:rsid w:val="00D50115"/>
    <w:rsid w:val="00D52B5A"/>
    <w:rsid w:val="00D60FEB"/>
    <w:rsid w:val="00D6769D"/>
    <w:rsid w:val="00D700C5"/>
    <w:rsid w:val="00D71883"/>
    <w:rsid w:val="00D7299E"/>
    <w:rsid w:val="00D7302C"/>
    <w:rsid w:val="00D73157"/>
    <w:rsid w:val="00D743F6"/>
    <w:rsid w:val="00D76275"/>
    <w:rsid w:val="00D83D4C"/>
    <w:rsid w:val="00D83DB7"/>
    <w:rsid w:val="00D84DAD"/>
    <w:rsid w:val="00D8569D"/>
    <w:rsid w:val="00D874E0"/>
    <w:rsid w:val="00D90912"/>
    <w:rsid w:val="00D91EFA"/>
    <w:rsid w:val="00D93C44"/>
    <w:rsid w:val="00D97076"/>
    <w:rsid w:val="00D97B97"/>
    <w:rsid w:val="00DA08CD"/>
    <w:rsid w:val="00DA3216"/>
    <w:rsid w:val="00DA4323"/>
    <w:rsid w:val="00DA5A7B"/>
    <w:rsid w:val="00DB0AAB"/>
    <w:rsid w:val="00DB16F9"/>
    <w:rsid w:val="00DB29C0"/>
    <w:rsid w:val="00DB44E0"/>
    <w:rsid w:val="00DB5195"/>
    <w:rsid w:val="00DB5D9D"/>
    <w:rsid w:val="00DC0CE5"/>
    <w:rsid w:val="00DC6E50"/>
    <w:rsid w:val="00DD1263"/>
    <w:rsid w:val="00DD4C66"/>
    <w:rsid w:val="00DD4FC5"/>
    <w:rsid w:val="00DD76F1"/>
    <w:rsid w:val="00DE1657"/>
    <w:rsid w:val="00DE48E1"/>
    <w:rsid w:val="00DE49A7"/>
    <w:rsid w:val="00DE746B"/>
    <w:rsid w:val="00DE7A3B"/>
    <w:rsid w:val="00DF4A6D"/>
    <w:rsid w:val="00DF6961"/>
    <w:rsid w:val="00DF6D0C"/>
    <w:rsid w:val="00E01334"/>
    <w:rsid w:val="00E013E6"/>
    <w:rsid w:val="00E01C33"/>
    <w:rsid w:val="00E043D9"/>
    <w:rsid w:val="00E0469C"/>
    <w:rsid w:val="00E1000F"/>
    <w:rsid w:val="00E10FFF"/>
    <w:rsid w:val="00E12544"/>
    <w:rsid w:val="00E141F1"/>
    <w:rsid w:val="00E161D2"/>
    <w:rsid w:val="00E164F6"/>
    <w:rsid w:val="00E16788"/>
    <w:rsid w:val="00E202D3"/>
    <w:rsid w:val="00E20943"/>
    <w:rsid w:val="00E26F5E"/>
    <w:rsid w:val="00E30F1B"/>
    <w:rsid w:val="00E313A3"/>
    <w:rsid w:val="00E353D0"/>
    <w:rsid w:val="00E371F6"/>
    <w:rsid w:val="00E37EBD"/>
    <w:rsid w:val="00E41154"/>
    <w:rsid w:val="00E476A5"/>
    <w:rsid w:val="00E50764"/>
    <w:rsid w:val="00E509A0"/>
    <w:rsid w:val="00E50BE1"/>
    <w:rsid w:val="00E55115"/>
    <w:rsid w:val="00E56B6E"/>
    <w:rsid w:val="00E61139"/>
    <w:rsid w:val="00E633CB"/>
    <w:rsid w:val="00E65711"/>
    <w:rsid w:val="00E65CDB"/>
    <w:rsid w:val="00E7016E"/>
    <w:rsid w:val="00E734A6"/>
    <w:rsid w:val="00E74286"/>
    <w:rsid w:val="00E777E4"/>
    <w:rsid w:val="00E8036D"/>
    <w:rsid w:val="00E803D8"/>
    <w:rsid w:val="00E815B3"/>
    <w:rsid w:val="00E8160D"/>
    <w:rsid w:val="00E828BB"/>
    <w:rsid w:val="00E83948"/>
    <w:rsid w:val="00E86701"/>
    <w:rsid w:val="00E8785C"/>
    <w:rsid w:val="00E90C13"/>
    <w:rsid w:val="00E9198E"/>
    <w:rsid w:val="00E97F09"/>
    <w:rsid w:val="00EA04FC"/>
    <w:rsid w:val="00EA71F1"/>
    <w:rsid w:val="00EB45A5"/>
    <w:rsid w:val="00EB4BD3"/>
    <w:rsid w:val="00EB5BE2"/>
    <w:rsid w:val="00EB7508"/>
    <w:rsid w:val="00EC0543"/>
    <w:rsid w:val="00EC2B4F"/>
    <w:rsid w:val="00EC3774"/>
    <w:rsid w:val="00EC6495"/>
    <w:rsid w:val="00EC73AB"/>
    <w:rsid w:val="00ED11B6"/>
    <w:rsid w:val="00ED184D"/>
    <w:rsid w:val="00ED1B2C"/>
    <w:rsid w:val="00ED3C39"/>
    <w:rsid w:val="00EE1451"/>
    <w:rsid w:val="00EE3937"/>
    <w:rsid w:val="00EF3CB7"/>
    <w:rsid w:val="00EF4599"/>
    <w:rsid w:val="00F00B20"/>
    <w:rsid w:val="00F01437"/>
    <w:rsid w:val="00F019F5"/>
    <w:rsid w:val="00F025F0"/>
    <w:rsid w:val="00F02DCB"/>
    <w:rsid w:val="00F068CC"/>
    <w:rsid w:val="00F112BB"/>
    <w:rsid w:val="00F151E2"/>
    <w:rsid w:val="00F15800"/>
    <w:rsid w:val="00F20A0B"/>
    <w:rsid w:val="00F21493"/>
    <w:rsid w:val="00F21A05"/>
    <w:rsid w:val="00F22DCB"/>
    <w:rsid w:val="00F250FA"/>
    <w:rsid w:val="00F25453"/>
    <w:rsid w:val="00F30FCA"/>
    <w:rsid w:val="00F321F7"/>
    <w:rsid w:val="00F32325"/>
    <w:rsid w:val="00F3315C"/>
    <w:rsid w:val="00F33B13"/>
    <w:rsid w:val="00F33CB6"/>
    <w:rsid w:val="00F3664A"/>
    <w:rsid w:val="00F404D8"/>
    <w:rsid w:val="00F42713"/>
    <w:rsid w:val="00F51B9F"/>
    <w:rsid w:val="00F552BC"/>
    <w:rsid w:val="00F5799C"/>
    <w:rsid w:val="00F62EB4"/>
    <w:rsid w:val="00F65CDD"/>
    <w:rsid w:val="00F66358"/>
    <w:rsid w:val="00F66C0B"/>
    <w:rsid w:val="00F714B5"/>
    <w:rsid w:val="00F7252C"/>
    <w:rsid w:val="00F72DF8"/>
    <w:rsid w:val="00F72E18"/>
    <w:rsid w:val="00F7790A"/>
    <w:rsid w:val="00F806C1"/>
    <w:rsid w:val="00F92864"/>
    <w:rsid w:val="00F93CF2"/>
    <w:rsid w:val="00F952BD"/>
    <w:rsid w:val="00F95E30"/>
    <w:rsid w:val="00F973BE"/>
    <w:rsid w:val="00FA0B28"/>
    <w:rsid w:val="00FA0BD4"/>
    <w:rsid w:val="00FA373C"/>
    <w:rsid w:val="00FA39F0"/>
    <w:rsid w:val="00FA66FD"/>
    <w:rsid w:val="00FA7172"/>
    <w:rsid w:val="00FB0B74"/>
    <w:rsid w:val="00FB3617"/>
    <w:rsid w:val="00FB4B0C"/>
    <w:rsid w:val="00FB5BB3"/>
    <w:rsid w:val="00FB6D07"/>
    <w:rsid w:val="00FB705B"/>
    <w:rsid w:val="00FC38F9"/>
    <w:rsid w:val="00FC5190"/>
    <w:rsid w:val="00FD0B6A"/>
    <w:rsid w:val="00FD36F5"/>
    <w:rsid w:val="00FD37E0"/>
    <w:rsid w:val="00FD4C34"/>
    <w:rsid w:val="00FD5CAF"/>
    <w:rsid w:val="00FD62C2"/>
    <w:rsid w:val="00FE197E"/>
    <w:rsid w:val="00FE2407"/>
    <w:rsid w:val="00FE481D"/>
    <w:rsid w:val="00FE5A6B"/>
    <w:rsid w:val="00FE690C"/>
    <w:rsid w:val="00FF0E62"/>
    <w:rsid w:val="00FF1208"/>
    <w:rsid w:val="00FF1C7C"/>
    <w:rsid w:val="00FF33F4"/>
    <w:rsid w:val="00FF381F"/>
    <w:rsid w:val="00FF6CDA"/>
    <w:rsid w:val="00FF7064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614F37"/>
  <w15:chartTrackingRefBased/>
  <w15:docId w15:val="{81A64D45-903B-40A1-BD24-189B9C8F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453"/>
    <w:pPr>
      <w:widowControl w:val="0"/>
      <w:spacing w:line="48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34B2A"/>
    <w:pPr>
      <w:keepNext/>
      <w:keepLines/>
      <w:numPr>
        <w:numId w:val="1"/>
      </w:numPr>
      <w:spacing w:before="100" w:after="100" w:line="360" w:lineRule="auto"/>
      <w:jc w:val="left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73198"/>
    <w:pPr>
      <w:keepNext/>
      <w:keepLines/>
      <w:numPr>
        <w:ilvl w:val="1"/>
        <w:numId w:val="1"/>
      </w:numPr>
      <w:spacing w:before="100" w:after="100" w:line="360" w:lineRule="auto"/>
      <w:jc w:val="left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B2110"/>
    <w:pPr>
      <w:keepNext/>
      <w:keepLines/>
      <w:numPr>
        <w:ilvl w:val="2"/>
        <w:numId w:val="1"/>
      </w:numPr>
      <w:spacing w:before="100" w:after="100"/>
      <w:jc w:val="left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B2110"/>
    <w:pPr>
      <w:keepNext/>
      <w:keepLines/>
      <w:numPr>
        <w:ilvl w:val="3"/>
        <w:numId w:val="1"/>
      </w:numPr>
      <w:spacing w:before="100" w:after="100"/>
      <w:jc w:val="left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aliases w:val="标题 5（研发标准化实验操作规程）"/>
    <w:basedOn w:val="a"/>
    <w:next w:val="a"/>
    <w:link w:val="50"/>
    <w:uiPriority w:val="9"/>
    <w:unhideWhenUsed/>
    <w:qFormat/>
    <w:rsid w:val="00CA4BC8"/>
    <w:pPr>
      <w:keepNext/>
      <w:keepLines/>
      <w:numPr>
        <w:ilvl w:val="4"/>
        <w:numId w:val="1"/>
      </w:numPr>
      <w:spacing w:before="100" w:after="100"/>
      <w:ind w:left="0" w:firstLine="0"/>
      <w:jc w:val="left"/>
      <w:outlineLvl w:val="4"/>
    </w:pPr>
    <w:rPr>
      <w:b/>
      <w:bCs/>
      <w:color w:val="FF0000"/>
      <w:sz w:val="18"/>
      <w:szCs w:val="28"/>
    </w:rPr>
  </w:style>
  <w:style w:type="paragraph" w:styleId="6">
    <w:name w:val="heading 6"/>
    <w:aliases w:val="标题 6（实验数据）"/>
    <w:basedOn w:val="a"/>
    <w:next w:val="a"/>
    <w:link w:val="60"/>
    <w:uiPriority w:val="9"/>
    <w:unhideWhenUsed/>
    <w:qFormat/>
    <w:rsid w:val="003A15A2"/>
    <w:pPr>
      <w:keepNext/>
      <w:keepLines/>
      <w:numPr>
        <w:ilvl w:val="5"/>
        <w:numId w:val="1"/>
      </w:numPr>
      <w:spacing w:before="100" w:after="100"/>
      <w:ind w:left="0" w:firstLine="0"/>
      <w:jc w:val="left"/>
      <w:outlineLvl w:val="5"/>
    </w:pPr>
    <w:rPr>
      <w:rFonts w:eastAsiaTheme="majorEastAsia" w:cstheme="majorBidi"/>
      <w:b/>
      <w:bCs/>
      <w:color w:val="5B9BD5" w:themeColor="accent1"/>
      <w:sz w:val="18"/>
      <w:szCs w:val="24"/>
    </w:rPr>
  </w:style>
  <w:style w:type="paragraph" w:styleId="7">
    <w:name w:val="heading 7"/>
    <w:aliases w:val="图例"/>
    <w:basedOn w:val="a"/>
    <w:next w:val="a"/>
    <w:link w:val="70"/>
    <w:uiPriority w:val="9"/>
    <w:unhideWhenUsed/>
    <w:qFormat/>
    <w:rsid w:val="006F6E23"/>
    <w:pPr>
      <w:keepNext/>
      <w:keepLines/>
      <w:numPr>
        <w:ilvl w:val="6"/>
        <w:numId w:val="19"/>
      </w:numPr>
      <w:spacing w:before="40" w:after="40" w:line="240" w:lineRule="atLeast"/>
      <w:ind w:left="0"/>
      <w:jc w:val="center"/>
      <w:outlineLvl w:val="6"/>
    </w:pPr>
    <w:rPr>
      <w:b/>
      <w:bCs/>
      <w:sz w:val="18"/>
      <w:szCs w:val="24"/>
    </w:rPr>
  </w:style>
  <w:style w:type="paragraph" w:styleId="8">
    <w:name w:val="heading 8"/>
    <w:aliases w:val="表"/>
    <w:basedOn w:val="a"/>
    <w:next w:val="a"/>
    <w:link w:val="80"/>
    <w:uiPriority w:val="9"/>
    <w:unhideWhenUsed/>
    <w:qFormat/>
    <w:rsid w:val="001379C5"/>
    <w:pPr>
      <w:keepNext/>
      <w:keepLines/>
      <w:numPr>
        <w:ilvl w:val="7"/>
        <w:numId w:val="24"/>
      </w:numPr>
      <w:spacing w:line="360" w:lineRule="auto"/>
      <w:jc w:val="center"/>
      <w:outlineLvl w:val="7"/>
    </w:pPr>
    <w:rPr>
      <w:rFonts w:asciiTheme="majorHAnsi" w:eastAsiaTheme="majorEastAsia" w:hAnsiTheme="majorHAnsi" w:cstheme="majorBidi"/>
      <w:b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B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4B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4B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4B2A"/>
    <w:rPr>
      <w:sz w:val="18"/>
      <w:szCs w:val="18"/>
    </w:rPr>
  </w:style>
  <w:style w:type="paragraph" w:styleId="a7">
    <w:name w:val="table of authorities"/>
    <w:basedOn w:val="a"/>
    <w:next w:val="a"/>
    <w:unhideWhenUsed/>
    <w:qFormat/>
    <w:rsid w:val="00B34B2A"/>
    <w:pPr>
      <w:ind w:leftChars="200" w:left="420"/>
    </w:pPr>
  </w:style>
  <w:style w:type="character" w:customStyle="1" w:styleId="10">
    <w:name w:val="标题 1 字符"/>
    <w:basedOn w:val="a0"/>
    <w:link w:val="1"/>
    <w:uiPriority w:val="9"/>
    <w:rsid w:val="00B34B2A"/>
    <w:rPr>
      <w:b/>
      <w:bCs/>
      <w:kern w:val="44"/>
      <w:sz w:val="28"/>
      <w:szCs w:val="44"/>
    </w:rPr>
  </w:style>
  <w:style w:type="paragraph" w:styleId="a8">
    <w:name w:val="List Paragraph"/>
    <w:basedOn w:val="a"/>
    <w:uiPriority w:val="34"/>
    <w:qFormat/>
    <w:rsid w:val="00B34B2A"/>
    <w:pPr>
      <w:ind w:firstLineChars="200" w:firstLine="420"/>
    </w:pPr>
    <w:rPr>
      <w14:ligatures w14:val="none"/>
    </w:rPr>
  </w:style>
  <w:style w:type="character" w:customStyle="1" w:styleId="20">
    <w:name w:val="标题 2 字符"/>
    <w:basedOn w:val="a0"/>
    <w:link w:val="2"/>
    <w:uiPriority w:val="9"/>
    <w:rsid w:val="00973198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5B2110"/>
    <w:rPr>
      <w:rFonts w:ascii="Times New Roman" w:hAnsi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rsid w:val="005B2110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50">
    <w:name w:val="标题 5 字符"/>
    <w:aliases w:val="标题 5（研发标准化实验操作规程） 字符"/>
    <w:basedOn w:val="a0"/>
    <w:link w:val="5"/>
    <w:uiPriority w:val="9"/>
    <w:rsid w:val="00CA4BC8"/>
    <w:rPr>
      <w:rFonts w:ascii="Times New Roman" w:hAnsi="Times New Roman"/>
      <w:b/>
      <w:bCs/>
      <w:color w:val="FF0000"/>
      <w:sz w:val="18"/>
      <w:szCs w:val="28"/>
    </w:rPr>
  </w:style>
  <w:style w:type="character" w:customStyle="1" w:styleId="60">
    <w:name w:val="标题 6 字符"/>
    <w:aliases w:val="标题 6（实验数据） 字符"/>
    <w:basedOn w:val="a0"/>
    <w:link w:val="6"/>
    <w:uiPriority w:val="9"/>
    <w:rsid w:val="003A15A2"/>
    <w:rPr>
      <w:rFonts w:ascii="Times New Roman" w:eastAsiaTheme="majorEastAsia" w:hAnsi="Times New Roman" w:cstheme="majorBidi"/>
      <w:b/>
      <w:bCs/>
      <w:color w:val="5B9BD5" w:themeColor="accent1"/>
      <w:sz w:val="18"/>
      <w:szCs w:val="24"/>
    </w:rPr>
  </w:style>
  <w:style w:type="character" w:styleId="a9">
    <w:name w:val="Emphasis"/>
    <w:uiPriority w:val="20"/>
    <w:qFormat/>
    <w:rsid w:val="00805116"/>
    <w:rPr>
      <w:i/>
      <w:iCs/>
    </w:rPr>
  </w:style>
  <w:style w:type="character" w:customStyle="1" w:styleId="70">
    <w:name w:val="标题 7 字符"/>
    <w:aliases w:val="图例 字符"/>
    <w:basedOn w:val="a0"/>
    <w:link w:val="7"/>
    <w:uiPriority w:val="9"/>
    <w:rsid w:val="006F6E23"/>
    <w:rPr>
      <w:rFonts w:ascii="Times New Roman" w:hAnsi="Times New Roman"/>
      <w:b/>
      <w:bCs/>
      <w:sz w:val="18"/>
      <w:szCs w:val="24"/>
    </w:rPr>
  </w:style>
  <w:style w:type="table" w:styleId="aa">
    <w:name w:val="Table Grid"/>
    <w:basedOn w:val="a1"/>
    <w:uiPriority w:val="39"/>
    <w:rsid w:val="00FB0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a"/>
    <w:next w:val="a"/>
    <w:autoRedefine/>
    <w:uiPriority w:val="39"/>
    <w:unhideWhenUsed/>
    <w:rsid w:val="00BE5D80"/>
  </w:style>
  <w:style w:type="paragraph" w:styleId="TOC2">
    <w:name w:val="toc 2"/>
    <w:basedOn w:val="a"/>
    <w:next w:val="a"/>
    <w:autoRedefine/>
    <w:uiPriority w:val="39"/>
    <w:unhideWhenUsed/>
    <w:rsid w:val="00BE5D80"/>
    <w:pPr>
      <w:ind w:leftChars="200" w:left="420"/>
    </w:pPr>
  </w:style>
  <w:style w:type="paragraph" w:styleId="TOC3">
    <w:name w:val="toc 3"/>
    <w:basedOn w:val="a"/>
    <w:next w:val="a"/>
    <w:autoRedefine/>
    <w:uiPriority w:val="39"/>
    <w:unhideWhenUsed/>
    <w:rsid w:val="00BE5D80"/>
    <w:pPr>
      <w:ind w:leftChars="400" w:left="840"/>
    </w:pPr>
  </w:style>
  <w:style w:type="paragraph" w:styleId="TOC4">
    <w:name w:val="toc 4"/>
    <w:basedOn w:val="a"/>
    <w:next w:val="a"/>
    <w:autoRedefine/>
    <w:uiPriority w:val="39"/>
    <w:unhideWhenUsed/>
    <w:rsid w:val="00BE5D80"/>
    <w:pPr>
      <w:ind w:leftChars="600" w:left="1260"/>
    </w:pPr>
  </w:style>
  <w:style w:type="character" w:styleId="ab">
    <w:name w:val="Hyperlink"/>
    <w:basedOn w:val="a0"/>
    <w:uiPriority w:val="99"/>
    <w:unhideWhenUsed/>
    <w:rsid w:val="00BE5D80"/>
    <w:rPr>
      <w:color w:val="0563C1" w:themeColor="hyperlink"/>
      <w:u w:val="single"/>
    </w:rPr>
  </w:style>
  <w:style w:type="character" w:customStyle="1" w:styleId="80">
    <w:name w:val="标题 8 字符"/>
    <w:aliases w:val="表 字符"/>
    <w:basedOn w:val="a0"/>
    <w:link w:val="8"/>
    <w:uiPriority w:val="9"/>
    <w:rsid w:val="001379C5"/>
    <w:rPr>
      <w:rFonts w:asciiTheme="majorHAnsi" w:eastAsiaTheme="majorEastAsia" w:hAnsiTheme="majorHAnsi" w:cstheme="majorBidi"/>
      <w:b/>
      <w:szCs w:val="24"/>
    </w:rPr>
  </w:style>
  <w:style w:type="table" w:customStyle="1" w:styleId="ac">
    <w:name w:val="三线表"/>
    <w:basedOn w:val="a1"/>
    <w:uiPriority w:val="99"/>
    <w:rsid w:val="004E30F8"/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</w:style>
  <w:style w:type="character" w:styleId="ad">
    <w:name w:val="Strong"/>
    <w:basedOn w:val="a0"/>
    <w:uiPriority w:val="22"/>
    <w:qFormat/>
    <w:rsid w:val="001903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838\OneDrive\&#25991;&#26723;\&#33258;&#23450;&#20041;%20Office%20&#27169;&#26495;\&#22799;&#27426;-word&#27169;&#26495;-20240611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9DCAD-DE15-4A26-B7FF-1AFE43BE7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夏欢-word模板-20240611.dotx</Template>
  <TotalTime>28</TotalTime>
  <Pages>6</Pages>
  <Words>714</Words>
  <Characters>4365</Characters>
  <Application>Microsoft Office Word</Application>
  <DocSecurity>0</DocSecurity>
  <Lines>72</Lines>
  <Paragraphs>18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 Xia</dc:creator>
  <cp:keywords/>
  <dc:description/>
  <cp:lastModifiedBy>huan Xia</cp:lastModifiedBy>
  <cp:revision>9</cp:revision>
  <dcterms:created xsi:type="dcterms:W3CDTF">2026-05-24T02:50:00Z</dcterms:created>
  <dcterms:modified xsi:type="dcterms:W3CDTF">2026-05-25T05:34:00Z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id="uaVvBAxd"/&gt;&lt;style id="http://www.zotero.org/styles/china-national-standard-gb-t-7714-2015-numeric-bilan" hasBibliography="1" bibliographyStyleHasBeenSet="0"/&gt;&lt;prefs&gt;&lt;pref name="fieldType" value="</vt:lpwstr>
  </property>
  <property fmtid="{D5CDD505-2E9C-101B-9397-08002B2CF9AE}" pid="3" name="ZOTERO_PREF_2">
    <vt:lpwstr>Field"/&gt;&lt;/prefs&gt;&lt;/data&gt;</vt:lpwstr>
  </property>
</Properties>
</file>