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4FD12" w14:textId="4ACF2D2C" w:rsidR="00E84F78" w:rsidRPr="00A23113" w:rsidRDefault="008644A2" w:rsidP="00E008ED">
      <w:pPr>
        <w:spacing w:line="240" w:lineRule="auto"/>
        <w:jc w:val="both"/>
        <w:rPr>
          <w:rFonts w:ascii="Calibri" w:hAnsi="Calibri" w:cs="Calibri"/>
          <w:b/>
          <w:bCs/>
          <w:sz w:val="28"/>
          <w:szCs w:val="28"/>
          <w:lang w:val="en-US"/>
        </w:rPr>
      </w:pPr>
      <w:r w:rsidRPr="00A23113">
        <w:rPr>
          <w:rFonts w:ascii="Calibri" w:hAnsi="Calibri" w:cs="Calibri"/>
          <w:b/>
          <w:bCs/>
          <w:sz w:val="28"/>
          <w:szCs w:val="28"/>
          <w:lang w:val="en-US"/>
        </w:rPr>
        <w:t>Supplementary materials</w:t>
      </w:r>
    </w:p>
    <w:p w14:paraId="095D5158" w14:textId="77777777" w:rsidR="008E2FF0" w:rsidRDefault="008E2FF0" w:rsidP="00E008ED">
      <w:pPr>
        <w:spacing w:line="240" w:lineRule="auto"/>
        <w:jc w:val="both"/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54152B94" w14:textId="3FDC8168" w:rsidR="00F22E11" w:rsidRPr="00A23113" w:rsidRDefault="008E2FF0" w:rsidP="00E008ED">
      <w:pPr>
        <w:spacing w:line="240" w:lineRule="auto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  <w:r w:rsidRPr="00A23113">
        <w:rPr>
          <w:rFonts w:ascii="Calibri" w:hAnsi="Calibri" w:cs="Calibri"/>
          <w:b/>
          <w:bCs/>
          <w:sz w:val="24"/>
          <w:szCs w:val="24"/>
          <w:lang w:val="en-US"/>
        </w:rPr>
        <w:t>Animals</w:t>
      </w:r>
    </w:p>
    <w:p w14:paraId="077C979D" w14:textId="57EF835E" w:rsidR="00060A2E" w:rsidRDefault="008E2FF0" w:rsidP="008E2FF0">
      <w:pPr>
        <w:spacing w:line="240" w:lineRule="auto"/>
        <w:jc w:val="both"/>
        <w:rPr>
          <w:rFonts w:ascii="Calibri" w:hAnsi="Calibri" w:cs="Calibri"/>
          <w:lang w:val="en-GB"/>
        </w:rPr>
      </w:pPr>
      <w:r w:rsidRPr="008E2FF0">
        <w:rPr>
          <w:rFonts w:ascii="Calibri" w:hAnsi="Calibri" w:cs="Calibri"/>
          <w:lang w:val="en-GB"/>
        </w:rPr>
        <w:t xml:space="preserve">Experiments were performed using a total of </w:t>
      </w:r>
      <w:r w:rsidR="00CB0A39">
        <w:rPr>
          <w:rFonts w:ascii="Calibri" w:hAnsi="Calibri" w:cs="Calibri"/>
          <w:lang w:val="en-GB"/>
        </w:rPr>
        <w:t>108</w:t>
      </w:r>
      <w:r w:rsidRPr="008E2FF0">
        <w:rPr>
          <w:rFonts w:ascii="Calibri" w:hAnsi="Calibri" w:cs="Calibri"/>
          <w:lang w:val="en-GB"/>
        </w:rPr>
        <w:t xml:space="preserve"> male Sprague Dawley (SD) rats, 300-350 g (</w:t>
      </w:r>
      <w:proofErr w:type="spellStart"/>
      <w:r w:rsidRPr="008E2FF0">
        <w:rPr>
          <w:rFonts w:ascii="Calibri" w:hAnsi="Calibri" w:cs="Calibri"/>
          <w:lang w:val="en-GB"/>
        </w:rPr>
        <w:t>NTac:SD</w:t>
      </w:r>
      <w:proofErr w:type="spellEnd"/>
      <w:r w:rsidRPr="008E2FF0">
        <w:rPr>
          <w:rFonts w:ascii="Calibri" w:hAnsi="Calibri" w:cs="Calibri"/>
          <w:lang w:val="en-GB"/>
        </w:rPr>
        <w:t xml:space="preserve">, Taconic Biosciences, </w:t>
      </w:r>
      <w:proofErr w:type="spellStart"/>
      <w:r w:rsidRPr="008E2FF0">
        <w:rPr>
          <w:rFonts w:ascii="Calibri" w:hAnsi="Calibri" w:cs="Calibri"/>
          <w:lang w:val="en-GB"/>
        </w:rPr>
        <w:t>Ejby</w:t>
      </w:r>
      <w:proofErr w:type="spellEnd"/>
      <w:r w:rsidRPr="008E2FF0">
        <w:rPr>
          <w:rFonts w:ascii="Calibri" w:hAnsi="Calibri" w:cs="Calibri"/>
          <w:lang w:val="en-GB"/>
        </w:rPr>
        <w:t xml:space="preserve">, Denmark). The animals were group-housed (3-5 per cage) in </w:t>
      </w:r>
      <w:proofErr w:type="spellStart"/>
      <w:r w:rsidRPr="008E2FF0">
        <w:rPr>
          <w:rFonts w:ascii="Calibri" w:hAnsi="Calibri" w:cs="Calibri"/>
          <w:lang w:val="en-GB"/>
        </w:rPr>
        <w:t>Eurostandard</w:t>
      </w:r>
      <w:proofErr w:type="spellEnd"/>
      <w:r w:rsidRPr="008E2FF0">
        <w:rPr>
          <w:rFonts w:ascii="Calibri" w:hAnsi="Calibri" w:cs="Calibri"/>
          <w:lang w:val="en-GB"/>
        </w:rPr>
        <w:t xml:space="preserve"> Type IV cages (</w:t>
      </w:r>
      <w:proofErr w:type="spellStart"/>
      <w:r w:rsidRPr="008E2FF0">
        <w:rPr>
          <w:rFonts w:ascii="Calibri" w:hAnsi="Calibri" w:cs="Calibri"/>
          <w:lang w:val="en-GB"/>
        </w:rPr>
        <w:t>Tecniplast</w:t>
      </w:r>
      <w:proofErr w:type="spellEnd"/>
      <w:r w:rsidRPr="008E2FF0">
        <w:rPr>
          <w:rFonts w:ascii="Calibri" w:hAnsi="Calibri" w:cs="Calibri"/>
          <w:lang w:val="en-GB"/>
        </w:rPr>
        <w:t xml:space="preserve">, </w:t>
      </w:r>
      <w:proofErr w:type="spellStart"/>
      <w:r w:rsidRPr="008E2FF0">
        <w:rPr>
          <w:rFonts w:ascii="Calibri" w:hAnsi="Calibri" w:cs="Calibri"/>
          <w:lang w:val="en-GB"/>
        </w:rPr>
        <w:t>Buguggiate</w:t>
      </w:r>
      <w:proofErr w:type="spellEnd"/>
      <w:r w:rsidRPr="008E2FF0">
        <w:rPr>
          <w:rFonts w:ascii="Calibri" w:hAnsi="Calibri" w:cs="Calibri"/>
          <w:lang w:val="en-GB"/>
        </w:rPr>
        <w:t xml:space="preserve">, Italy) with dust-free wood granulate bedding and paper shreds nesting material (SAFE, </w:t>
      </w:r>
      <w:proofErr w:type="spellStart"/>
      <w:r w:rsidRPr="008E2FF0">
        <w:rPr>
          <w:rFonts w:ascii="Calibri" w:hAnsi="Calibri" w:cs="Calibri"/>
          <w:lang w:val="en-GB"/>
        </w:rPr>
        <w:t>Augy</w:t>
      </w:r>
      <w:proofErr w:type="spellEnd"/>
      <w:r w:rsidRPr="008E2FF0">
        <w:rPr>
          <w:rFonts w:ascii="Calibri" w:hAnsi="Calibri" w:cs="Calibri"/>
          <w:lang w:val="en-GB"/>
        </w:rPr>
        <w:t>, France) under standard conditions with a 12-hour light/dark cycle, ambient temperature at 22 ± 2 °C, and a relative humidity of 55 %. Further enrichment consisted of red polycarbonate hut, tunnel, and hanging retreat, as well as aspen chew sticks, hay-cubes, and hemp ropes (</w:t>
      </w:r>
      <w:proofErr w:type="spellStart"/>
      <w:r w:rsidRPr="008E2FF0">
        <w:rPr>
          <w:rFonts w:ascii="Calibri" w:hAnsi="Calibri" w:cs="Calibri"/>
          <w:lang w:val="en-GB"/>
        </w:rPr>
        <w:t>Brogaarden</w:t>
      </w:r>
      <w:proofErr w:type="spellEnd"/>
      <w:r w:rsidRPr="008E2FF0">
        <w:rPr>
          <w:rFonts w:ascii="Calibri" w:hAnsi="Calibri" w:cs="Calibri"/>
          <w:lang w:val="en-GB"/>
        </w:rPr>
        <w:t xml:space="preserve">, </w:t>
      </w:r>
      <w:proofErr w:type="spellStart"/>
      <w:r w:rsidRPr="008E2FF0">
        <w:rPr>
          <w:rFonts w:ascii="Calibri" w:hAnsi="Calibri" w:cs="Calibri"/>
          <w:lang w:val="en-GB"/>
        </w:rPr>
        <w:t>Lynge</w:t>
      </w:r>
      <w:proofErr w:type="spellEnd"/>
      <w:r w:rsidRPr="008E2FF0">
        <w:rPr>
          <w:rFonts w:ascii="Calibri" w:hAnsi="Calibri" w:cs="Calibri"/>
          <w:lang w:val="en-GB"/>
        </w:rPr>
        <w:t>, Denmark). The animals had free access to standard pelleted chow (Safe A30, SAFE) and tap water ad libitum. Dried corn kernels, sunflower seeds, and peanuts (</w:t>
      </w:r>
      <w:proofErr w:type="spellStart"/>
      <w:r w:rsidRPr="008E2FF0">
        <w:rPr>
          <w:rFonts w:ascii="Calibri" w:hAnsi="Calibri" w:cs="Calibri"/>
          <w:lang w:val="en-GB"/>
        </w:rPr>
        <w:t>Brogaarden</w:t>
      </w:r>
      <w:proofErr w:type="spellEnd"/>
      <w:r w:rsidRPr="008E2FF0">
        <w:rPr>
          <w:rFonts w:ascii="Calibri" w:hAnsi="Calibri" w:cs="Calibri"/>
          <w:lang w:val="en-GB"/>
        </w:rPr>
        <w:t xml:space="preserve">) were added in the cage feeder once or twice weekly. The rats were allowed to acclimatize for minimum seven days before study </w:t>
      </w:r>
      <w:r w:rsidRPr="00060A2E">
        <w:rPr>
          <w:rFonts w:ascii="Calibri" w:hAnsi="Calibri" w:cs="Calibri"/>
          <w:lang w:val="en-GB"/>
        </w:rPr>
        <w:t xml:space="preserve">start. </w:t>
      </w:r>
    </w:p>
    <w:p w14:paraId="3C08D818" w14:textId="77777777" w:rsidR="00A23113" w:rsidRDefault="00A23113" w:rsidP="008E2FF0">
      <w:pPr>
        <w:spacing w:line="240" w:lineRule="auto"/>
        <w:jc w:val="both"/>
        <w:rPr>
          <w:rFonts w:ascii="Calibri" w:hAnsi="Calibri" w:cs="Calibri"/>
          <w:lang w:val="en-GB"/>
        </w:rPr>
      </w:pPr>
    </w:p>
    <w:p w14:paraId="59D28923" w14:textId="54EC476A" w:rsidR="0020562F" w:rsidRDefault="0025415E" w:rsidP="008E2FF0">
      <w:pPr>
        <w:spacing w:line="240" w:lineRule="auto"/>
        <w:jc w:val="both"/>
        <w:rPr>
          <w:rFonts w:ascii="Calibri" w:hAnsi="Calibri" w:cs="Calibri"/>
          <w:lang w:val="en-GB"/>
        </w:rPr>
      </w:pPr>
      <w:r w:rsidRPr="00060A2E">
        <w:rPr>
          <w:rFonts w:ascii="Calibri" w:hAnsi="Calibri" w:cs="Calibri"/>
          <w:lang w:val="en-GB"/>
        </w:rPr>
        <w:t>The rats were maintained at a barrier facility free of the following pathogens:</w:t>
      </w:r>
    </w:p>
    <w:p w14:paraId="33969FF1" w14:textId="77777777" w:rsidR="00A23113" w:rsidRPr="00060A2E" w:rsidRDefault="00A23113" w:rsidP="008E2FF0">
      <w:pPr>
        <w:spacing w:line="240" w:lineRule="auto"/>
        <w:jc w:val="both"/>
        <w:rPr>
          <w:rFonts w:ascii="Calibri" w:hAnsi="Calibri" w:cs="Calibri"/>
          <w:lang w:val="en-GB"/>
        </w:rPr>
      </w:pPr>
    </w:p>
    <w:tbl>
      <w:tblPr>
        <w:tblW w:w="4969" w:type="pct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3"/>
        <w:gridCol w:w="3829"/>
        <w:gridCol w:w="2416"/>
      </w:tblGrid>
      <w:tr w:rsidR="00060A2E" w:rsidRPr="00060A2E" w14:paraId="73EBA657" w14:textId="0062274B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62556AAA" w14:textId="63D7DE5F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SDAV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</w:t>
            </w:r>
            <w:proofErr w:type="spellStart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Sialodacryoadenitis</w:t>
            </w:r>
            <w:proofErr w:type="spellEnd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virus)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3C1B0716" w14:textId="0C97DD10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Clostridium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piliforme</w:t>
            </w:r>
            <w:proofErr w:type="spellEnd"/>
          </w:p>
        </w:tc>
        <w:tc>
          <w:tcPr>
            <w:tcW w:w="1261" w:type="pct"/>
            <w:vAlign w:val="center"/>
          </w:tcPr>
          <w:p w14:paraId="508A2B9B" w14:textId="4F162025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Giardia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spp</w:t>
            </w:r>
            <w:proofErr w:type="spellEnd"/>
          </w:p>
        </w:tc>
      </w:tr>
      <w:tr w:rsidR="00060A2E" w:rsidRPr="00060A2E" w14:paraId="1AE466DE" w14:textId="115DA05F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66081051" w14:textId="7ACC5EEE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RMV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(Rat </w:t>
            </w:r>
            <w:proofErr w:type="spellStart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minute</w:t>
            </w:r>
            <w:proofErr w:type="spellEnd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virus)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23915E89" w14:textId="39086416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Cryptosporidium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spp</w:t>
            </w:r>
            <w:proofErr w:type="spellEnd"/>
          </w:p>
        </w:tc>
        <w:tc>
          <w:tcPr>
            <w:tcW w:w="1261" w:type="pct"/>
            <w:vAlign w:val="center"/>
          </w:tcPr>
          <w:p w14:paraId="4FDE24F7" w14:textId="1EDC1A7D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Spironucleus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muris</w:t>
            </w:r>
            <w:proofErr w:type="spellEnd"/>
          </w:p>
        </w:tc>
      </w:tr>
      <w:tr w:rsidR="00060A2E" w:rsidRPr="00060A2E" w14:paraId="1CD767E3" w14:textId="06FFEC52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740E73EB" w14:textId="10131579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MAD1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(Mouse </w:t>
            </w:r>
            <w:proofErr w:type="spellStart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adenovirus</w:t>
            </w:r>
            <w:proofErr w:type="spellEnd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type 1)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3CC641CF" w14:textId="11F47F74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Streptobacillus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moniliformis</w:t>
            </w:r>
            <w:proofErr w:type="spellEnd"/>
          </w:p>
        </w:tc>
        <w:tc>
          <w:tcPr>
            <w:tcW w:w="1261" w:type="pct"/>
            <w:vAlign w:val="center"/>
          </w:tcPr>
          <w:p w14:paraId="2319B692" w14:textId="7CF0E83A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Entamoeba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muris</w:t>
            </w:r>
            <w:proofErr w:type="spellEnd"/>
          </w:p>
        </w:tc>
      </w:tr>
      <w:tr w:rsidR="00060A2E" w:rsidRPr="00060A2E" w14:paraId="2801E6AC" w14:textId="0ABBB2A2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307F6FE0" w14:textId="07481CA8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MAD2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(Mouse </w:t>
            </w:r>
            <w:proofErr w:type="spellStart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adenovirus</w:t>
            </w:r>
            <w:proofErr w:type="spellEnd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type 2)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67FE7601" w14:textId="6BCA4859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Streptococcus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pneumoniae</w:t>
            </w:r>
            <w:proofErr w:type="spellEnd"/>
          </w:p>
        </w:tc>
        <w:tc>
          <w:tcPr>
            <w:tcW w:w="1261" w:type="pct"/>
            <w:vAlign w:val="center"/>
          </w:tcPr>
          <w:p w14:paraId="5DC0A1EE" w14:textId="4109E977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Tritrichomonas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muris</w:t>
            </w:r>
            <w:proofErr w:type="spellEnd"/>
          </w:p>
        </w:tc>
      </w:tr>
      <w:tr w:rsidR="00060A2E" w:rsidRPr="00060A2E" w14:paraId="08955819" w14:textId="23040AC1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0CC88F15" w14:textId="3A68EE5A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RPV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(Rat </w:t>
            </w:r>
            <w:proofErr w:type="spellStart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parvovirus</w:t>
            </w:r>
            <w:proofErr w:type="spellEnd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52D676B8" w14:textId="4A467BE9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Streptococcus sp. beta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>haemolytic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 Group A</w:t>
            </w:r>
          </w:p>
        </w:tc>
        <w:tc>
          <w:tcPr>
            <w:tcW w:w="1261" w:type="pct"/>
            <w:vAlign w:val="center"/>
          </w:tcPr>
          <w:p w14:paraId="6D1D5777" w14:textId="344E3F64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Chilomastix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sp</w:t>
            </w:r>
            <w:proofErr w:type="spellEnd"/>
          </w:p>
        </w:tc>
      </w:tr>
      <w:tr w:rsidR="00060A2E" w:rsidRPr="00060A2E" w14:paraId="6A047C2F" w14:textId="3983B680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64F78673" w14:textId="46E392B4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RTV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(Rat </w:t>
            </w:r>
            <w:proofErr w:type="spellStart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theilovirus</w:t>
            </w:r>
            <w:proofErr w:type="spellEnd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7AB417DD" w14:textId="0D0C83F9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Streptococcus sp. beta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>haemolytic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 Group B</w:t>
            </w:r>
          </w:p>
        </w:tc>
        <w:tc>
          <w:tcPr>
            <w:tcW w:w="1261" w:type="pct"/>
            <w:vAlign w:val="center"/>
          </w:tcPr>
          <w:p w14:paraId="0CFD1782" w14:textId="38E2ABE8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Helicobacter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spp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.</w:t>
            </w:r>
          </w:p>
        </w:tc>
      </w:tr>
      <w:tr w:rsidR="00060A2E" w:rsidRPr="00060A2E" w14:paraId="7F92790C" w14:textId="7DC1EB26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232E3470" w14:textId="4FD8E4D5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KRV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</w:t>
            </w:r>
            <w:proofErr w:type="spellStart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Kilham</w:t>
            </w:r>
            <w:proofErr w:type="spellEnd"/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rat virus)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3DE11940" w14:textId="342F9145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Streptococcus sp. beta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>haemolytic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 Group C</w:t>
            </w:r>
          </w:p>
        </w:tc>
        <w:tc>
          <w:tcPr>
            <w:tcW w:w="1261" w:type="pct"/>
            <w:vAlign w:val="center"/>
          </w:tcPr>
          <w:p w14:paraId="136709D1" w14:textId="6AE9AF2E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Helicobacter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bilis</w:t>
            </w:r>
            <w:proofErr w:type="spellEnd"/>
          </w:p>
        </w:tc>
      </w:tr>
      <w:tr w:rsidR="00060A2E" w:rsidRPr="00060A2E" w14:paraId="222F5012" w14:textId="0AC87738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01B79C39" w14:textId="0FFC689A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>PVM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 (Pneumonia virus of mice)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3E2EBDAC" w14:textId="1FE4C52E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Streptococcus sp. beta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>haemolytic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 Group G</w:t>
            </w:r>
          </w:p>
        </w:tc>
        <w:tc>
          <w:tcPr>
            <w:tcW w:w="1261" w:type="pct"/>
            <w:vAlign w:val="center"/>
          </w:tcPr>
          <w:p w14:paraId="47924BDA" w14:textId="21F277FE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Helicobacter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ganmani</w:t>
            </w:r>
            <w:proofErr w:type="spellEnd"/>
          </w:p>
        </w:tc>
      </w:tr>
      <w:tr w:rsidR="00060A2E" w:rsidRPr="00060A2E" w14:paraId="60BC6D85" w14:textId="7519C6D7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63FDD239" w14:textId="3DDEBF9D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>REO3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val="en-US" w:eastAsia="da-DK"/>
                <w14:ligatures w14:val="none"/>
              </w:rPr>
              <w:t xml:space="preserve"> (Respiratory enteric virus III)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05BDE30F" w14:textId="150D3489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Salmonella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spp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.</w:t>
            </w:r>
          </w:p>
        </w:tc>
        <w:tc>
          <w:tcPr>
            <w:tcW w:w="1261" w:type="pct"/>
            <w:vAlign w:val="center"/>
          </w:tcPr>
          <w:p w14:paraId="78EE2CD3" w14:textId="6DF1FD8C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Helicobacter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hepaticus</w:t>
            </w:r>
            <w:proofErr w:type="spellEnd"/>
          </w:p>
        </w:tc>
      </w:tr>
      <w:tr w:rsidR="00060A2E" w:rsidRPr="00060A2E" w14:paraId="5905C0F9" w14:textId="035DA871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7677E261" w14:textId="52611BF9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Sendai</w:t>
            </w:r>
            <w:proofErr w:type="spellEnd"/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5ACBD70C" w14:textId="36A5331A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Pasteurella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pneumotropica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Jawetz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)</w:t>
            </w:r>
          </w:p>
        </w:tc>
        <w:tc>
          <w:tcPr>
            <w:tcW w:w="1261" w:type="pct"/>
            <w:vAlign w:val="center"/>
          </w:tcPr>
          <w:p w14:paraId="3B139998" w14:textId="7798DF7D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Helicobacter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mastomyrinus</w:t>
            </w:r>
            <w:proofErr w:type="spellEnd"/>
          </w:p>
        </w:tc>
      </w:tr>
      <w:tr w:rsidR="00060A2E" w:rsidRPr="00060A2E" w14:paraId="54565BD8" w14:textId="52AF3A7C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138FAF20" w14:textId="2617E51B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Hantaan</w:t>
            </w:r>
            <w:proofErr w:type="spellEnd"/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5158BCF8" w14:textId="7AA64349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Pasteurella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pneumotropica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(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Heyl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)</w:t>
            </w:r>
          </w:p>
        </w:tc>
        <w:tc>
          <w:tcPr>
            <w:tcW w:w="1261" w:type="pct"/>
            <w:vAlign w:val="center"/>
          </w:tcPr>
          <w:p w14:paraId="27639664" w14:textId="3EC2B386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Helicobacter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rodentium</w:t>
            </w:r>
            <w:proofErr w:type="spellEnd"/>
          </w:p>
        </w:tc>
      </w:tr>
      <w:tr w:rsidR="00060A2E" w:rsidRPr="00060A2E" w14:paraId="44EBE3C9" w14:textId="6977023A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455867BB" w14:textId="2B750EF4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Toolan’s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H-1</w:t>
            </w:r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76415F24" w14:textId="5770355D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Aspiculuris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tetraptera</w:t>
            </w:r>
            <w:proofErr w:type="spellEnd"/>
          </w:p>
        </w:tc>
        <w:tc>
          <w:tcPr>
            <w:tcW w:w="1261" w:type="pct"/>
            <w:vAlign w:val="center"/>
          </w:tcPr>
          <w:p w14:paraId="159D5000" w14:textId="4E6DF1EC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Helicobacter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typhlonius</w:t>
            </w:r>
            <w:proofErr w:type="spellEnd"/>
          </w:p>
        </w:tc>
      </w:tr>
      <w:tr w:rsidR="00060A2E" w:rsidRPr="00060A2E" w14:paraId="4EF3662C" w14:textId="403EFA29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6820D6AA" w14:textId="4FC8B5CF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CAR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bacillus</w:t>
            </w:r>
            <w:proofErr w:type="spellEnd"/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7ED1BAAC" w14:textId="06BC15B8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Syphacia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obvelata</w:t>
            </w:r>
            <w:proofErr w:type="spellEnd"/>
          </w:p>
        </w:tc>
        <w:tc>
          <w:tcPr>
            <w:tcW w:w="1261" w:type="pct"/>
            <w:vAlign w:val="center"/>
          </w:tcPr>
          <w:p w14:paraId="4B0FD288" w14:textId="6AE6C732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Myocoptes</w:t>
            </w:r>
            <w:proofErr w:type="spellEnd"/>
          </w:p>
        </w:tc>
      </w:tr>
      <w:tr w:rsidR="00060A2E" w:rsidRPr="00060A2E" w14:paraId="40131024" w14:textId="52AAB423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1E76CF76" w14:textId="7F01D271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Pneumocystis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carinii</w:t>
            </w:r>
            <w:proofErr w:type="spellEnd"/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0FEE3279" w14:textId="7899DAA7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Syphacia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muris</w:t>
            </w:r>
            <w:proofErr w:type="spellEnd"/>
          </w:p>
        </w:tc>
        <w:tc>
          <w:tcPr>
            <w:tcW w:w="1261" w:type="pct"/>
            <w:vAlign w:val="center"/>
          </w:tcPr>
          <w:p w14:paraId="79CD8D09" w14:textId="3274A88D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Myobia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/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Radfordia</w:t>
            </w:r>
            <w:proofErr w:type="spellEnd"/>
          </w:p>
        </w:tc>
      </w:tr>
      <w:tr w:rsidR="00060A2E" w:rsidRPr="00060A2E" w14:paraId="5CC65491" w14:textId="672446B9" w:rsidTr="00F73E16">
        <w:trPr>
          <w:trHeight w:val="300"/>
        </w:trPr>
        <w:tc>
          <w:tcPr>
            <w:tcW w:w="1740" w:type="pct"/>
            <w:shd w:val="clear" w:color="auto" w:fill="auto"/>
            <w:noWrap/>
            <w:vAlign w:val="center"/>
            <w:hideMark/>
          </w:tcPr>
          <w:p w14:paraId="0898086D" w14:textId="3B72BE13" w:rsidR="00F73E16" w:rsidRPr="00060A2E" w:rsidRDefault="00F73E16" w:rsidP="00F73E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M</w:t>
            </w:r>
            <w:r w:rsidRPr="00060A2E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ycoplasma</w:t>
            </w:r>
            <w:proofErr w:type="spellEnd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  <w:proofErr w:type="spellStart"/>
            <w:r w:rsidRPr="0020562F"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  <w:t>pulmonis</w:t>
            </w:r>
            <w:proofErr w:type="spellEnd"/>
          </w:p>
        </w:tc>
        <w:tc>
          <w:tcPr>
            <w:tcW w:w="1999" w:type="pct"/>
            <w:shd w:val="clear" w:color="auto" w:fill="auto"/>
            <w:noWrap/>
            <w:vAlign w:val="center"/>
          </w:tcPr>
          <w:p w14:paraId="2B3CF66C" w14:textId="4F261851" w:rsidR="00F73E16" w:rsidRPr="0020562F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  <w:tc>
          <w:tcPr>
            <w:tcW w:w="1261" w:type="pct"/>
            <w:vAlign w:val="center"/>
          </w:tcPr>
          <w:p w14:paraId="75BA0996" w14:textId="77777777" w:rsidR="00F73E16" w:rsidRPr="00060A2E" w:rsidRDefault="00F73E16" w:rsidP="00F73E16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0"/>
                <w:szCs w:val="20"/>
                <w:lang w:eastAsia="da-DK"/>
                <w14:ligatures w14:val="none"/>
              </w:rPr>
            </w:pPr>
          </w:p>
        </w:tc>
      </w:tr>
    </w:tbl>
    <w:p w14:paraId="7BD5C367" w14:textId="574B0943" w:rsidR="00FB06BE" w:rsidRDefault="00FB06BE" w:rsidP="00E008ED">
      <w:pPr>
        <w:spacing w:line="240" w:lineRule="auto"/>
        <w:jc w:val="both"/>
        <w:rPr>
          <w:rFonts w:ascii="Calibri" w:hAnsi="Calibri" w:cs="Calibri"/>
          <w:sz w:val="20"/>
          <w:szCs w:val="20"/>
          <w:lang w:val="en-US"/>
        </w:rPr>
      </w:pPr>
    </w:p>
    <w:sectPr w:rsidR="00FB06BE" w:rsidSect="00F22E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39049" w14:textId="77777777" w:rsidR="00467A32" w:rsidRDefault="00467A32" w:rsidP="00467A32">
      <w:pPr>
        <w:spacing w:after="0" w:line="240" w:lineRule="auto"/>
      </w:pPr>
      <w:r>
        <w:separator/>
      </w:r>
    </w:p>
  </w:endnote>
  <w:endnote w:type="continuationSeparator" w:id="0">
    <w:p w14:paraId="412284FB" w14:textId="77777777" w:rsidR="00467A32" w:rsidRDefault="00467A32" w:rsidP="0046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ABC4" w14:textId="77777777" w:rsidR="00467A32" w:rsidRDefault="00467A3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9B1F" w14:textId="77777777" w:rsidR="00467A32" w:rsidRDefault="00467A3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5BAA0" w14:textId="77777777" w:rsidR="00467A32" w:rsidRDefault="00467A3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91FA5" w14:textId="77777777" w:rsidR="00467A32" w:rsidRDefault="00467A32" w:rsidP="00467A32">
      <w:pPr>
        <w:spacing w:after="0" w:line="240" w:lineRule="auto"/>
      </w:pPr>
      <w:r>
        <w:separator/>
      </w:r>
    </w:p>
  </w:footnote>
  <w:footnote w:type="continuationSeparator" w:id="0">
    <w:p w14:paraId="27382AF0" w14:textId="77777777" w:rsidR="00467A32" w:rsidRDefault="00467A32" w:rsidP="0046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1445" w14:textId="77777777" w:rsidR="00467A32" w:rsidRDefault="00467A3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846C5" w14:textId="77777777" w:rsidR="00467A32" w:rsidRDefault="00467A3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D47AF" w14:textId="77777777" w:rsidR="00467A32" w:rsidRDefault="00467A3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D412561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422D8E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704347">
    <w:abstractNumId w:val="1"/>
  </w:num>
  <w:num w:numId="2" w16cid:durableId="651061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Sage Vancouver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pdwdfpuvt5xke5z2s5adfwd255szwrevdz&quot;&gt;Glaucoma project library (Converted 31.05.2021)&lt;record-ids&gt;&lt;item&gt;349&lt;/item&gt;&lt;item&gt;765&lt;/item&gt;&lt;item&gt;772&lt;/item&gt;&lt;item&gt;774&lt;/item&gt;&lt;item&gt;775&lt;/item&gt;&lt;item&gt;789&lt;/item&gt;&lt;/record-ids&gt;&lt;/item&gt;&lt;/Libraries&gt;"/>
  </w:docVars>
  <w:rsids>
    <w:rsidRoot w:val="008644A2"/>
    <w:rsid w:val="00005958"/>
    <w:rsid w:val="000401E9"/>
    <w:rsid w:val="00060A2E"/>
    <w:rsid w:val="00076B95"/>
    <w:rsid w:val="000962B3"/>
    <w:rsid w:val="000A2337"/>
    <w:rsid w:val="000C0699"/>
    <w:rsid w:val="000C4913"/>
    <w:rsid w:val="000D2BF5"/>
    <w:rsid w:val="000D4699"/>
    <w:rsid w:val="000F179B"/>
    <w:rsid w:val="00140182"/>
    <w:rsid w:val="00157EB3"/>
    <w:rsid w:val="001726FE"/>
    <w:rsid w:val="001B62A6"/>
    <w:rsid w:val="001B78C6"/>
    <w:rsid w:val="001E3ACE"/>
    <w:rsid w:val="0020562F"/>
    <w:rsid w:val="00220716"/>
    <w:rsid w:val="00221611"/>
    <w:rsid w:val="00236AE9"/>
    <w:rsid w:val="002536D9"/>
    <w:rsid w:val="0025415E"/>
    <w:rsid w:val="00262171"/>
    <w:rsid w:val="002A5A00"/>
    <w:rsid w:val="002B41C1"/>
    <w:rsid w:val="002B4B92"/>
    <w:rsid w:val="002D6128"/>
    <w:rsid w:val="002E2871"/>
    <w:rsid w:val="002E3CE2"/>
    <w:rsid w:val="00303C53"/>
    <w:rsid w:val="0032349E"/>
    <w:rsid w:val="00331EC4"/>
    <w:rsid w:val="00367D3B"/>
    <w:rsid w:val="003727E4"/>
    <w:rsid w:val="003902A8"/>
    <w:rsid w:val="00394FAA"/>
    <w:rsid w:val="003A0ECE"/>
    <w:rsid w:val="003D1D10"/>
    <w:rsid w:val="003E3E09"/>
    <w:rsid w:val="00401C6E"/>
    <w:rsid w:val="00415016"/>
    <w:rsid w:val="00417112"/>
    <w:rsid w:val="004223A1"/>
    <w:rsid w:val="00442B51"/>
    <w:rsid w:val="00467A32"/>
    <w:rsid w:val="00480F2D"/>
    <w:rsid w:val="00485DA8"/>
    <w:rsid w:val="00492CCE"/>
    <w:rsid w:val="00497B74"/>
    <w:rsid w:val="004A797D"/>
    <w:rsid w:val="004C0D19"/>
    <w:rsid w:val="004D7BCC"/>
    <w:rsid w:val="00517C1E"/>
    <w:rsid w:val="005241C5"/>
    <w:rsid w:val="00536098"/>
    <w:rsid w:val="005564E4"/>
    <w:rsid w:val="00595F47"/>
    <w:rsid w:val="005A1147"/>
    <w:rsid w:val="005A2174"/>
    <w:rsid w:val="005B0B0C"/>
    <w:rsid w:val="005B7B4C"/>
    <w:rsid w:val="005E1158"/>
    <w:rsid w:val="006A4FAE"/>
    <w:rsid w:val="006C1BA0"/>
    <w:rsid w:val="006C24D1"/>
    <w:rsid w:val="006F6433"/>
    <w:rsid w:val="0070125D"/>
    <w:rsid w:val="007333C9"/>
    <w:rsid w:val="00782C7A"/>
    <w:rsid w:val="007A51BF"/>
    <w:rsid w:val="007D2032"/>
    <w:rsid w:val="007D5664"/>
    <w:rsid w:val="007F72F2"/>
    <w:rsid w:val="00842D33"/>
    <w:rsid w:val="008644A2"/>
    <w:rsid w:val="00873785"/>
    <w:rsid w:val="008856FF"/>
    <w:rsid w:val="008E2FF0"/>
    <w:rsid w:val="00910871"/>
    <w:rsid w:val="00927358"/>
    <w:rsid w:val="00935C7E"/>
    <w:rsid w:val="00943430"/>
    <w:rsid w:val="009836CA"/>
    <w:rsid w:val="00986777"/>
    <w:rsid w:val="00993DEE"/>
    <w:rsid w:val="009A4FEC"/>
    <w:rsid w:val="00A23113"/>
    <w:rsid w:val="00A35125"/>
    <w:rsid w:val="00A51A47"/>
    <w:rsid w:val="00A523BC"/>
    <w:rsid w:val="00A67475"/>
    <w:rsid w:val="00A76ACB"/>
    <w:rsid w:val="00AB5C5A"/>
    <w:rsid w:val="00AE5218"/>
    <w:rsid w:val="00AF1527"/>
    <w:rsid w:val="00B108C0"/>
    <w:rsid w:val="00B30970"/>
    <w:rsid w:val="00B316CA"/>
    <w:rsid w:val="00B452A5"/>
    <w:rsid w:val="00B57630"/>
    <w:rsid w:val="00B61394"/>
    <w:rsid w:val="00B725E6"/>
    <w:rsid w:val="00B77A48"/>
    <w:rsid w:val="00BD7131"/>
    <w:rsid w:val="00BE64CD"/>
    <w:rsid w:val="00C06053"/>
    <w:rsid w:val="00C311D9"/>
    <w:rsid w:val="00C355C1"/>
    <w:rsid w:val="00C41F69"/>
    <w:rsid w:val="00C46D3C"/>
    <w:rsid w:val="00C70D24"/>
    <w:rsid w:val="00C95AC6"/>
    <w:rsid w:val="00CA01DD"/>
    <w:rsid w:val="00CA062B"/>
    <w:rsid w:val="00CB0A39"/>
    <w:rsid w:val="00CF3616"/>
    <w:rsid w:val="00D03639"/>
    <w:rsid w:val="00D055FB"/>
    <w:rsid w:val="00D140D7"/>
    <w:rsid w:val="00D150FE"/>
    <w:rsid w:val="00D32C99"/>
    <w:rsid w:val="00D4091F"/>
    <w:rsid w:val="00D42B16"/>
    <w:rsid w:val="00D768D1"/>
    <w:rsid w:val="00D83499"/>
    <w:rsid w:val="00D97234"/>
    <w:rsid w:val="00DA2DF8"/>
    <w:rsid w:val="00DA710D"/>
    <w:rsid w:val="00DB7D87"/>
    <w:rsid w:val="00DC5F35"/>
    <w:rsid w:val="00E008ED"/>
    <w:rsid w:val="00E174D2"/>
    <w:rsid w:val="00E274FE"/>
    <w:rsid w:val="00E32D83"/>
    <w:rsid w:val="00E41813"/>
    <w:rsid w:val="00E57CB4"/>
    <w:rsid w:val="00E63AE7"/>
    <w:rsid w:val="00E84F78"/>
    <w:rsid w:val="00EA54F7"/>
    <w:rsid w:val="00EB5C2C"/>
    <w:rsid w:val="00EC5F77"/>
    <w:rsid w:val="00EC750B"/>
    <w:rsid w:val="00ED3594"/>
    <w:rsid w:val="00ED35ED"/>
    <w:rsid w:val="00ED454A"/>
    <w:rsid w:val="00EE0621"/>
    <w:rsid w:val="00EE2671"/>
    <w:rsid w:val="00F22E11"/>
    <w:rsid w:val="00F33339"/>
    <w:rsid w:val="00F43CE7"/>
    <w:rsid w:val="00F5297D"/>
    <w:rsid w:val="00F57D36"/>
    <w:rsid w:val="00F711C1"/>
    <w:rsid w:val="00F73E16"/>
    <w:rsid w:val="00F85B78"/>
    <w:rsid w:val="00F94AA0"/>
    <w:rsid w:val="00FA6001"/>
    <w:rsid w:val="00FB06BE"/>
    <w:rsid w:val="00FB2DFE"/>
    <w:rsid w:val="00FC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6F4F715"/>
  <w15:chartTrackingRefBased/>
  <w15:docId w15:val="{67C1DD1E-F832-4840-8C43-51664C3D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64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64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64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64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64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64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64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64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64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64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64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64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644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644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644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644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644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644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64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64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64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64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64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644A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644A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644A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64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644A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644A2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typeiafsnit"/>
    <w:rsid w:val="008644A2"/>
  </w:style>
  <w:style w:type="paragraph" w:customStyle="1" w:styleId="EndNoteBibliographyTitle">
    <w:name w:val="EndNote Bibliography Title"/>
    <w:basedOn w:val="Normal"/>
    <w:link w:val="EndNoteBibliographyTitleTegn"/>
    <w:rsid w:val="008644A2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8644A2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8644A2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8644A2"/>
    <w:rPr>
      <w:rFonts w:ascii="Aptos" w:hAnsi="Aptos"/>
      <w:noProof/>
      <w:lang w:val="en-US"/>
    </w:rPr>
  </w:style>
  <w:style w:type="paragraph" w:styleId="Billedtekst">
    <w:name w:val="caption"/>
    <w:basedOn w:val="Normal"/>
    <w:next w:val="Normal"/>
    <w:uiPriority w:val="35"/>
    <w:unhideWhenUsed/>
    <w:qFormat/>
    <w:rsid w:val="00415016"/>
    <w:pPr>
      <w:spacing w:after="200" w:line="240" w:lineRule="auto"/>
    </w:pPr>
    <w:rPr>
      <w:i/>
      <w:iCs/>
      <w:color w:val="0E2841" w:themeColor="text2"/>
      <w:kern w:val="0"/>
      <w:sz w:val="18"/>
      <w:szCs w:val="18"/>
      <w14:ligatures w14:val="none"/>
    </w:rPr>
  </w:style>
  <w:style w:type="paragraph" w:styleId="Korrektur">
    <w:name w:val="Revision"/>
    <w:hidden/>
    <w:uiPriority w:val="99"/>
    <w:semiHidden/>
    <w:rsid w:val="00415016"/>
    <w:pPr>
      <w:spacing w:after="0" w:line="240" w:lineRule="auto"/>
    </w:pPr>
  </w:style>
  <w:style w:type="table" w:styleId="Tabel-Gitter">
    <w:name w:val="Table Grid"/>
    <w:basedOn w:val="Tabel-Normal"/>
    <w:uiPriority w:val="39"/>
    <w:rsid w:val="00927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semiHidden/>
    <w:unhideWhenUsed/>
    <w:rsid w:val="00467A32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467A32"/>
    <w:pPr>
      <w:numPr>
        <w:numId w:val="2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467A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67A32"/>
  </w:style>
  <w:style w:type="paragraph" w:styleId="Sidefod">
    <w:name w:val="footer"/>
    <w:basedOn w:val="Normal"/>
    <w:link w:val="SidefodTegn"/>
    <w:uiPriority w:val="99"/>
    <w:unhideWhenUsed/>
    <w:rsid w:val="00467A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67A32"/>
  </w:style>
  <w:style w:type="character" w:styleId="Kommentarhenvisning">
    <w:name w:val="annotation reference"/>
    <w:basedOn w:val="Standardskrifttypeiafsnit"/>
    <w:uiPriority w:val="99"/>
    <w:semiHidden/>
    <w:unhideWhenUsed/>
    <w:rsid w:val="00467A3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67A3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67A3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67A3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67A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Maria Löfgren Nordahl</dc:creator>
  <cp:keywords/>
  <dc:description/>
  <cp:lastModifiedBy>Karin Maria Löfgren Nordahl</cp:lastModifiedBy>
  <cp:revision>4</cp:revision>
  <dcterms:created xsi:type="dcterms:W3CDTF">2026-03-16T19:32:00Z</dcterms:created>
  <dcterms:modified xsi:type="dcterms:W3CDTF">2026-03-16T19:33:00Z</dcterms:modified>
</cp:coreProperties>
</file>