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189" w:rsidRDefault="005B7F21" w:rsidP="00090189">
      <w:pPr>
        <w:pStyle w:val="Caption"/>
        <w:rPr>
          <w:rFonts w:ascii="Times New Roman" w:hAnsi="Times New Roman" w:cs="Times New Roman"/>
          <w:b/>
          <w:i w:val="0"/>
          <w:color w:val="000000" w:themeColor="text1"/>
          <w:sz w:val="24"/>
          <w:szCs w:val="24"/>
        </w:rPr>
      </w:pPr>
      <w:r>
        <w:rPr>
          <w:rFonts w:ascii="Times New Roman" w:hAnsi="Times New Roman" w:cs="Times New Roman"/>
          <w:b/>
          <w:i w:val="0"/>
          <w:color w:val="000000" w:themeColor="text1"/>
          <w:sz w:val="24"/>
          <w:szCs w:val="24"/>
        </w:rPr>
        <w:t>Additional File 1</w:t>
      </w:r>
      <w:bookmarkStart w:id="0" w:name="_GoBack"/>
      <w:bookmarkEnd w:id="0"/>
    </w:p>
    <w:p w:rsidR="00090189" w:rsidRPr="008D602A" w:rsidRDefault="00090189" w:rsidP="00090189">
      <w:pPr>
        <w:pStyle w:val="Caption"/>
        <w:rPr>
          <w:rFonts w:ascii="Times New Roman" w:hAnsi="Times New Roman" w:cs="Times New Roman"/>
          <w:b/>
          <w:i w:val="0"/>
          <w:color w:val="000000" w:themeColor="text1"/>
          <w:sz w:val="24"/>
          <w:szCs w:val="24"/>
        </w:rPr>
      </w:pPr>
      <w:r w:rsidRPr="008D602A">
        <w:rPr>
          <w:rFonts w:ascii="Times New Roman" w:hAnsi="Times New Roman" w:cs="Times New Roman"/>
          <w:b/>
          <w:i w:val="0"/>
          <w:color w:val="000000" w:themeColor="text1"/>
          <w:sz w:val="24"/>
          <w:szCs w:val="24"/>
        </w:rPr>
        <w:t>Modes of Calculation in the Literature</w:t>
      </w:r>
    </w:p>
    <w:p w:rsidR="00090189" w:rsidRPr="008D602A" w:rsidRDefault="00090189" w:rsidP="00090189">
      <w:pPr>
        <w:pStyle w:val="Caption"/>
        <w:rPr>
          <w:sz w:val="24"/>
          <w:szCs w:val="24"/>
        </w:rPr>
      </w:pPr>
    </w:p>
    <w:p w:rsidR="005C46D0" w:rsidRPr="008D602A" w:rsidRDefault="005C46D0" w:rsidP="005C46D0">
      <w:pPr>
        <w:rPr>
          <w:rFonts w:ascii="Times New Roman" w:hAnsi="Times New Roman" w:cs="Times New Roman"/>
          <w:sz w:val="24"/>
          <w:szCs w:val="24"/>
        </w:rPr>
      </w:pPr>
      <w:r w:rsidRPr="008D602A">
        <w:rPr>
          <w:rFonts w:ascii="Times New Roman" w:hAnsi="Times New Roman" w:cs="Times New Roman"/>
          <w:sz w:val="24"/>
          <w:szCs w:val="24"/>
        </w:rPr>
        <w:t>Anchor-based methods apply a subjective clinical question (e.g. “</w:t>
      </w:r>
      <w:r>
        <w:rPr>
          <w:rFonts w:ascii="Times New Roman" w:hAnsi="Times New Roman" w:cs="Times New Roman"/>
          <w:sz w:val="24"/>
          <w:szCs w:val="24"/>
        </w:rPr>
        <w:t>Would</w:t>
      </w:r>
      <w:r w:rsidRPr="008D602A">
        <w:rPr>
          <w:rFonts w:ascii="Times New Roman" w:hAnsi="Times New Roman" w:cs="Times New Roman"/>
          <w:sz w:val="24"/>
          <w:szCs w:val="24"/>
        </w:rPr>
        <w:t xml:space="preserve"> you go through this surgery again?”) or global assessment rating scale to the change in PROM scores to determine their significance. For example, a PROM score numerical change corresponding to “a great deal better” on the anchor scale, typically a variation of an X-point Likert scale, would constitute the MCID. Anchor-based values were obtained using simple linear regression analysi</w:t>
      </w:r>
      <w:r w:rsidRPr="003F4D3C">
        <w:rPr>
          <w:rFonts w:ascii="Times New Roman" w:hAnsi="Times New Roman" w:cs="Times New Roman"/>
          <w:sz w:val="24"/>
          <w:szCs w:val="24"/>
        </w:rPr>
        <w:t xml:space="preserve">s </w:t>
      </w:r>
      <w:r w:rsidRPr="003F4D3C">
        <w:rPr>
          <w:rFonts w:ascii="Times New Roman" w:hAnsi="Times New Roman" w:cs="Times New Roman"/>
          <w:sz w:val="24"/>
          <w:szCs w:val="24"/>
        </w:rPr>
        <w:fldChar w:fldCharType="begin" w:fldLock="1"/>
      </w:r>
      <w:r w:rsidR="000B2AAA" w:rsidRPr="003F4D3C">
        <w:rPr>
          <w:rFonts w:ascii="Times New Roman" w:hAnsi="Times New Roman" w:cs="Times New Roman"/>
          <w:sz w:val="24"/>
          <w:szCs w:val="24"/>
        </w:rPr>
        <w:instrText>ADDIN CSL_CITATION {"citationItems":[{"id":"ITEM-1","itemData":{"DOI":"10.1007/S00167-013-2776-5","ISSN":"1433-7347","abstract":"The aim of this study was to identify the minimal clinically important difference (MCID) in the Oxford knee score (OKS) and Short Form (SF-) 12 score after total knee arthroplasty (TKA). Prospective pre-operative and 1 year post-operative OKS and SF-12 scores for 505 patients undergoing a primary TKA for osteoarthritis were collected during a one-year period. Patient satisfaction with their (1) patient relief and (2) functional outcome was used as the anchor questions. Their response to each question was recorded using a 5-point Likert scale: excellent, very well, well, fair, and poor. Simple linear regression was used to calculate the MCID for improvement in the OKS and physical component of the SF-12 score according to the level of patient satisfaction with their pain relief and function. The OKS improved by 15.5 (95 % CI 14.7–16.4) points and the SF-12 physical component score improved by 10.1 (95 % CI 9.1–11.2) points for the study cohort. The level of patient satisfaction with their pain relief and function correlated with the improvement in the OKS (r = 0.56; p &lt; 0.001, and r = 0.56; p &lt; 0.001) and the physical component of the SF-12 score (r = 0.51; p &lt; 0.001, and r = 0.60; p &lt; 0.001), respectively. The MCID for the OKS was 5.0 (95 % CI 4.4–5.5) and 4.3 (95 % CI 3.8–4.8) points and for the physical component of the SF-12, it was 4.5 (95 % CI 3.9–5.2) and 4.8 (95 % CI 4.2–5.4) points for pain relief and function, respectively. The MCID identified for the OKS and SF-12 physical component score after TKA is the best available estimate and can be used to power studies and ensure that a statistical difference is also recognised by a patient. Retrospective diagnostic study, Level III.","author":[{"dropping-particle":"","family":"Clement","given":"N. D.","non-dropping-particle":"","parse-names":false,"suffix":""},{"dropping-particle":"","family":"MacDonald","given":"D.","non-dropping-particle":"","parse-names":false,"suffix":""},{"dropping-particle":"","family":"Simpson","given":"A. H. R. W.","non-dropping-particle":"","parse-names":false,"suffix":""}],"container-title":"Knee Surgery, Sports Traumatology, Arthroscopy 2013 22:8","id":"ITEM-1","issue":"8","issued":{"date-parts":[["2013","11","20"]]},"page":"1933-1939","publisher":"Springer","title":"The minimal clinically important difference in the Oxford knee score and Short Form 12 score after total knee arthroplasty","type":"article-journal","volume":"22"},"uris":["http://www.mendeley.com/documents/?uuid=9c60c4fb-d7f3-3a1c-8b90-dd0d8e3b7dc4"]}],"mendeley":{"formattedCitation":"[23]","manualFormatting":"[14]","plainTextFormattedCitation":"[23]","previouslyFormattedCitation":"[15]"},"properties":{"noteIndex":0},"schema":"https://github.com/citation-style-language/schema/raw/master/csl-citation.json"}</w:instrText>
      </w:r>
      <w:r w:rsidRPr="003F4D3C">
        <w:rPr>
          <w:rFonts w:ascii="Times New Roman" w:hAnsi="Times New Roman" w:cs="Times New Roman"/>
          <w:sz w:val="24"/>
          <w:szCs w:val="24"/>
        </w:rPr>
        <w:fldChar w:fldCharType="separate"/>
      </w:r>
      <w:r w:rsidR="000B2AAA" w:rsidRPr="003F4D3C">
        <w:rPr>
          <w:rFonts w:ascii="Times New Roman" w:hAnsi="Times New Roman" w:cs="Times New Roman"/>
          <w:noProof/>
          <w:sz w:val="24"/>
          <w:szCs w:val="24"/>
        </w:rPr>
        <w:t>[14</w:t>
      </w:r>
      <w:r w:rsidRPr="003F4D3C">
        <w:rPr>
          <w:rFonts w:ascii="Times New Roman" w:hAnsi="Times New Roman" w:cs="Times New Roman"/>
          <w:noProof/>
          <w:sz w:val="24"/>
          <w:szCs w:val="24"/>
        </w:rPr>
        <w:t>]</w:t>
      </w:r>
      <w:r w:rsidRPr="003F4D3C">
        <w:rPr>
          <w:rFonts w:ascii="Times New Roman" w:hAnsi="Times New Roman" w:cs="Times New Roman"/>
          <w:sz w:val="24"/>
          <w:szCs w:val="24"/>
        </w:rPr>
        <w:fldChar w:fldCharType="end"/>
      </w:r>
      <w:r w:rsidRPr="003F4D3C">
        <w:rPr>
          <w:rFonts w:ascii="Times New Roman" w:hAnsi="Times New Roman" w:cs="Times New Roman"/>
          <w:sz w:val="24"/>
          <w:szCs w:val="24"/>
        </w:rPr>
        <w:t xml:space="preserve"> and</w:t>
      </w:r>
      <w:r w:rsidRPr="008D602A">
        <w:rPr>
          <w:rFonts w:ascii="Times New Roman" w:hAnsi="Times New Roman" w:cs="Times New Roman"/>
          <w:sz w:val="24"/>
          <w:szCs w:val="24"/>
        </w:rPr>
        <w:t>/or receiver operating characteristic curves (ROC) at maximum sensitivity and specifici</w:t>
      </w:r>
      <w:r w:rsidRPr="003F4D3C">
        <w:rPr>
          <w:rFonts w:ascii="Times New Roman" w:hAnsi="Times New Roman" w:cs="Times New Roman"/>
          <w:sz w:val="24"/>
          <w:szCs w:val="24"/>
        </w:rPr>
        <w:t xml:space="preserve">ty </w:t>
      </w:r>
      <w:r w:rsidRPr="003F4D3C">
        <w:rPr>
          <w:rFonts w:ascii="Times New Roman" w:hAnsi="Times New Roman" w:cs="Times New Roman"/>
          <w:sz w:val="24"/>
          <w:szCs w:val="24"/>
        </w:rPr>
        <w:fldChar w:fldCharType="begin" w:fldLock="1"/>
      </w:r>
      <w:r w:rsidR="000B2AAA" w:rsidRPr="003F4D3C">
        <w:rPr>
          <w:rFonts w:ascii="Times New Roman" w:hAnsi="Times New Roman" w:cs="Times New Roman"/>
          <w:sz w:val="24"/>
          <w:szCs w:val="24"/>
        </w:rPr>
        <w:instrText>ADDIN CSL_CITATION {"citationItems":[{"id":"ITEM-1","itemData":{"DOI":"10.1016/J.JCLINEPI.2007.10.014","ISSN":"0895-4356","abstract":"Objective: The objective was to determine the clinically important difference (CID) from primary total hip replacement (THR) and total knee replacement (TKR) surgeries using the Western Ontario McMaster University (WOMAC) osteoarthritis index. Study Design and Setting: WOMAC scores were collected at decision for and 1 year after surgery (n = 2,709). Transition ratings (15-point scale) were obtained at 1 year for pain and function, as well as a global assessment of willingness to go through surgery again. A \"good deal better\" defined the positive CID. WOMAC change scores for transition ratings and willingness to go through surgery again were evaluated using receiver operating characteristic curves. Patient characteristics within transition rating categories were examined. Results: For THR, the positive CIDs were 41 of 100 for pain and 34 of 100 for function. The negative CIDs were 35 and 33, respectively. For TKR, the positive CIDs were 36 for pain and 33 for function. The negative CIDs were 30 and 25, respectively. Change scores for willingness to go through surgery again validated CID values. Postoperative complications decreased the likelihood of a positive CID. Conclusion: Improvement that is \"a good deal better\" is an appropriate threshold for the THR/TKR positive CID. Attaining a positive CID is negatively related to postoperative complications. © 2008 Elsevier Inc. All rights reserved.","author":[{"dropping-particle":"","family":"Chesworth","given":"Bert M.","non-dropping-particle":"","parse-names":false,"suffix":""},{"dropping-particle":"","family":"Mahomed","given":"Nizar N.","non-dropping-particle":"","parse-names":false,"suffix":""},{"dropping-particle":"","family":"Bourne","given":"Robert B.","non-dropping-particle":"","parse-names":false,"suffix":""},{"dropping-particle":"","family":"Davis","given":"Aileen M.","non-dropping-particle":"","parse-names":false,"suffix":""}],"container-title":"Journal of Clinical Epidemiology","id":"ITEM-1","issue":"9","issued":{"date-parts":[["2008","9","1"]]},"page":"907-918","publisher":"Pergamon","title":"Willingness to go through surgery again validated the WOMAC clinically important difference from THR/TKR surgery","type":"article-journal","volume":"61"},"uris":["http://www.mendeley.com/documents/?uuid=14b5c625-df93-3062-baa5-471e97b68d16"]},{"id":"ITEM-2","itemData":{"DOI":"10.1097/CORR.0000000000000444","PMID":"30179956","abstract":"Background The WOMAC score is a validated outcome measure for use in patients undergoing TKA. Defining meaningful changes in the WOMAC score is important for sample-size calculations in clinical research and for interpreting published studies. However, inconsistencies among published studies regarding key definitions for changes in the WOMAC score after TKA potentially could result in incorrectly powered studies and the misinterpretation of clinical research results. Questions/purposes (1) To identify the minimum clinically important difference (MCID) for the total WOMAC score and its components 1 year after TKA using an anchorbased methodology. (2) To define the minimum important change (MIC) and the minimum detectable change with 95% confidence (MDC95) for the total WOMAC score and its components 1 year after TKA. Methods Between 2003 and 2013, 3641 patients underwent primary TKA at one center. Of those, 460 patients (13%) were excluded from this retrospective study for prespecified reasons (mainly secondary OA and bilateral surgery), and 592 patients (16%) were either lost to followup or could not be included because of incomplete questionnaires. WOMAC scores were recorded preoperatively and at 1 year postoperatively. Patient demographics and preoperative Short Form-12 and WOMAC scores were no different for the 16% of patients who were lost to followup or failed to complete 1-year questionnaires and the study cohort (n = 2589). At 1 year, patients were asked \"How much did the knee replacement surgery improve the quality of your life?\" Their responses were recorded as: A great improvement, moderate improvement, little improvement, no improvement at all, or the quality of my life is worse. TheMCID was defined as the difference in the mean change in theWOMAC score between patients with no improvement comparedwith those with little improvement according to the anchor question. The MIC was defined as the change in the WOMAC score relative to the baseline score for patients who reported a little improvement in their quality of life. The MDCis the smallest change for an individual who is likely to be beyond the measurement error of the scoring tool and represents true change rather than variability in the scoring measure; we report it with 95% confidence bounds defining real change rather than variability in the scoring measure (MDC95). We calculated this with distribution-based methods for the whole cohort. Patients recording a little improvement (n = 211)…","author":[{"dropping-particle":"","family":"Clement","given":"Nicholas D.","non-dropping-particle":"","parse-names":false,"suffix":""},{"dropping-particle":"","family":"Bardgett","given":"Michelle","non-dropping-particle":"","parse-names":false,"suffix":""},{"dropping-particle":"","family":"Weir","given":"David","non-dropping-particle":"","parse-names":false,"suffix":""},{"dropping-particle":"","family":"Holland","given":"James","non-dropping-particle":"","parse-names":false,"suffix":""},{"dropping-particle":"","family":"Gerrand","given":"Craig","non-dropping-particle":"","parse-names":false,"suffix":""},{"dropping-particle":"","family":"Deehan","given":"David J.","non-dropping-particle":"","parse-names":false,"suffix":""}],"container-title":"Clinical Orthopaedics and Related Research","id":"ITEM-2","issue":"10","issued":{"date-parts":[["2018"]]},"page":"2005","publisher":"Association of Bone and Joint Surgeons","title":"What is the Minimum Clinically Important Difference for the WOMAC Index After TKA?","type":"article-journal","volume":"476"},"uris":["http://www.mendeley.com/documents/?uuid=9c119fc2-ac29-30cf-8e13-f404ab8e502f"]},{"id":"ITEM-3","itemData":{"DOI":"10.2106/JBJS.18.00233","abstract":"Background:To facilitate the interpretation of numerical patient-reported outcome measure (PROM) scales, concepts such as the patient acceptable symptom state (PASS) have been introduced. Currently, no PASS thresholds have been established for the Knee injury and Osteoarthritis Outcome Score (KOOS) after total knee arthroplasty. The aims of the current study were to define PASS thresholds for the KOOS subscales and several other generic and knee-specific PROMs at 1 and 3 years after total knee arthroplasty using data from an international, multicenter clinical outcome study of a modern, well-performing implant system.Methods:The study cohort consisted of 499 patients undergoing total knee arthroplasty from an international, multicenter study. At 1 and 3 years after a total knee arthroplasty, patients completed the KOOS, EuroQoL 5-dimension 3-level (EQ-5D-3L), EuroQol visual analog scale (EQ-VAS), and numerical rating scales (NRS) for knee-related pain and satisfaction. PASS thresholds were calculated at each follow-up interval using 3 anchor-based approaches, using patient-reported satisfaction as the anchor.Results:According to our satisfaction anchor, 302 (78.9%) of 383 responding patients were satisfied at 1 year, and 242 (80.4%) of 301 responding patients were satisfied at 3 years. PASS thresholds were 84.5 points at 1 year and 87.5 points at 3 years for KOOS pain, 80.5 points at 1 year and 84.0 points at 3 years for KOOS symptoms, 83.0 points at 1 year and 87.5 points at 3 years for KOOS activities of daily living, 66.0 points at 1 year and 66.0 points at 3 years for KOOS quality of life, 83.0 points at 1 year and 90.5 points at 3 years for EQ-VAS, 0.80 point at 1 year and 0.80 point at 3 years for EQ-5D, and 1.8 points at 1 year and 1.8 points at 3 years for NRS pain.Conclusions:The current study is the first, to our knowledge, to propose PASS thresholds for the KOOS subscales at 1 and 3 years after total knee arthroplasty and contributes to PASS literature on other common PROMs. These findings will provide a useful reference for future total knee arthroplasty outcome studies and will help to determine what patients consider to be satisfactory operations.Level of Evidence:Therapeutic Level IV. See Instructions for Authors for a complete description of levels of evidence.","author":[{"dropping-particle":"","family":"Connelly","given":"James W.","non-dropping-particle":"","parse-names":false,"suffix":""},{"dropping-particle":"","family":"Galea","given":"Vincent P.","non-dropping-particle":"","parse-names":false,"suffix":""},{"dropping-particle":"","family":"Rojanasopondist","given":"Pakdee","non-dropping-particle":"","parse-names":false,"suffix":""},{"dropping-particle":"","family":"Matuszak","given":"Sean J.","non-dropping-particle":"","parse-names":false,"suffix":""},{"dropping-particle":"","family":"Ingelsrud","given":"Lina H.","non-dropping-particle":"","parse-names":false,"suffix":""},{"dropping-particle":"","family":"Nielsen","given":"Christian S.","non-dropping-particle":"","parse-names":false,"suffix":""},{"dropping-particle":"","family":"Bragdon","given":"Charles R.","non-dropping-particle":"","parse-names":false,"suffix":""},{"dropping-particle":"","family":"Huddleston","given":"James I.","non-dropping-particle":"","parse-names":false,"suffix":""},{"dropping-particle":"","family":"Malchau","given":"Henrik","non-dropping-particle":"","parse-names":false,"suffix":""},{"dropping-particle":"","family":"Troelsen","given":"Anders","non-dropping-particle":"","parse-names":false,"suffix":""}],"container-title":"Journal of Bone and Joint Surgery - American Volume","id":"ITEM-3","issue":"11","issued":{"date-parts":[["2019","6","5"]]},"page":"995-1003","publisher":"Lippincott Williams and Wilkins","title":"Patient Acceptable Symptom State at 1 and 3 Years after Total Knee Arthroplasty: Thresholds for the Knee Injury and Osteoarthritis Outcome Score (KOOS)","type":"article-journal","volume":"101"},"uris":["http://www.mendeley.com/documents/?uuid=9accb6b8-eb3f-3c82-a662-b024db980441"]},{"id":"ITEM-4","itemData":{"DOI":"10.1001/JAMASURG.2020.0024","PMID":"32211842","abstract":"IMPORTANCE The minimal clinically important difference (MCID) in a patient-reported outcome measure (PROM) is the smallest change that patients perceive as beneficial. Accurate MCIDs are required when PROMs are used to evaluate the value of surgical interventions. OBJECTIVE To use well-defined distribution-based and anchor-based methods to calculate MCIDs in the Hip Disability and Osteoarthritis Outcome Score (HOOS) and in the Knee Injury and Osteoarthritis Outcome Score (KOOS) for veterans undergoing primary total hip arthroplasty or total knee arthroplasty. DESIGN, SETTING, AND PARTICIPANTS A prospective cohort studywas conducted of 858 patients undergoing total joint replacement between March 16, 2015, and March 9, 2017, at 3 high-complexity Veterans Affairs Medical Centers. INTERVENTIONS Patients undergoing total hip arthroplasty or total knee arthroplasty were administered HOOS or KOOS PROMs prior to and 1 year after surgery. The Self-Administered Patient Satisfaction Scale (SAPS) for primary hip or knee arthroplasty was administered at 1-year follow-up as an anchor PROM. MAIN OUTCOMES AND MEASURES The HOOS and KOOS before and 1 year after surgery, change scores (difference between postoperative and preoperative PROM scores), and MCIDs for each measure. For anchor-based methods, receiver operating characteristic curve analysis was performed, including calculation of the area under the curve. RESULTS The mean (SD) age of the 271 patients who underwent hip arthroplasty was 65.6 (8.3) years, and the mean (SD) age of the 587 patients who underwent knee arthroplasty was 66.1 (8.2) years. There were 547 men in the knee arthroplasty cohort and 256 men in the hip arthroplasty cohort (total, 803 men). There were significant improvements in the mean values of every PROM, with mean (SD) differences greater than 39 for HOOS Joint Replacement (JR) and every hip subscale (HOOS JR, 39.7 [20.2]; pain, 47.6 [20.5]; symptoms, 45.1 [21.5]; activities of daily living, 43.7 [22.1]; recreation, 49.2 [33.5]; quality of life, 50.3 [27.8]) and mean (SD) differences greater than 29 for KOOS JR and every knee subscale (KOOS JR, 30.4 [17.5]; pain, 38.0 [20.4]; symptoms, 29.5 [22.1]; activities of daily living, 34.8 [20.5]; recreation, 34.6 [31.1]; quality of life, 35.2 [26.8]). Different calculation methods yielded a wide range of MCIDs. Distribution-based approaches tended to give lower values than the anchor-based approaches, which gave similar values for most PROMs. Area u…","author":[{"dropping-particle":"","family":"Kuo","given":"Alfred C.","non-dropping-particle":"","parse-names":false,"suffix":""},{"dropping-particle":"","family":"Giori","given":"Nicholas J.","non-dropping-particle":"","parse-names":false,"suffix":""},{"dropping-particle":"","family":"Bowe","given":"Thomas R.","non-dropping-particle":"","parse-names":false,"suffix":""},{"dropping-particle":"","family":"Manfredi","given":"Luisa","non-dropping-particle":"","parse-names":false,"suffix":""},{"dropping-particle":"","family":"Lalani","given":"Narlina F.","non-dropping-particle":"","parse-names":false,"suffix":""},{"dropping-particle":"","family":"Nordin","given":"David A.","non-dropping-particle":"","parse-names":false,"suffix":""},{"dropping-particle":"","family":"Harris","given":"Alex H. S.","non-dropping-particle":"","parse-names":false,"suffix":""}],"container-title":"JAMA Surgery","id":"ITEM-4","issue":"5","issued":{"date-parts":[["2020","5","1"]]},"page":"404-411","publisher":"American Medical Association","title":"Comparing Methods to Determine the Minimal Clinically Important Differences in Patient-Reported Outcome Measures for Veterans Undergoing Elective Total Hip or Knee Arthroplasty in Veterans Health Administration Hospitals","type":"article-journal","volume":"155"},"uris":["http://www.mendeley.com/documents/?uuid=ec56a785-8b3d-33f1-990f-f5232fe8203f"]},{"id":"ITEM-5","itemData":{"DOI":"10.1097/CORR.0000000000000456","PMID":"30179951","abstract":"Background Patient-reported outcome measures (PROMs) are a gold standard for measuring therapeutic outcomes in research. Extending their use to informclinical care decisions, determine the appropriateness of therapeutic choices, and assess healthcare quality is attractive but will require our professional community to establish valid estimates of minimal and substantial clinical improvements. Questions/purposes The purposes of this study were (1) to assess the validity of estimates for the minimal clinically important difference (MCID) calculated using distribution and anchor-based methods by determining whether they exceed the minimal detectable change (MDC) for the Hip Disability and Osteoarthritis Outcome Score (HOOS) and the Knee Injury and Osteoarthritis Outcome Score (KOOS) domains, the HOOS, joint replacement (JR) and the KOOS, JR among patients who underwent THA or TKA; (2) to determine substantial clinical benefit thresholds for the HOOS and KOOS domains, the HOOS, JR, and the KOOS, JR among patients who underwent THA or TKA; and (3) to assess the proportions of patients who underwent THA or TKA who achieved an MCID for the HOOS and KOOS domains, HOOS, JR, and KOOS, JR based on distribution-based and anchor-based methods as well as the percentages of patients who achieved substantial clinical benefit using the anchor-based method. Methods Medicare patients enrolled in our institutional joint replacement registry who subsequently underwent THA (n = 2323) or TKA (n = 2630) between 2007 and 2012 completed HOOS or KOOS preoperatively and 2 years postoperatively. Short-form joint replacement (JR) versions of each PROM were derived from the full PROMs. Of all eligible patients, 78% (3161 of 4080) of THAs and 74% of TKAs (3815 of 5156) consented to join the registry and completed a baseline survey, 88% (2796 of 3161) of THAs and 85% (3230 of 3815) of TKAs were eligible for followup survey administration, and 83% of THAs (2323 of 2796) and 81% (2630 of 3230) of TKAs returned 2-year surveys. For each HOOS domain, KOOS domain, HOOS, JR, and KOOS, JR, we calculated the calibration variation of the instrument (MDC) with confidence intervals (CIs) reflecting 80% (MDC80), 90% (MDC90), and 95% (MDC95) certainty; we calculated the smallest difference joint health patients might detect (MCID) using distribution- and anchor-based approaches and the difference that can be considered a large improvement in joint health (substantial clinical benefit) using an ancho…","author":[{"dropping-particle":"","family":"Lyman","given":"Stephen","non-dropping-particle":"","parse-names":false,"suffix":""},{"dropping-particle":"","family":"Lee","given":"Yuo-Yu","non-dropping-particle":"","parse-names":false,"suffix":""},{"dropping-particle":"","family":"McLawhorn","given":"Alexander S.","non-dropping-particle":"","parse-names":false,"suffix":""},{"dropping-particle":"","family":"Islam","given":"Wasif","non-dropping-particle":"","parse-names":false,"suffix":""},{"dropping-particle":"","family":"MacLean","given":"Catherine H.","non-dropping-particle":"","parse-names":false,"suffix":""}],"container-title":"Clinical Orthopaedics and Related Research","id":"ITEM-5","issue":"12","issued":{"date-parts":[["2018"]]},"page":"2432","publisher":"Association of Bone and Joint Surgeons","title":"What Are the Minimal and Substantial Improvements in the HOOS and KOOS and JR Versions After Total Joint Replacement?","type":"article-journal","volume":"476"},"uris":["http://www.mendeley.com/documents/?uuid=5dd6e169-5448-3a2a-a986-24b89e70f251"]}],"mendeley":{"formattedCitation":"[5,24–27]","manualFormatting":"[5,15,17, 22,24]","plainTextFormattedCitation":"[5,24–27]","previouslyFormattedCitation":"[8–10,12,13]"},"properties":{"noteIndex":0},"schema":"https://github.com/citation-style-language/schema/raw/master/csl-citation.json"}</w:instrText>
      </w:r>
      <w:r w:rsidRPr="003F4D3C">
        <w:rPr>
          <w:rFonts w:ascii="Times New Roman" w:hAnsi="Times New Roman" w:cs="Times New Roman"/>
          <w:sz w:val="24"/>
          <w:szCs w:val="24"/>
        </w:rPr>
        <w:fldChar w:fldCharType="separate"/>
      </w:r>
      <w:r w:rsidR="000B2AAA" w:rsidRPr="003F4D3C">
        <w:rPr>
          <w:rFonts w:ascii="Times New Roman" w:hAnsi="Times New Roman" w:cs="Times New Roman"/>
          <w:noProof/>
          <w:sz w:val="24"/>
          <w:szCs w:val="24"/>
        </w:rPr>
        <w:t>[5,15,17, 22,24</w:t>
      </w:r>
      <w:r w:rsidRPr="003F4D3C">
        <w:rPr>
          <w:rFonts w:ascii="Times New Roman" w:hAnsi="Times New Roman" w:cs="Times New Roman"/>
          <w:noProof/>
          <w:sz w:val="24"/>
          <w:szCs w:val="24"/>
        </w:rPr>
        <w:t>]</w:t>
      </w:r>
      <w:r w:rsidRPr="003F4D3C">
        <w:rPr>
          <w:rFonts w:ascii="Times New Roman" w:hAnsi="Times New Roman" w:cs="Times New Roman"/>
          <w:sz w:val="24"/>
          <w:szCs w:val="24"/>
        </w:rPr>
        <w:fldChar w:fldCharType="end"/>
      </w:r>
      <w:r w:rsidRPr="003F4D3C">
        <w:rPr>
          <w:rFonts w:ascii="Times New Roman" w:hAnsi="Times New Roman" w:cs="Times New Roman"/>
          <w:sz w:val="24"/>
          <w:szCs w:val="24"/>
        </w:rPr>
        <w:t>.</w:t>
      </w:r>
    </w:p>
    <w:p w:rsidR="005C46D0" w:rsidRPr="008D602A" w:rsidRDefault="005C46D0" w:rsidP="005C46D0">
      <w:pPr>
        <w:rPr>
          <w:rFonts w:ascii="Times New Roman" w:hAnsi="Times New Roman" w:cs="Times New Roman"/>
          <w:sz w:val="24"/>
          <w:szCs w:val="24"/>
        </w:rPr>
      </w:pPr>
    </w:p>
    <w:p w:rsidR="005C46D0" w:rsidRDefault="005C46D0" w:rsidP="005C46D0">
      <w:pPr>
        <w:rPr>
          <w:rFonts w:ascii="Times New Roman" w:hAnsi="Times New Roman" w:cs="Times New Roman"/>
          <w:sz w:val="24"/>
          <w:szCs w:val="24"/>
        </w:rPr>
      </w:pPr>
      <w:r w:rsidRPr="008D602A">
        <w:rPr>
          <w:rFonts w:ascii="Times New Roman" w:hAnsi="Times New Roman" w:cs="Times New Roman"/>
          <w:sz w:val="24"/>
          <w:szCs w:val="24"/>
        </w:rPr>
        <w:t>ROC curves identify PROM change scores that generally distinguish between those who are “better” from unchanged (or those willing versus unwilling to undergo surgery again) using anchor responses. The degree of sensitivity indicates the extent to which patients</w:t>
      </w:r>
      <w:r>
        <w:rPr>
          <w:rFonts w:ascii="Times New Roman" w:hAnsi="Times New Roman" w:cs="Times New Roman"/>
          <w:sz w:val="24"/>
          <w:szCs w:val="24"/>
        </w:rPr>
        <w:t xml:space="preserve"> that have reported improvement </w:t>
      </w:r>
      <w:r w:rsidRPr="008D602A">
        <w:rPr>
          <w:rFonts w:ascii="Times New Roman" w:hAnsi="Times New Roman" w:cs="Times New Roman"/>
          <w:sz w:val="24"/>
          <w:szCs w:val="24"/>
        </w:rPr>
        <w:t>actually have PROM change scores that meet or are above the MCID. The degree of specificity indicates the extent to which patients who have reported no improvement have PROM change scores that are below the MCID. The area under the curve (AUC) indicates the probability that these change scores correctly distinguish between these groups, with an AUC above 0.70 considered acceptab</w:t>
      </w:r>
      <w:r w:rsidRPr="003F4D3C">
        <w:rPr>
          <w:rFonts w:ascii="Times New Roman" w:hAnsi="Times New Roman" w:cs="Times New Roman"/>
          <w:sz w:val="24"/>
          <w:szCs w:val="24"/>
        </w:rPr>
        <w:t xml:space="preserve">le </w:t>
      </w:r>
      <w:r w:rsidRPr="003F4D3C">
        <w:rPr>
          <w:rFonts w:ascii="Times New Roman" w:hAnsi="Times New Roman" w:cs="Times New Roman"/>
          <w:sz w:val="24"/>
          <w:szCs w:val="24"/>
        </w:rPr>
        <w:fldChar w:fldCharType="begin" w:fldLock="1"/>
      </w:r>
      <w:r w:rsidR="000C21D3" w:rsidRPr="003F4D3C">
        <w:rPr>
          <w:rFonts w:ascii="Times New Roman" w:hAnsi="Times New Roman" w:cs="Times New Roman"/>
          <w:sz w:val="24"/>
          <w:szCs w:val="24"/>
        </w:rPr>
        <w:instrText>ADDIN CSL_CITATION {"citationItems":[{"id":"ITEM-1","itemData":{"DOI":"10.1016/J.SPINEE.2007.01.008","ISSN":"1529-9430","abstract":"Background context: The effectiveness of spinal surgery as a treatment option is currently evaluated through the assessment of patient-reported outcomes (PROs). The minimum clinically important difference (MCID) represents the smallest improvement considered worthwhile by a patient. The concept of an MCID is offered as the new standard for determining effectiveness of a given treatment and describing patient satisfaction in reference to that treatment. Purpose: Our goal is to review the various definitions of MCID and the methods available to determine MCID. Study design: The primary means of determining the MCID for a specific treatment are divided into anchor-based and distribution-based methods. Each method is further subdivided and examined in detail. Methods: The overall limitations of the MCID concept are first identified. The basic assumptions, statistical biases, and shortcomings of each method are examined in detail. Results: Each method of determining the MCID has specific shortcomings. Three general limitations in the accurate determination of an MCID have been identified: the multiplicity of MCID determinations, the loss of the patient's perspective, and the relationship between pretreatment baseline and posttreatment change scores. Conclusions: An ideal means of determining the MCID for a given intervention is yet to be determined. It is possible to develop a useful method provided that the assumptions and methodology are initially declared. Our efforts toward the establishment of a MCID will rely on the establishment of specific external criteria based on the symptoms of the patient and treatment intervention being evaluated. © 2007 Elsevier Inc. All rights reserved.","author":[{"dropping-particle":"","family":"Copay","given":"Anne G.","non-dropping-particle":"","parse-names":false,"suffix":""},{"dropping-particle":"","family":"Subach","given":"Brian R.","non-dropping-particle":"","parse-names":false,"suffix":""},{"dropping-particle":"","family":"Glassman","given":"Steven D.","non-dropping-particle":"","parse-names":false,"suffix":""},{"dropping-particle":"","family":"Polly","given":"David W.","non-dropping-particle":"","parse-names":false,"suffix":""},{"dropping-particle":"","family":"Schuler","given":"Thomas C.","non-dropping-particle":"","parse-names":false,"suffix":""}],"container-title":"The Spine Journal","id":"ITEM-1","issue":"5","issued":{"date-parts":[["2007","9","1"]]},"page":"541-546","publisher":"Elsevier","title":"Understanding the minimum clinically important difference: a review of concepts and methods","type":"article-journal","volume":"7"},"uris":["http://www.mendeley.com/documents/?uuid=28e27270-c2b1-35b6-b08b-1bf458771664"]}],"mendeley":{"formattedCitation":"[43]","manualFormatting":"[Copay]","plainTextFormattedCitation":"[43]","previouslyFormattedCitation":"[28]"},"properties":{"noteIndex":0},"schema":"https://github.com/citation-style-language/schema/raw/master/csl-citation.json"}</w:instrText>
      </w:r>
      <w:r w:rsidRPr="003F4D3C">
        <w:rPr>
          <w:rFonts w:ascii="Times New Roman" w:hAnsi="Times New Roman" w:cs="Times New Roman"/>
          <w:sz w:val="24"/>
          <w:szCs w:val="24"/>
        </w:rPr>
        <w:fldChar w:fldCharType="separate"/>
      </w:r>
      <w:r w:rsidR="000C21D3" w:rsidRPr="003F4D3C">
        <w:rPr>
          <w:rFonts w:ascii="Times New Roman" w:hAnsi="Times New Roman" w:cs="Times New Roman"/>
          <w:noProof/>
          <w:sz w:val="24"/>
          <w:szCs w:val="24"/>
        </w:rPr>
        <w:t>[Copay</w:t>
      </w:r>
      <w:r w:rsidRPr="003F4D3C">
        <w:rPr>
          <w:rFonts w:ascii="Times New Roman" w:hAnsi="Times New Roman" w:cs="Times New Roman"/>
          <w:noProof/>
          <w:sz w:val="24"/>
          <w:szCs w:val="24"/>
        </w:rPr>
        <w:t>]</w:t>
      </w:r>
      <w:r w:rsidRPr="003F4D3C">
        <w:rPr>
          <w:rFonts w:ascii="Times New Roman" w:hAnsi="Times New Roman" w:cs="Times New Roman"/>
          <w:sz w:val="24"/>
          <w:szCs w:val="24"/>
        </w:rPr>
        <w:fldChar w:fldCharType="end"/>
      </w:r>
      <w:r w:rsidRPr="003F4D3C">
        <w:rPr>
          <w:rFonts w:ascii="Times New Roman" w:hAnsi="Times New Roman" w:cs="Times New Roman"/>
          <w:sz w:val="24"/>
          <w:szCs w:val="24"/>
        </w:rPr>
        <w:t>.</w:t>
      </w:r>
    </w:p>
    <w:p w:rsidR="005C46D0" w:rsidRPr="008D602A" w:rsidRDefault="005C46D0" w:rsidP="005C46D0">
      <w:pPr>
        <w:rPr>
          <w:rFonts w:ascii="Times New Roman" w:hAnsi="Times New Roman" w:cs="Times New Roman"/>
          <w:sz w:val="24"/>
          <w:szCs w:val="24"/>
        </w:rPr>
      </w:pPr>
    </w:p>
    <w:p w:rsidR="005C46D0" w:rsidRPr="008D602A" w:rsidRDefault="005C46D0" w:rsidP="005C46D0">
      <w:pPr>
        <w:rPr>
          <w:rFonts w:ascii="Times New Roman" w:hAnsi="Times New Roman" w:cs="Times New Roman"/>
          <w:sz w:val="24"/>
          <w:szCs w:val="24"/>
        </w:rPr>
      </w:pPr>
      <w:r>
        <w:rPr>
          <w:rFonts w:ascii="Times New Roman" w:hAnsi="Times New Roman" w:cs="Times New Roman"/>
          <w:sz w:val="24"/>
          <w:szCs w:val="24"/>
        </w:rPr>
        <w:t>For</w:t>
      </w:r>
      <w:r w:rsidRPr="008D602A">
        <w:rPr>
          <w:rFonts w:ascii="Times New Roman" w:hAnsi="Times New Roman" w:cs="Times New Roman"/>
          <w:sz w:val="24"/>
          <w:szCs w:val="24"/>
        </w:rPr>
        <w:t xml:space="preserve"> PASS</w:t>
      </w:r>
      <w:r>
        <w:rPr>
          <w:rFonts w:ascii="Times New Roman" w:hAnsi="Times New Roman" w:cs="Times New Roman"/>
          <w:sz w:val="24"/>
          <w:szCs w:val="24"/>
        </w:rPr>
        <w:t xml:space="preserve"> specifically, </w:t>
      </w:r>
      <w:r w:rsidRPr="008D602A">
        <w:rPr>
          <w:rFonts w:ascii="Times New Roman" w:hAnsi="Times New Roman" w:cs="Times New Roman"/>
          <w:sz w:val="24"/>
          <w:szCs w:val="24"/>
        </w:rPr>
        <w:t>a combination of anchor methods</w:t>
      </w:r>
      <w:r>
        <w:rPr>
          <w:rFonts w:ascii="Times New Roman" w:hAnsi="Times New Roman" w:cs="Times New Roman"/>
          <w:sz w:val="24"/>
          <w:szCs w:val="24"/>
        </w:rPr>
        <w:t xml:space="preserve"> was used: 80% specificity using </w:t>
      </w:r>
      <w:r w:rsidRPr="008D602A">
        <w:rPr>
          <w:rFonts w:ascii="Times New Roman" w:hAnsi="Times New Roman" w:cs="Times New Roman"/>
          <w:sz w:val="24"/>
          <w:szCs w:val="24"/>
        </w:rPr>
        <w:t>ROC curve</w:t>
      </w:r>
      <w:r>
        <w:rPr>
          <w:rFonts w:ascii="Times New Roman" w:hAnsi="Times New Roman" w:cs="Times New Roman"/>
          <w:sz w:val="24"/>
          <w:szCs w:val="24"/>
        </w:rPr>
        <w:t>s</w:t>
      </w:r>
      <w:r w:rsidRPr="008D602A">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sidRPr="008D602A">
        <w:rPr>
          <w:rFonts w:ascii="Times New Roman" w:hAnsi="Times New Roman" w:cs="Times New Roman"/>
          <w:sz w:val="24"/>
          <w:szCs w:val="24"/>
        </w:rPr>
        <w:t>Youden</w:t>
      </w:r>
      <w:proofErr w:type="spellEnd"/>
      <w:r w:rsidRPr="008D602A">
        <w:rPr>
          <w:rFonts w:ascii="Times New Roman" w:hAnsi="Times New Roman" w:cs="Times New Roman"/>
          <w:sz w:val="24"/>
          <w:szCs w:val="24"/>
        </w:rPr>
        <w:t xml:space="preserve"> index (maximum sensitivity and specificity), and </w:t>
      </w:r>
      <w:r>
        <w:rPr>
          <w:rFonts w:ascii="Times New Roman" w:hAnsi="Times New Roman" w:cs="Times New Roman"/>
          <w:sz w:val="24"/>
          <w:szCs w:val="24"/>
        </w:rPr>
        <w:t xml:space="preserve">the </w:t>
      </w:r>
      <w:r w:rsidRPr="008D602A">
        <w:rPr>
          <w:rFonts w:ascii="Times New Roman" w:hAnsi="Times New Roman" w:cs="Times New Roman"/>
          <w:sz w:val="24"/>
          <w:szCs w:val="24"/>
        </w:rPr>
        <w:t>75</w:t>
      </w:r>
      <w:r w:rsidRPr="008D602A">
        <w:rPr>
          <w:rFonts w:ascii="Times New Roman" w:hAnsi="Times New Roman" w:cs="Times New Roman"/>
          <w:sz w:val="24"/>
          <w:szCs w:val="24"/>
          <w:vertAlign w:val="superscript"/>
        </w:rPr>
        <w:t>th</w:t>
      </w:r>
      <w:r w:rsidRPr="008D602A">
        <w:rPr>
          <w:rFonts w:ascii="Times New Roman" w:hAnsi="Times New Roman" w:cs="Times New Roman"/>
          <w:sz w:val="24"/>
          <w:szCs w:val="24"/>
        </w:rPr>
        <w:t xml:space="preserve"> percentile. The </w:t>
      </w:r>
      <w:r w:rsidRPr="008D602A">
        <w:rPr>
          <w:rFonts w:ascii="Times New Roman" w:hAnsi="Times New Roman" w:cs="Times New Roman"/>
          <w:sz w:val="24"/>
          <w:szCs w:val="24"/>
        </w:rPr>
        <w:lastRenderedPageBreak/>
        <w:t>latter method refers to 75 percent of patients reporting improvement with change scores greater than the PASS thresh</w:t>
      </w:r>
      <w:r w:rsidRPr="003F4D3C">
        <w:rPr>
          <w:rFonts w:ascii="Times New Roman" w:hAnsi="Times New Roman" w:cs="Times New Roman"/>
          <w:sz w:val="24"/>
          <w:szCs w:val="24"/>
        </w:rPr>
        <w:t xml:space="preserve">old </w:t>
      </w:r>
      <w:r w:rsidRPr="003F4D3C">
        <w:rPr>
          <w:rFonts w:ascii="Times New Roman" w:hAnsi="Times New Roman" w:cs="Times New Roman"/>
          <w:sz w:val="24"/>
          <w:szCs w:val="24"/>
        </w:rPr>
        <w:fldChar w:fldCharType="begin" w:fldLock="1"/>
      </w:r>
      <w:r w:rsidR="000C21D3" w:rsidRPr="003F4D3C">
        <w:rPr>
          <w:rFonts w:ascii="Times New Roman" w:hAnsi="Times New Roman" w:cs="Times New Roman"/>
          <w:sz w:val="24"/>
          <w:szCs w:val="24"/>
        </w:rPr>
        <w:instrText>ADDIN CSL_CITATION {"citationItems":[{"id":"ITEM-1","itemData":{"DOI":"10.2106/JBJS.18.00233","abstract":"Background:To facilitate the interpretation of numerical patient-reported outcome measure (PROM) scales, concepts such as the patient acceptable symptom state (PASS) have been introduced. Currently, no PASS thresholds have been established for the Knee injury and Osteoarthritis Outcome Score (KOOS) after total knee arthroplasty. The aims of the current study were to define PASS thresholds for the KOOS subscales and several other generic and knee-specific PROMs at 1 and 3 years after total knee arthroplasty using data from an international, multicenter clinical outcome study of a modern, well-performing implant system.Methods:The study cohort consisted of 499 patients undergoing total knee arthroplasty from an international, multicenter study. At 1 and 3 years after a total knee arthroplasty, patients completed the KOOS, EuroQoL 5-dimension 3-level (EQ-5D-3L), EuroQol visual analog scale (EQ-VAS), and numerical rating scales (NRS) for knee-related pain and satisfaction. PASS thresholds were calculated at each follow-up interval using 3 anchor-based approaches, using patient-reported satisfaction as the anchor.Results:According to our satisfaction anchor, 302 (78.9%) of 383 responding patients were satisfied at 1 year, and 242 (80.4%) of 301 responding patients were satisfied at 3 years. PASS thresholds were 84.5 points at 1 year and 87.5 points at 3 years for KOOS pain, 80.5 points at 1 year and 84.0 points at 3 years for KOOS symptoms, 83.0 points at 1 year and 87.5 points at 3 years for KOOS activities of daily living, 66.0 points at 1 year and 66.0 points at 3 years for KOOS quality of life, 83.0 points at 1 year and 90.5 points at 3 years for EQ-VAS, 0.80 point at 1 year and 0.80 point at 3 years for EQ-5D, and 1.8 points at 1 year and 1.8 points at 3 years for NRS pain.Conclusions:The current study is the first, to our knowledge, to propose PASS thresholds for the KOOS subscales at 1 and 3 years after total knee arthroplasty and contributes to PASS literature on other common PROMs. These findings will provide a useful reference for future total knee arthroplasty outcome studies and will help to determine what patients consider to be satisfactory operations.Level of Evidence:Therapeutic Level IV. See Instructions for Authors for a complete description of levels of evidence.","author":[{"dropping-particle":"","family":"Connelly","given":"James W.","non-dropping-particle":"","parse-names":false,"suffix":""},{"dropping-particle":"","family":"Galea","given":"Vincent P.","non-dropping-particle":"","parse-names":false,"suffix":""},{"dropping-particle":"","family":"Rojanasopondist","given":"Pakdee","non-dropping-particle":"","parse-names":false,"suffix":""},{"dropping-particle":"","family":"Matuszak","given":"Sean J.","non-dropping-particle":"","parse-names":false,"suffix":""},{"dropping-particle":"","family":"Ingelsrud","given":"Lina H.","non-dropping-particle":"","parse-names":false,"suffix":""},{"dropping-particle":"","family":"Nielsen","given":"Christian S.","non-dropping-particle":"","parse-names":false,"suffix":""},{"dropping-particle":"","family":"Bragdon","given":"Charles R.","non-dropping-particle":"","parse-names":false,"suffix":""},{"dropping-particle":"","family":"Huddleston","given":"James I.","non-dropping-particle":"","parse-names":false,"suffix":""},{"dropping-particle":"","family":"Malchau","given":"Henrik","non-dropping-particle":"","parse-names":false,"suffix":""},{"dropping-particle":"","family":"Troelsen","given":"Anders","non-dropping-particle":"","parse-names":false,"suffix":""}],"container-title":"Journal of Bone and Joint Surgery - American Volume","id":"ITEM-1","issue":"11","issued":{"date-parts":[["2019","6","5"]]},"page":"995-1003","publisher":"Lippincott Williams and Wilkins","title":"Patient Acceptable Symptom State at 1 and 3 Years after Total Knee Arthroplasty: Thresholds for the Knee Injury and Osteoarthritis Outcome Score (KOOS)","type":"article-journal","volume":"101"},"uris":["http://www.mendeley.com/documents/?uuid=9accb6b8-eb3f-3c82-a662-b024db980441"]}],"mendeley":{"formattedCitation":"[25]","manualFormatting":"[17]","plainTextFormattedCitation":"[25]","previouslyFormattedCitation":"[10]"},"properties":{"noteIndex":0},"schema":"https://github.com/citation-style-language/schema/raw/master/csl-citation.json"}</w:instrText>
      </w:r>
      <w:r w:rsidRPr="003F4D3C">
        <w:rPr>
          <w:rFonts w:ascii="Times New Roman" w:hAnsi="Times New Roman" w:cs="Times New Roman"/>
          <w:sz w:val="24"/>
          <w:szCs w:val="24"/>
        </w:rPr>
        <w:fldChar w:fldCharType="separate"/>
      </w:r>
      <w:r w:rsidR="000C21D3" w:rsidRPr="003F4D3C">
        <w:rPr>
          <w:rFonts w:ascii="Times New Roman" w:hAnsi="Times New Roman" w:cs="Times New Roman"/>
          <w:noProof/>
          <w:sz w:val="24"/>
          <w:szCs w:val="24"/>
        </w:rPr>
        <w:t>[17</w:t>
      </w:r>
      <w:r w:rsidRPr="003F4D3C">
        <w:rPr>
          <w:rFonts w:ascii="Times New Roman" w:hAnsi="Times New Roman" w:cs="Times New Roman"/>
          <w:noProof/>
          <w:sz w:val="24"/>
          <w:szCs w:val="24"/>
        </w:rPr>
        <w:t>]</w:t>
      </w:r>
      <w:r w:rsidRPr="003F4D3C">
        <w:rPr>
          <w:rFonts w:ascii="Times New Roman" w:hAnsi="Times New Roman" w:cs="Times New Roman"/>
          <w:sz w:val="24"/>
          <w:szCs w:val="24"/>
        </w:rPr>
        <w:fldChar w:fldCharType="end"/>
      </w:r>
      <w:r w:rsidRPr="003F4D3C">
        <w:rPr>
          <w:rFonts w:ascii="Times New Roman" w:hAnsi="Times New Roman" w:cs="Times New Roman"/>
          <w:sz w:val="24"/>
          <w:szCs w:val="24"/>
        </w:rPr>
        <w:t>.</w:t>
      </w:r>
    </w:p>
    <w:p w:rsidR="005C46D0" w:rsidRPr="008D602A" w:rsidRDefault="005C46D0" w:rsidP="005C46D0">
      <w:pPr>
        <w:rPr>
          <w:rFonts w:ascii="Times New Roman" w:hAnsi="Times New Roman" w:cs="Times New Roman"/>
          <w:sz w:val="24"/>
          <w:szCs w:val="24"/>
        </w:rPr>
      </w:pPr>
    </w:p>
    <w:p w:rsidR="005C46D0" w:rsidRPr="008D602A" w:rsidRDefault="005C46D0" w:rsidP="005C46D0">
      <w:pPr>
        <w:rPr>
          <w:rFonts w:ascii="Times New Roman" w:hAnsi="Times New Roman" w:cs="Times New Roman"/>
          <w:color w:val="000000"/>
          <w:sz w:val="24"/>
          <w:szCs w:val="24"/>
          <w:shd w:val="clear" w:color="auto" w:fill="FFFFFF"/>
        </w:rPr>
      </w:pPr>
      <w:r w:rsidRPr="008D602A">
        <w:rPr>
          <w:rFonts w:ascii="Times New Roman" w:hAnsi="Times New Roman" w:cs="Times New Roman"/>
          <w:sz w:val="24"/>
          <w:szCs w:val="24"/>
        </w:rPr>
        <w:t>Distribution methods compare PROM change scores to errors of measurement. The standard error of measurement (SEM) is the error associated with the measurement tool below which any change in scores is attributed to measurement error rather than true change. SEM is calculated using the standard deviation (SD) and reliability of the measurement tool (</w:t>
      </w:r>
      <w:r w:rsidRPr="008D602A">
        <w:rPr>
          <w:rFonts w:ascii="Times New Roman" w:hAnsi="Times New Roman" w:cs="Times New Roman"/>
          <w:color w:val="000000"/>
          <w:sz w:val="24"/>
          <w:szCs w:val="24"/>
          <w:shd w:val="clear" w:color="auto" w:fill="FFFFFF"/>
        </w:rPr>
        <w:t>SEM = SD x √1-reliability), where the reliability of a PROM and its components is calculated using Cronbach’s alpha. Cronbach’s alpha measures the internal consistency of a given sc</w:t>
      </w:r>
      <w:r w:rsidRPr="003F4D3C">
        <w:rPr>
          <w:rFonts w:ascii="Times New Roman" w:hAnsi="Times New Roman" w:cs="Times New Roman"/>
          <w:color w:val="000000"/>
          <w:sz w:val="24"/>
          <w:szCs w:val="24"/>
          <w:shd w:val="clear" w:color="auto" w:fill="FFFFFF"/>
        </w:rPr>
        <w:t xml:space="preserve">ale </w:t>
      </w:r>
      <w:r w:rsidRPr="003F4D3C">
        <w:rPr>
          <w:rFonts w:ascii="Times New Roman" w:hAnsi="Times New Roman" w:cs="Times New Roman"/>
          <w:color w:val="000000"/>
          <w:sz w:val="24"/>
          <w:szCs w:val="24"/>
          <w:shd w:val="clear" w:color="auto" w:fill="FFFFFF"/>
        </w:rPr>
        <w:fldChar w:fldCharType="begin" w:fldLock="1"/>
      </w:r>
      <w:r w:rsidR="000C21D3" w:rsidRPr="003F4D3C">
        <w:rPr>
          <w:rFonts w:ascii="Times New Roman" w:hAnsi="Times New Roman" w:cs="Times New Roman"/>
          <w:color w:val="000000"/>
          <w:sz w:val="24"/>
          <w:szCs w:val="24"/>
          <w:shd w:val="clear" w:color="auto" w:fill="FFFFFF"/>
        </w:rPr>
        <w:instrText>ADDIN CSL_CITATION {"citationItems":[{"id":"ITEM-1","itemData":{"DOI":"10.5116/IJME.4DFB.8DFD","PMID":"28029643","author":[{"dropping-particle":"","family":"Tavakol","given":"Mohsen","non-dropping-particle":"","parse-names":false,"suffix":""},{"dropping-particle":"","family":"Dennick","given":"Reg","non-dropping-particle":"","parse-names":false,"suffix":""}],"container-title":"International Journal of Medical Education","id":"ITEM-1","issued":{"date-parts":[["2011","6","27"]]},"page":"53","publisher":"IJME","title":"Making sense of Cronbach's alpha","type":"article-journal","volume":"2"},"uris":["http://www.mendeley.com/documents/?uuid=4ad74b76-fec3-3d1a-a5de-8753623547ac"]}],"mendeley":{"formattedCitation":"[44]","manualFormatting":"[Tavakol]","plainTextFormattedCitation":"[44]","previouslyFormattedCitation":"[29]"},"properties":{"noteIndex":0},"schema":"https://github.com/citation-style-language/schema/raw/master/csl-citation.json"}</w:instrText>
      </w:r>
      <w:r w:rsidRPr="003F4D3C">
        <w:rPr>
          <w:rFonts w:ascii="Times New Roman" w:hAnsi="Times New Roman" w:cs="Times New Roman"/>
          <w:color w:val="000000"/>
          <w:sz w:val="24"/>
          <w:szCs w:val="24"/>
          <w:shd w:val="clear" w:color="auto" w:fill="FFFFFF"/>
        </w:rPr>
        <w:fldChar w:fldCharType="separate"/>
      </w:r>
      <w:r w:rsidRPr="003F4D3C">
        <w:rPr>
          <w:rFonts w:ascii="Times New Roman" w:hAnsi="Times New Roman" w:cs="Times New Roman"/>
          <w:noProof/>
          <w:color w:val="000000"/>
          <w:sz w:val="24"/>
          <w:szCs w:val="24"/>
          <w:shd w:val="clear" w:color="auto" w:fill="FFFFFF"/>
        </w:rPr>
        <w:t>[</w:t>
      </w:r>
      <w:r w:rsidR="000C21D3" w:rsidRPr="003F4D3C">
        <w:rPr>
          <w:rFonts w:ascii="Times New Roman" w:hAnsi="Times New Roman" w:cs="Times New Roman"/>
          <w:noProof/>
          <w:color w:val="000000"/>
          <w:sz w:val="24"/>
          <w:szCs w:val="24"/>
          <w:shd w:val="clear" w:color="auto" w:fill="FFFFFF"/>
        </w:rPr>
        <w:t>Tavakol</w:t>
      </w:r>
      <w:r w:rsidRPr="003F4D3C">
        <w:rPr>
          <w:rFonts w:ascii="Times New Roman" w:hAnsi="Times New Roman" w:cs="Times New Roman"/>
          <w:noProof/>
          <w:color w:val="000000"/>
          <w:sz w:val="24"/>
          <w:szCs w:val="24"/>
          <w:shd w:val="clear" w:color="auto" w:fill="FFFFFF"/>
        </w:rPr>
        <w:t>]</w:t>
      </w:r>
      <w:r w:rsidRPr="003F4D3C">
        <w:rPr>
          <w:rFonts w:ascii="Times New Roman" w:hAnsi="Times New Roman" w:cs="Times New Roman"/>
          <w:color w:val="000000"/>
          <w:sz w:val="24"/>
          <w:szCs w:val="24"/>
          <w:shd w:val="clear" w:color="auto" w:fill="FFFFFF"/>
        </w:rPr>
        <w:fldChar w:fldCharType="end"/>
      </w:r>
      <w:r w:rsidRPr="003F4D3C">
        <w:rPr>
          <w:rFonts w:ascii="Times New Roman" w:hAnsi="Times New Roman" w:cs="Times New Roman"/>
          <w:color w:val="000000"/>
          <w:sz w:val="24"/>
          <w:szCs w:val="24"/>
          <w:shd w:val="clear" w:color="auto" w:fill="FFFFFF"/>
        </w:rPr>
        <w:t xml:space="preserve">. </w:t>
      </w:r>
      <w:r w:rsidRPr="003F4D3C">
        <w:rPr>
          <w:rFonts w:ascii="Times New Roman" w:hAnsi="Times New Roman" w:cs="Times New Roman"/>
          <w:sz w:val="24"/>
          <w:szCs w:val="24"/>
        </w:rPr>
        <w:t>The</w:t>
      </w:r>
      <w:r w:rsidRPr="008D602A">
        <w:rPr>
          <w:rFonts w:ascii="Times New Roman" w:hAnsi="Times New Roman" w:cs="Times New Roman"/>
          <w:sz w:val="24"/>
          <w:szCs w:val="24"/>
        </w:rPr>
        <w:t xml:space="preserve"> MDC is the minimum change detected that is above the measurement error reported within a certain degree of confidence. A 95% CI indicates a 95% chance the patient’s true score lies within the reported range. MDC-95 is obtained </w:t>
      </w:r>
      <w:r>
        <w:rPr>
          <w:rFonts w:ascii="Times New Roman" w:hAnsi="Times New Roman" w:cs="Times New Roman"/>
          <w:sz w:val="24"/>
          <w:szCs w:val="24"/>
        </w:rPr>
        <w:t xml:space="preserve">by </w:t>
      </w:r>
      <w:r w:rsidRPr="008D602A">
        <w:rPr>
          <w:rFonts w:ascii="Times New Roman" w:hAnsi="Times New Roman" w:cs="Times New Roman"/>
          <w:sz w:val="24"/>
          <w:szCs w:val="24"/>
        </w:rPr>
        <w:t xml:space="preserve">multiplying the SEM by the respective z-score and </w:t>
      </w:r>
      <w:r w:rsidRPr="008D602A">
        <w:rPr>
          <w:rFonts w:ascii="Times New Roman" w:hAnsi="Times New Roman" w:cs="Times New Roman"/>
          <w:color w:val="000000"/>
          <w:sz w:val="24"/>
          <w:szCs w:val="24"/>
          <w:shd w:val="clear" w:color="auto" w:fill="FFFFFF"/>
        </w:rPr>
        <w:t>√</w:t>
      </w:r>
      <w:r w:rsidRPr="003F4D3C">
        <w:rPr>
          <w:rFonts w:ascii="Times New Roman" w:hAnsi="Times New Roman" w:cs="Times New Roman"/>
          <w:color w:val="000000"/>
          <w:sz w:val="24"/>
          <w:szCs w:val="24"/>
          <w:shd w:val="clear" w:color="auto" w:fill="FFFFFF"/>
        </w:rPr>
        <w:t xml:space="preserve">2 </w:t>
      </w:r>
      <w:r w:rsidRPr="003F4D3C">
        <w:rPr>
          <w:rFonts w:ascii="Times New Roman" w:hAnsi="Times New Roman" w:cs="Times New Roman"/>
          <w:color w:val="000000"/>
          <w:sz w:val="24"/>
          <w:szCs w:val="24"/>
          <w:shd w:val="clear" w:color="auto" w:fill="FFFFFF"/>
        </w:rPr>
        <w:fldChar w:fldCharType="begin" w:fldLock="1"/>
      </w:r>
      <w:r w:rsidRPr="003F4D3C">
        <w:rPr>
          <w:rFonts w:ascii="Times New Roman" w:hAnsi="Times New Roman" w:cs="Times New Roman"/>
          <w:color w:val="000000"/>
          <w:sz w:val="24"/>
          <w:szCs w:val="24"/>
          <w:shd w:val="clear" w:color="auto" w:fill="FFFFFF"/>
        </w:rPr>
        <w:instrText>ADDIN CSL_CITATION {"citationItems":[{"id":"ITEM-1","itemData":{"DOI":"10.1097/CORR.0000000000000444","PMID":"30179956","abstract":"Background The WOMAC score is a validated outcome measure for use in patients undergoing TKA. Defining meaningful changes in the WOMAC score is important for sample-size calculations in clinical research and for interpreting published studies. However, inconsistencies among published studies regarding key definitions for changes in the WOMAC score after TKA potentially could result in incorrectly powered studies and the misinterpretation of clinical research results. Questions/purposes (1) To identify the minimum clinically important difference (MCID) for the total WOMAC score and its components 1 year after TKA using an anchorbased methodology. (2) To define the minimum important change (MIC) and the minimum detectable change with 95% confidence (MDC95) for the total WOMAC score and its components 1 year after TKA. Methods Between 2003 and 2013, 3641 patients underwent primary TKA at one center. Of those, 460 patients (13%) were excluded from this retrospective study for prespecified reasons (mainly secondary OA and bilateral surgery), and 592 patients (16%) were either lost to followup or could not be included because of incomplete questionnaires. WOMAC scores were recorded preoperatively and at 1 year postoperatively. Patient demographics and preoperative Short Form-12 and WOMAC scores were no different for the 16% of patients who were lost to followup or failed to complete 1-year questionnaires and the study cohort (n = 2589). At 1 year, patients were asked \"How much did the knee replacement surgery improve the quality of your life?\" Their responses were recorded as: A great improvement, moderate improvement, little improvement, no improvement at all, or the quality of my life is worse. TheMCID was defined as the difference in the mean change in theWOMAC score between patients with no improvement comparedwith those with little improvement according to the anchor question. The MIC was defined as the change in the WOMAC score relative to the baseline score for patients who reported a little improvement in their quality of life. The MDCis the smallest change for an individual who is likely to be beyond the measurement error of the scoring tool and represents true change rather than variability in the scoring measure; we report it with 95% confidence bounds defining real change rather than variability in the scoring measure (MDC95). We calculated this with distribution-based methods for the whole cohort. Patients recording a little improvement (n = 211)…","author":[{"dropping-particle":"","family":"Clement","given":"Nicholas D.","non-dropping-particle":"","parse-names":false,"suffix":""},{"dropping-particle":"","family":"Bardgett","given":"Michelle","non-dropping-particle":"","parse-names":false,"suffix":""},{"dropping-particle":"","family":"Weir","given":"David","non-dropping-particle":"","parse-names":false,"suffix":""},{"dropping-particle":"","family":"Holland","given":"James","non-dropping-particle":"","parse-names":false,"suffix":""},{"dropping-particle":"","family":"Gerrand","given":"Craig","non-dropping-particle":"","parse-names":false,"suffix":""},{"dropping-particle":"","family":"Deehan","given":"David J.","non-dropping-particle":"","parse-names":false,"suffix":""}],"container-title":"Clinical Orthopaedics and Related Research","id":"ITEM-1","issue":"10","issued":{"date-parts":[["2018"]]},"page":"2005","publisher":"Association of Bone and Joint Surgeons","title":"What is the Minimum Clinically Important Difference for the WOMAC Index After TKA?","type":"article-journal","volume":"476"},"uris":["http://www.mendeley.com/documents/?uuid=9c119fc2-ac29-30cf-8e13-f404ab8e502f"]},{"id":"ITEM-2","itemData":{"DOI":"10.1186/1471-2474-15-235","ISSN":"14712474","PMID":"25015083","abstract":"Background: Thoughtful use of assessment tools to monitor disease requires an understanding of clinimetric properties. These properties are often under-reported and, thus, potentially overlooked in the clinic. This study aimed to determine the minimal detectable change (MDC) and coefficient of variation per cent (CV%) for tools commonly used to assess the symptomatic and functional severity of knee and hip osteoarthritis. Methods. We performed a test-retest study on 136 people awaiting knee or hip arthroplasty at one of two hospitals. The MDC95 (the range over which the difference [change] for 95% of patients is expected to lie) and the coefficient of variation per cent (CV%) for the visual analogue scale (VAS) for joint pain, the six-minute walk test (6MWT), the timed up-and-go (TUG) test, the Knee Injury and Osteoarthritis Outcome Score (KOOS) and the Hip Disability and Osteoarthritis Outcome Score (HOOS) subscales were calculated. Results: Knee cohort (n = 75) - The MDC 95 and CV% values were as follows: VAS 2.8 cm, 15%; 6MWT 79 m, 8%; TUG +/-36.7%, 13%; KOOS pain 20.2, 19%; KOOS symptoms 24.1, 22%; KOOS activities of daily living 20.8, 17%; KOOS quality of life 26.6, 44. Hip cohort (n = 61) - The MDC95 and CV% values were as follows: VAS 3.3 cm, 17%; 6MWT 81.5 m, 9%; TUG +/-44.6%, 16%; HOOS pain 21.6, 22%; HOOS symptoms 22.7, 19%; HOOS activities of daily living 17.7, 17%; HOOS quality of life 24.4, 43%. Conclusions: Distinguishing real change from error is difficult in people with severe osteoarthritis. The 6MWT demonstrates the smallest measurement error amongst a range of tools commonly used to assess disease severity, thus, has the capacity to detect the smallest real change above measurement error in everyday clinical practice. © 2014 Naylor et al.; licensee BioMed Central Ltd.","author":[{"dropping-particle":"","family":"Naylor","given":"Justine M.","non-dropping-particle":"","parse-names":false,"suffix":""},{"dropping-particle":"","family":"Hayen","given":"Andrew","non-dropping-particle":"","parse-names":false,"suffix":""},{"dropping-particle":"","family":"Davidson","given":"Edward","non-dropping-particle":"","parse-names":false,"suffix":""},{"dropping-particle":"","family":"Hackett","given":"Danella","non-dropping-particle":"","parse-names":false,"suffix":""},{"dropping-particle":"","family":"Harris","given":"Ian A.","non-dropping-particle":"","parse-names":false,"suffix":""},{"dropping-particle":"","family":"Kamalasena","given":"Gihan","non-dropping-particle":"","parse-names":false,"suffix":""},{"dropping-particle":"","family":"Mittal","given":"Rajat","non-dropping-particle":"","parse-names":false,"suffix":""}],"container-title":"BMC Musculoskeletal Disorders","id":"ITEM-2","issue":"1","issued":{"date-parts":[["2014"]]},"page":"1-9","title":"Minimal detectable change for mobility and patient-reported tools in people with osteoarthritis awaiting arthroplasty","type":"article-journal","volume":"15"},"uris":["http://www.mendeley.com/documents/?uuid=4b269841-2fe0-4558-873a-c1557cc53e3f"]}],"mendeley":{"formattedCitation":"[24,39]","plainTextFormattedCitation":"[24,39]","previouslyFormattedCitation":"[13,23]"},"properties":{"noteIndex":0},"schema":"https://github.com/citation-style-language/schema/raw/master/csl-citation.json"}</w:instrText>
      </w:r>
      <w:r w:rsidRPr="003F4D3C">
        <w:rPr>
          <w:rFonts w:ascii="Times New Roman" w:hAnsi="Times New Roman" w:cs="Times New Roman"/>
          <w:color w:val="000000"/>
          <w:sz w:val="24"/>
          <w:szCs w:val="24"/>
          <w:shd w:val="clear" w:color="auto" w:fill="FFFFFF"/>
        </w:rPr>
        <w:fldChar w:fldCharType="separate"/>
      </w:r>
      <w:r w:rsidR="000C21D3" w:rsidRPr="003F4D3C">
        <w:rPr>
          <w:rFonts w:ascii="Times New Roman" w:hAnsi="Times New Roman" w:cs="Times New Roman"/>
          <w:noProof/>
          <w:color w:val="000000"/>
          <w:sz w:val="24"/>
          <w:szCs w:val="24"/>
          <w:shd w:val="clear" w:color="auto" w:fill="FFFFFF"/>
        </w:rPr>
        <w:t>[15</w:t>
      </w:r>
      <w:r w:rsidRPr="003F4D3C">
        <w:rPr>
          <w:rFonts w:ascii="Times New Roman" w:hAnsi="Times New Roman" w:cs="Times New Roman"/>
          <w:noProof/>
          <w:color w:val="000000"/>
          <w:sz w:val="24"/>
          <w:szCs w:val="24"/>
          <w:shd w:val="clear" w:color="auto" w:fill="FFFFFF"/>
        </w:rPr>
        <w:t>,39]</w:t>
      </w:r>
      <w:r w:rsidRPr="003F4D3C">
        <w:rPr>
          <w:rFonts w:ascii="Times New Roman" w:hAnsi="Times New Roman" w:cs="Times New Roman"/>
          <w:color w:val="000000"/>
          <w:sz w:val="24"/>
          <w:szCs w:val="24"/>
          <w:shd w:val="clear" w:color="auto" w:fill="FFFFFF"/>
        </w:rPr>
        <w:fldChar w:fldCharType="end"/>
      </w:r>
      <w:r w:rsidRPr="003F4D3C">
        <w:rPr>
          <w:rFonts w:ascii="Times New Roman" w:hAnsi="Times New Roman" w:cs="Times New Roman"/>
          <w:color w:val="000000"/>
          <w:sz w:val="24"/>
          <w:szCs w:val="24"/>
          <w:shd w:val="clear" w:color="auto" w:fill="FFFFFF"/>
        </w:rPr>
        <w:t>.</w:t>
      </w:r>
    </w:p>
    <w:p w:rsidR="005C46D0" w:rsidRPr="008D602A" w:rsidRDefault="005C46D0" w:rsidP="005C46D0">
      <w:pPr>
        <w:rPr>
          <w:rFonts w:ascii="Times New Roman" w:hAnsi="Times New Roman" w:cs="Times New Roman"/>
          <w:color w:val="000000"/>
          <w:sz w:val="24"/>
          <w:szCs w:val="24"/>
          <w:shd w:val="clear" w:color="auto" w:fill="FFFFFF"/>
        </w:rPr>
      </w:pPr>
    </w:p>
    <w:p w:rsidR="005C46D0" w:rsidRPr="008D602A" w:rsidRDefault="005C46D0" w:rsidP="005C46D0">
      <w:pPr>
        <w:rPr>
          <w:rFonts w:ascii="Times New Roman" w:hAnsi="Times New Roman" w:cs="Times New Roman"/>
          <w:color w:val="000000"/>
          <w:sz w:val="24"/>
          <w:szCs w:val="24"/>
          <w:shd w:val="clear" w:color="auto" w:fill="FFFFFF"/>
        </w:rPr>
      </w:pPr>
      <w:r w:rsidRPr="008D602A">
        <w:rPr>
          <w:rFonts w:ascii="Times New Roman" w:hAnsi="Times New Roman" w:cs="Times New Roman"/>
          <w:color w:val="000000"/>
          <w:sz w:val="24"/>
          <w:szCs w:val="24"/>
          <w:shd w:val="clear" w:color="auto" w:fill="FFFFFF"/>
        </w:rPr>
        <w:t xml:space="preserve">Distribution methods also involve the standard deviation. One-half the standard deviation among a group of scores has been previously published as one method to obtain MCID values and </w:t>
      </w:r>
      <w:r>
        <w:rPr>
          <w:rFonts w:ascii="Times New Roman" w:hAnsi="Times New Roman" w:cs="Times New Roman"/>
          <w:color w:val="000000"/>
          <w:sz w:val="24"/>
          <w:szCs w:val="24"/>
          <w:shd w:val="clear" w:color="auto" w:fill="FFFFFF"/>
        </w:rPr>
        <w:t xml:space="preserve">is </w:t>
      </w:r>
      <w:r w:rsidRPr="008D602A">
        <w:rPr>
          <w:rFonts w:ascii="Times New Roman" w:hAnsi="Times New Roman" w:cs="Times New Roman"/>
          <w:color w:val="000000"/>
          <w:sz w:val="24"/>
          <w:szCs w:val="24"/>
          <w:shd w:val="clear" w:color="auto" w:fill="FFFFFF"/>
        </w:rPr>
        <w:t>known to carry universality across many studies and application</w:t>
      </w:r>
      <w:r w:rsidRPr="003F4D3C">
        <w:rPr>
          <w:rFonts w:ascii="Times New Roman" w:hAnsi="Times New Roman" w:cs="Times New Roman"/>
          <w:color w:val="000000"/>
          <w:sz w:val="24"/>
          <w:szCs w:val="24"/>
          <w:shd w:val="clear" w:color="auto" w:fill="FFFFFF"/>
        </w:rPr>
        <w:t xml:space="preserve">s </w:t>
      </w:r>
      <w:r w:rsidRPr="003F4D3C">
        <w:rPr>
          <w:rFonts w:ascii="Times New Roman" w:hAnsi="Times New Roman" w:cs="Times New Roman"/>
          <w:color w:val="000000"/>
          <w:sz w:val="24"/>
          <w:szCs w:val="24"/>
          <w:shd w:val="clear" w:color="auto" w:fill="FFFFFF"/>
        </w:rPr>
        <w:fldChar w:fldCharType="begin" w:fldLock="1"/>
      </w:r>
      <w:r w:rsidR="000C21D3" w:rsidRPr="003F4D3C">
        <w:rPr>
          <w:rFonts w:ascii="Times New Roman" w:hAnsi="Times New Roman" w:cs="Times New Roman"/>
          <w:color w:val="000000"/>
          <w:sz w:val="24"/>
          <w:szCs w:val="24"/>
          <w:shd w:val="clear" w:color="auto" w:fill="FFFFFF"/>
        </w:rPr>
        <w:instrText>ADDIN CSL_CITATION {"citationItems":[{"id":"ITEM-1","itemData":{"DOI":"10.1097/01.MLR.0000062554.74615.4C","abstract":"BACKGROUND: A number of studies have computed the minimally important difference (MID) for health-related quality of life instruments. OBJECTIVE: To determine whether there is consistency in the magnitude of MID estimates from different instruments. METHODS: We conducted a systematic review of the literature to identify studies that computed an MID and contained sufficient information to compute an effect size (ES). Thirty-eight studies fulfilled the criteria, resulting in 62 ESs. RESULTS: For all but 6 studies, the MID estimates were close to one half a SD (mean = 0.495, SD = 0.155). There was no consistent relationship with factors such as disease-specific or generic instrument or the number of response options. Negative changes were not associated with larger ESs. Population-based estimation procedures and brief follow-up were associated with smaller ESs, and acute conditions with larger ESs. An explanation for this consistency is that research in psychology has shown that the limit of people's ability to discriminate over a wide range of tasks is approximately 1 part in 7, which is very close to half a SD. CONCLUSION: In most circumstances, the threshold of discrimination for changes in health-related quality of life for chronic diseases appears to be approximately half a SD.","author":[{"dropping-particle":"","family":"Norman","given":"Geoffrey R.","non-dropping-particle":"","parse-names":false,"suffix":""},{"dropping-particle":"","family":"Sloan","given":"Jeff A.","non-dropping-particle":"","parse-names":false,"suffix":""},{"dropping-particle":"","family":"Wyrwich","given":"Kathleen W.","non-dropping-particle":"","parse-names":false,"suffix":""}],"container-title":"Medical Care","id":"ITEM-1","issue":"5","issued":{"date-parts":[["2003","5"]]},"page":"582-592","publisher":"Ovid Technologies (Wolters Kluwer Health)","title":"Interpretation of Changes in Health-related Quality of Life","type":"article-journal","volume":"41"},"uris":["http://www.mendeley.com/documents/?uuid=0cadfbbd-1965-33cf-8f41-201215c5b3dd"]}],"mendeley":{"formattedCitation":"[45]","manualFormatting":"[Norman]","plainTextFormattedCitation":"[45]","previouslyFormattedCitation":"[30]"},"properties":{"noteIndex":0},"schema":"https://github.com/citation-style-language/schema/raw/master/csl-citation.json"}</w:instrText>
      </w:r>
      <w:r w:rsidRPr="003F4D3C">
        <w:rPr>
          <w:rFonts w:ascii="Times New Roman" w:hAnsi="Times New Roman" w:cs="Times New Roman"/>
          <w:color w:val="000000"/>
          <w:sz w:val="24"/>
          <w:szCs w:val="24"/>
          <w:shd w:val="clear" w:color="auto" w:fill="FFFFFF"/>
        </w:rPr>
        <w:fldChar w:fldCharType="separate"/>
      </w:r>
      <w:r w:rsidR="000C21D3" w:rsidRPr="003F4D3C">
        <w:rPr>
          <w:rFonts w:ascii="Times New Roman" w:hAnsi="Times New Roman" w:cs="Times New Roman"/>
          <w:noProof/>
          <w:color w:val="000000"/>
          <w:sz w:val="24"/>
          <w:szCs w:val="24"/>
          <w:shd w:val="clear" w:color="auto" w:fill="FFFFFF"/>
        </w:rPr>
        <w:t>[Norman</w:t>
      </w:r>
      <w:r w:rsidRPr="003F4D3C">
        <w:rPr>
          <w:rFonts w:ascii="Times New Roman" w:hAnsi="Times New Roman" w:cs="Times New Roman"/>
          <w:noProof/>
          <w:color w:val="000000"/>
          <w:sz w:val="24"/>
          <w:szCs w:val="24"/>
          <w:shd w:val="clear" w:color="auto" w:fill="FFFFFF"/>
        </w:rPr>
        <w:t>]</w:t>
      </w:r>
      <w:r w:rsidRPr="003F4D3C">
        <w:rPr>
          <w:rFonts w:ascii="Times New Roman" w:hAnsi="Times New Roman" w:cs="Times New Roman"/>
          <w:color w:val="000000"/>
          <w:sz w:val="24"/>
          <w:szCs w:val="24"/>
          <w:shd w:val="clear" w:color="auto" w:fill="FFFFFF"/>
        </w:rPr>
        <w:fldChar w:fldCharType="end"/>
      </w:r>
      <w:r w:rsidRPr="003F4D3C">
        <w:rPr>
          <w:rFonts w:ascii="Times New Roman" w:hAnsi="Times New Roman" w:cs="Times New Roman"/>
          <w:color w:val="000000"/>
          <w:sz w:val="24"/>
          <w:szCs w:val="24"/>
          <w:shd w:val="clear" w:color="auto" w:fill="FFFFFF"/>
        </w:rPr>
        <w:t>.</w:t>
      </w:r>
    </w:p>
    <w:p w:rsidR="005C46D0" w:rsidRDefault="005C46D0" w:rsidP="005C46D0">
      <w:pPr>
        <w:rPr>
          <w:rFonts w:ascii="Times New Roman" w:hAnsi="Times New Roman" w:cs="Times New Roman"/>
          <w:color w:val="000000"/>
          <w:sz w:val="20"/>
          <w:szCs w:val="20"/>
          <w:shd w:val="clear" w:color="auto" w:fill="FFFFFF"/>
        </w:rPr>
      </w:pPr>
    </w:p>
    <w:p w:rsidR="00F85FF8" w:rsidRDefault="00F85FF8"/>
    <w:sectPr w:rsidR="00F85FF8" w:rsidSect="002C4ED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53C" w:rsidRDefault="00D6253C" w:rsidP="00090189">
      <w:pPr>
        <w:spacing w:after="0" w:line="240" w:lineRule="auto"/>
      </w:pPr>
      <w:r>
        <w:separator/>
      </w:r>
    </w:p>
  </w:endnote>
  <w:endnote w:type="continuationSeparator" w:id="0">
    <w:p w:rsidR="00D6253C" w:rsidRDefault="00D6253C" w:rsidP="00090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189" w:rsidRDefault="000901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73921532"/>
      <w:docPartObj>
        <w:docPartGallery w:val="Page Numbers (Bottom of Page)"/>
        <w:docPartUnique/>
      </w:docPartObj>
    </w:sdtPr>
    <w:sdtEndPr>
      <w:rPr>
        <w:noProof/>
      </w:rPr>
    </w:sdtEndPr>
    <w:sdtContent>
      <w:p w:rsidR="00090189" w:rsidRPr="00090189" w:rsidRDefault="00090189">
        <w:pPr>
          <w:pStyle w:val="Footer"/>
          <w:jc w:val="right"/>
          <w:rPr>
            <w:rFonts w:ascii="Times New Roman" w:hAnsi="Times New Roman" w:cs="Times New Roman"/>
          </w:rPr>
        </w:pPr>
        <w:r w:rsidRPr="00090189">
          <w:rPr>
            <w:rFonts w:ascii="Times New Roman" w:hAnsi="Times New Roman" w:cs="Times New Roman"/>
          </w:rPr>
          <w:fldChar w:fldCharType="begin"/>
        </w:r>
        <w:r w:rsidRPr="00090189">
          <w:rPr>
            <w:rFonts w:ascii="Times New Roman" w:hAnsi="Times New Roman" w:cs="Times New Roman"/>
          </w:rPr>
          <w:instrText xml:space="preserve"> PAGE   \* MERGEFORMAT </w:instrText>
        </w:r>
        <w:r w:rsidRPr="00090189">
          <w:rPr>
            <w:rFonts w:ascii="Times New Roman" w:hAnsi="Times New Roman" w:cs="Times New Roman"/>
          </w:rPr>
          <w:fldChar w:fldCharType="separate"/>
        </w:r>
        <w:r w:rsidR="003F4D3C">
          <w:rPr>
            <w:rFonts w:ascii="Times New Roman" w:hAnsi="Times New Roman" w:cs="Times New Roman"/>
            <w:noProof/>
          </w:rPr>
          <w:t>1</w:t>
        </w:r>
        <w:r w:rsidRPr="00090189">
          <w:rPr>
            <w:rFonts w:ascii="Times New Roman" w:hAnsi="Times New Roman" w:cs="Times New Roman"/>
            <w:noProof/>
          </w:rPr>
          <w:fldChar w:fldCharType="end"/>
        </w:r>
      </w:p>
    </w:sdtContent>
  </w:sdt>
  <w:p w:rsidR="00090189" w:rsidRPr="00090189" w:rsidRDefault="00090189">
    <w:pPr>
      <w:pStyle w:val="Foo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189" w:rsidRDefault="00090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53C" w:rsidRDefault="00D6253C" w:rsidP="00090189">
      <w:pPr>
        <w:spacing w:after="0" w:line="240" w:lineRule="auto"/>
      </w:pPr>
      <w:r>
        <w:separator/>
      </w:r>
    </w:p>
  </w:footnote>
  <w:footnote w:type="continuationSeparator" w:id="0">
    <w:p w:rsidR="00D6253C" w:rsidRDefault="00D6253C" w:rsidP="000901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189" w:rsidRDefault="00090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189" w:rsidRPr="00090189" w:rsidRDefault="00090189">
    <w:pPr>
      <w:pStyle w:val="Head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189" w:rsidRDefault="000901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otal_Editing_Time" w:val="0"/>
  </w:docVars>
  <w:rsids>
    <w:rsidRoot w:val="00090189"/>
    <w:rsid w:val="00090189"/>
    <w:rsid w:val="000B2AAA"/>
    <w:rsid w:val="000C21D3"/>
    <w:rsid w:val="000C7BCB"/>
    <w:rsid w:val="0026047C"/>
    <w:rsid w:val="002C4EDF"/>
    <w:rsid w:val="002E5FD6"/>
    <w:rsid w:val="003F4D3C"/>
    <w:rsid w:val="004D50F9"/>
    <w:rsid w:val="005B7F21"/>
    <w:rsid w:val="005C46D0"/>
    <w:rsid w:val="00664662"/>
    <w:rsid w:val="00896C40"/>
    <w:rsid w:val="008C4E13"/>
    <w:rsid w:val="009C318D"/>
    <w:rsid w:val="00A30593"/>
    <w:rsid w:val="00D6253C"/>
    <w:rsid w:val="00F85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AEF4D6-1431-44EC-BC75-FCA4AE31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189"/>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9018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90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189"/>
  </w:style>
  <w:style w:type="paragraph" w:styleId="Footer">
    <w:name w:val="footer"/>
    <w:basedOn w:val="Normal"/>
    <w:link w:val="FooterChar"/>
    <w:uiPriority w:val="99"/>
    <w:unhideWhenUsed/>
    <w:rsid w:val="00090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189"/>
  </w:style>
  <w:style w:type="character" w:styleId="LineNumber">
    <w:name w:val="line number"/>
    <w:basedOn w:val="DefaultParagraphFont"/>
    <w:uiPriority w:val="99"/>
    <w:semiHidden/>
    <w:unhideWhenUsed/>
    <w:rsid w:val="00090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6276</Words>
  <Characters>35776</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zab3ww</dc:creator>
  <cp:keywords/>
  <dc:description/>
  <cp:lastModifiedBy>Remjun Delos Reyes</cp:lastModifiedBy>
  <cp:revision>4</cp:revision>
  <dcterms:created xsi:type="dcterms:W3CDTF">2023-04-14T00:29:00Z</dcterms:created>
  <dcterms:modified xsi:type="dcterms:W3CDTF">2023-04-17T23:46:00Z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f555485c776a8690049387b4bb761db8bd29eea2f637051a14515fad5419a8d3</vt:lpwstr>
  </property>
</Properties>
</file>