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228F2" w14:textId="77777777" w:rsidR="00E27EB5" w:rsidRDefault="00E27EB5" w:rsidP="00E27EB5">
      <w:pPr>
        <w:spacing w:after="0" w:line="480" w:lineRule="auto"/>
        <w:rPr>
          <w:b/>
        </w:rPr>
      </w:pPr>
      <w:bookmarkStart w:id="0" w:name="_GoBack"/>
      <w:bookmarkEnd w:id="0"/>
    </w:p>
    <w:p w14:paraId="507E76E0" w14:textId="0AA8CCE9" w:rsidR="00E27EB5" w:rsidRDefault="00E27EB5" w:rsidP="00E27EB5">
      <w:pPr>
        <w:spacing w:after="0" w:line="480" w:lineRule="auto"/>
        <w:rPr>
          <w:b/>
        </w:rPr>
      </w:pPr>
      <w:r>
        <w:rPr>
          <w:b/>
        </w:rPr>
        <w:t>Electronic Supplementary Material</w:t>
      </w:r>
    </w:p>
    <w:p w14:paraId="08C9C789" w14:textId="70346EB8" w:rsidR="00E27EB5" w:rsidRDefault="00E27EB5" w:rsidP="00E27EB5">
      <w:pPr>
        <w:spacing w:after="0" w:line="480" w:lineRule="auto"/>
        <w:rPr>
          <w:i/>
        </w:rPr>
      </w:pPr>
      <w:r>
        <w:rPr>
          <w:i/>
        </w:rPr>
        <w:t>This supplementary material has not been peer reviewed.</w:t>
      </w:r>
    </w:p>
    <w:p w14:paraId="26888BF8" w14:textId="77777777" w:rsidR="00E27EB5" w:rsidRPr="00E27EB5" w:rsidRDefault="00E27EB5" w:rsidP="00E27EB5">
      <w:pPr>
        <w:spacing w:after="0" w:line="480" w:lineRule="auto"/>
        <w:rPr>
          <w:i/>
        </w:rPr>
      </w:pPr>
    </w:p>
    <w:p w14:paraId="0B963FD4" w14:textId="09489D05" w:rsidR="004430BE" w:rsidRPr="00123C34" w:rsidRDefault="00E27EB5" w:rsidP="00E27EB5">
      <w:pPr>
        <w:spacing w:after="0" w:line="480" w:lineRule="auto"/>
        <w:rPr>
          <w:b/>
          <w:szCs w:val="28"/>
        </w:rPr>
      </w:pPr>
      <w:r>
        <w:rPr>
          <w:b/>
        </w:rPr>
        <w:t xml:space="preserve">Title: </w:t>
      </w:r>
      <w:r w:rsidR="004430BE" w:rsidRPr="00E92C4D">
        <w:rPr>
          <w:b/>
        </w:rPr>
        <w:t xml:space="preserve">Scaling the impact of </w:t>
      </w:r>
      <w:r w:rsidR="004430BE">
        <w:rPr>
          <w:b/>
        </w:rPr>
        <w:t xml:space="preserve">sustainability </w:t>
      </w:r>
      <w:r w:rsidR="004430BE" w:rsidRPr="00E92C4D">
        <w:rPr>
          <w:b/>
        </w:rPr>
        <w:t>initiatives</w:t>
      </w:r>
      <w:r w:rsidR="004430BE">
        <w:rPr>
          <w:b/>
        </w:rPr>
        <w:t>:</w:t>
      </w:r>
      <w:r w:rsidR="005A6DA2">
        <w:rPr>
          <w:b/>
        </w:rPr>
        <w:t xml:space="preserve"> a </w:t>
      </w:r>
      <w:r w:rsidR="004430BE" w:rsidRPr="00E92C4D">
        <w:rPr>
          <w:b/>
        </w:rPr>
        <w:t>typology</w:t>
      </w:r>
      <w:r w:rsidR="005A6DA2">
        <w:rPr>
          <w:b/>
        </w:rPr>
        <w:t xml:space="preserve"> of </w:t>
      </w:r>
      <w:r w:rsidR="009538AD">
        <w:rPr>
          <w:b/>
        </w:rPr>
        <w:t>amplification</w:t>
      </w:r>
      <w:r w:rsidR="005A6DA2">
        <w:rPr>
          <w:b/>
        </w:rPr>
        <w:t xml:space="preserve"> processes</w:t>
      </w:r>
    </w:p>
    <w:p w14:paraId="72B1DFA5" w14:textId="77777777" w:rsidR="004430BE" w:rsidRPr="00123C34" w:rsidRDefault="004430BE">
      <w:pPr>
        <w:rPr>
          <w:b/>
          <w:sz w:val="22"/>
          <w:u w:val="single"/>
        </w:rPr>
      </w:pPr>
    </w:p>
    <w:p w14:paraId="7A423834" w14:textId="537BA678" w:rsidR="000E5DE0" w:rsidRPr="00123C34" w:rsidRDefault="0047762A">
      <w:pPr>
        <w:rPr>
          <w:b/>
          <w:sz w:val="22"/>
        </w:rPr>
      </w:pPr>
      <w:r w:rsidRPr="00123C34">
        <w:rPr>
          <w:b/>
          <w:sz w:val="22"/>
        </w:rPr>
        <w:t>Supplement</w:t>
      </w:r>
      <w:r w:rsidR="00185364" w:rsidRPr="00123C34">
        <w:rPr>
          <w:b/>
          <w:sz w:val="22"/>
        </w:rPr>
        <w:t>ary material</w:t>
      </w:r>
    </w:p>
    <w:p w14:paraId="3B8D9486" w14:textId="315126B5" w:rsidR="00123C34" w:rsidRPr="00123C34" w:rsidRDefault="00123C34" w:rsidP="00123C34">
      <w:pPr>
        <w:pStyle w:val="Caption"/>
        <w:keepNext/>
        <w:rPr>
          <w:color w:val="auto"/>
        </w:rPr>
      </w:pPr>
      <w:r w:rsidRPr="00C1356C">
        <w:rPr>
          <w:b w:val="0"/>
          <w:color w:val="auto"/>
        </w:rPr>
        <w:t>Table S</w:t>
      </w:r>
      <w:r w:rsidR="004E0A16" w:rsidRPr="00C1356C">
        <w:rPr>
          <w:b w:val="0"/>
          <w:color w:val="auto"/>
        </w:rPr>
        <w:t>1</w:t>
      </w:r>
      <w:r w:rsidRPr="00C1356C">
        <w:rPr>
          <w:b w:val="0"/>
          <w:color w:val="auto"/>
        </w:rPr>
        <w:t>.</w:t>
      </w:r>
      <w:r w:rsidRPr="00575D9B">
        <w:rPr>
          <w:b w:val="0"/>
          <w:color w:val="auto"/>
        </w:rPr>
        <w:t xml:space="preserve"> </w:t>
      </w:r>
      <w:r w:rsidR="00575D9B" w:rsidRPr="00575D9B">
        <w:rPr>
          <w:b w:val="0"/>
          <w:color w:val="auto"/>
        </w:rPr>
        <w:t xml:space="preserve">Detailed overview of how the processes of different </w:t>
      </w:r>
      <w:r w:rsidR="00AE4EC7">
        <w:rPr>
          <w:b w:val="0"/>
          <w:color w:val="auto"/>
        </w:rPr>
        <w:t>frameworks</w:t>
      </w:r>
      <w:r w:rsidR="00AE4EC7" w:rsidRPr="00575D9B">
        <w:rPr>
          <w:b w:val="0"/>
          <w:color w:val="auto"/>
        </w:rPr>
        <w:t xml:space="preserve"> </w:t>
      </w:r>
      <w:r w:rsidR="00575D9B" w:rsidRPr="00575D9B">
        <w:rPr>
          <w:b w:val="0"/>
          <w:color w:val="auto"/>
        </w:rPr>
        <w:t xml:space="preserve">overlap and differ as well as how we grouped them under the amplification processes. We only </w:t>
      </w:r>
      <w:r w:rsidR="00690302" w:rsidRPr="00575D9B">
        <w:rPr>
          <w:b w:val="0"/>
          <w:color w:val="auto"/>
        </w:rPr>
        <w:t>analyzed</w:t>
      </w:r>
      <w:r w:rsidR="00575D9B" w:rsidRPr="00575D9B">
        <w:rPr>
          <w:b w:val="0"/>
          <w:color w:val="auto"/>
        </w:rPr>
        <w:t xml:space="preserve"> processes that focus on increasing impact and therefore excluded cross-cutting, partnering, </w:t>
      </w:r>
      <w:proofErr w:type="spellStart"/>
      <w:r w:rsidR="00575D9B" w:rsidRPr="00575D9B">
        <w:rPr>
          <w:b w:val="0"/>
          <w:color w:val="auto"/>
        </w:rPr>
        <w:t>instrumentalising</w:t>
      </w:r>
      <w:proofErr w:type="spellEnd"/>
      <w:r w:rsidR="00575D9B" w:rsidRPr="00575D9B">
        <w:rPr>
          <w:b w:val="0"/>
          <w:color w:val="auto"/>
        </w:rPr>
        <w:t>, and accumulation in this analysis. *Speeding up is based on the idea of acceleration mechanisms which processes can increase the pace of a transformation. Italics indicate not perfect</w:t>
      </w:r>
      <w:r w:rsidR="00575D9B">
        <w:rPr>
          <w:b w:val="0"/>
          <w:color w:val="auto"/>
        </w:rPr>
        <w:t xml:space="preserve"> matches.</w:t>
      </w:r>
    </w:p>
    <w:tbl>
      <w:tblPr>
        <w:tblStyle w:val="TableGrid"/>
        <w:tblW w:w="1250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gridCol w:w="1786"/>
        <w:gridCol w:w="1786"/>
      </w:tblGrid>
      <w:tr w:rsidR="00123C34" w:rsidRPr="00387B87" w14:paraId="5D79ABAA" w14:textId="77777777" w:rsidTr="00514E51">
        <w:trPr>
          <w:trHeight w:val="408"/>
        </w:trPr>
        <w:tc>
          <w:tcPr>
            <w:tcW w:w="1786" w:type="dxa"/>
            <w:tcBorders>
              <w:top w:val="single" w:sz="4" w:space="0" w:color="auto"/>
              <w:bottom w:val="nil"/>
            </w:tcBorders>
            <w:shd w:val="clear" w:color="auto" w:fill="auto"/>
          </w:tcPr>
          <w:p w14:paraId="1B0A6278" w14:textId="77777777" w:rsidR="00AE4EC7" w:rsidRDefault="00123C34" w:rsidP="00514E51">
            <w:pPr>
              <w:rPr>
                <w:b/>
                <w:sz w:val="18"/>
                <w:szCs w:val="18"/>
              </w:rPr>
            </w:pPr>
            <w:r w:rsidRPr="00387B87">
              <w:rPr>
                <w:b/>
                <w:sz w:val="18"/>
                <w:szCs w:val="18"/>
              </w:rPr>
              <w:t xml:space="preserve">Amplification </w:t>
            </w:r>
          </w:p>
          <w:p w14:paraId="0F715125" w14:textId="54534EFF" w:rsidR="00123C34" w:rsidRPr="00387B87" w:rsidRDefault="00123C34" w:rsidP="00514E51">
            <w:pPr>
              <w:rPr>
                <w:b/>
                <w:sz w:val="18"/>
                <w:szCs w:val="18"/>
              </w:rPr>
            </w:pPr>
            <w:r w:rsidRPr="00387B87">
              <w:rPr>
                <w:b/>
                <w:sz w:val="18"/>
                <w:szCs w:val="18"/>
              </w:rPr>
              <w:t>processes</w:t>
            </w:r>
          </w:p>
        </w:tc>
        <w:tc>
          <w:tcPr>
            <w:tcW w:w="10716" w:type="dxa"/>
            <w:gridSpan w:val="6"/>
            <w:tcBorders>
              <w:top w:val="single" w:sz="4" w:space="0" w:color="auto"/>
              <w:bottom w:val="single" w:sz="4" w:space="0" w:color="auto"/>
            </w:tcBorders>
            <w:shd w:val="clear" w:color="auto" w:fill="auto"/>
          </w:tcPr>
          <w:p w14:paraId="0942A9D3" w14:textId="55EFBE1C" w:rsidR="00123C34" w:rsidRPr="00387B87" w:rsidRDefault="00123C34" w:rsidP="00AE4EC7">
            <w:pPr>
              <w:jc w:val="center"/>
              <w:rPr>
                <w:b/>
                <w:sz w:val="18"/>
                <w:szCs w:val="18"/>
              </w:rPr>
            </w:pPr>
            <w:r w:rsidRPr="00387B87">
              <w:rPr>
                <w:b/>
                <w:sz w:val="18"/>
                <w:szCs w:val="18"/>
              </w:rPr>
              <w:t xml:space="preserve">Amplification </w:t>
            </w:r>
            <w:r w:rsidR="00AE4EC7">
              <w:rPr>
                <w:b/>
                <w:sz w:val="18"/>
                <w:szCs w:val="18"/>
              </w:rPr>
              <w:t xml:space="preserve">frameworks </w:t>
            </w:r>
            <w:r>
              <w:rPr>
                <w:b/>
                <w:sz w:val="18"/>
                <w:szCs w:val="18"/>
              </w:rPr>
              <w:t>and their processes</w:t>
            </w:r>
          </w:p>
        </w:tc>
      </w:tr>
      <w:tr w:rsidR="00123C34" w:rsidRPr="00387B87" w14:paraId="673C1C43" w14:textId="77777777" w:rsidTr="00514E51">
        <w:trPr>
          <w:trHeight w:val="408"/>
        </w:trPr>
        <w:tc>
          <w:tcPr>
            <w:tcW w:w="1786" w:type="dxa"/>
            <w:tcBorders>
              <w:top w:val="nil"/>
              <w:bottom w:val="single" w:sz="4" w:space="0" w:color="auto"/>
            </w:tcBorders>
            <w:shd w:val="clear" w:color="auto" w:fill="auto"/>
          </w:tcPr>
          <w:p w14:paraId="1FBB7273" w14:textId="77777777" w:rsidR="00123C34" w:rsidRPr="00387B87" w:rsidRDefault="00123C34" w:rsidP="00514E51">
            <w:pPr>
              <w:rPr>
                <w:sz w:val="18"/>
                <w:szCs w:val="18"/>
              </w:rPr>
            </w:pPr>
          </w:p>
        </w:tc>
        <w:tc>
          <w:tcPr>
            <w:tcW w:w="1786" w:type="dxa"/>
            <w:tcBorders>
              <w:top w:val="single" w:sz="4" w:space="0" w:color="auto"/>
              <w:bottom w:val="single" w:sz="4" w:space="0" w:color="auto"/>
            </w:tcBorders>
            <w:shd w:val="clear" w:color="auto" w:fill="auto"/>
          </w:tcPr>
          <w:p w14:paraId="75226982" w14:textId="77777777" w:rsidR="00123C34" w:rsidRPr="00387B87" w:rsidRDefault="00123C34" w:rsidP="00514E51">
            <w:pPr>
              <w:jc w:val="center"/>
              <w:rPr>
                <w:b/>
                <w:sz w:val="18"/>
                <w:szCs w:val="18"/>
              </w:rPr>
            </w:pPr>
            <w:r w:rsidRPr="00387B87">
              <w:rPr>
                <w:b/>
                <w:sz w:val="18"/>
                <w:szCs w:val="18"/>
              </w:rPr>
              <w:t>Strategies for social innovation</w:t>
            </w:r>
          </w:p>
        </w:tc>
        <w:tc>
          <w:tcPr>
            <w:tcW w:w="1786" w:type="dxa"/>
            <w:tcBorders>
              <w:top w:val="single" w:sz="4" w:space="0" w:color="auto"/>
              <w:bottom w:val="single" w:sz="4" w:space="0" w:color="auto"/>
            </w:tcBorders>
            <w:shd w:val="clear" w:color="auto" w:fill="auto"/>
          </w:tcPr>
          <w:p w14:paraId="4436A839" w14:textId="77777777" w:rsidR="00123C34" w:rsidRPr="00387B87" w:rsidRDefault="00123C34" w:rsidP="00514E51">
            <w:pPr>
              <w:jc w:val="center"/>
              <w:rPr>
                <w:b/>
                <w:sz w:val="18"/>
                <w:szCs w:val="18"/>
              </w:rPr>
            </w:pPr>
            <w:r w:rsidRPr="00387B87">
              <w:rPr>
                <w:b/>
                <w:sz w:val="18"/>
                <w:szCs w:val="18"/>
              </w:rPr>
              <w:t>Seeds of good Anthropocene</w:t>
            </w:r>
          </w:p>
        </w:tc>
        <w:tc>
          <w:tcPr>
            <w:tcW w:w="1786" w:type="dxa"/>
            <w:tcBorders>
              <w:top w:val="single" w:sz="4" w:space="0" w:color="auto"/>
              <w:bottom w:val="single" w:sz="4" w:space="0" w:color="auto"/>
            </w:tcBorders>
            <w:shd w:val="clear" w:color="auto" w:fill="auto"/>
          </w:tcPr>
          <w:p w14:paraId="7FE06041" w14:textId="77777777" w:rsidR="00123C34" w:rsidRPr="00387B87" w:rsidRDefault="00123C34" w:rsidP="00514E51">
            <w:pPr>
              <w:jc w:val="center"/>
              <w:rPr>
                <w:b/>
                <w:sz w:val="18"/>
                <w:szCs w:val="18"/>
              </w:rPr>
            </w:pPr>
            <w:r w:rsidRPr="00387B87">
              <w:rPr>
                <w:b/>
                <w:sz w:val="18"/>
                <w:szCs w:val="18"/>
              </w:rPr>
              <w:t>Scale dynamics</w:t>
            </w:r>
          </w:p>
        </w:tc>
        <w:tc>
          <w:tcPr>
            <w:tcW w:w="1786" w:type="dxa"/>
            <w:tcBorders>
              <w:top w:val="single" w:sz="4" w:space="0" w:color="auto"/>
              <w:bottom w:val="single" w:sz="4" w:space="0" w:color="auto"/>
            </w:tcBorders>
            <w:shd w:val="clear" w:color="auto" w:fill="auto"/>
          </w:tcPr>
          <w:p w14:paraId="5DD99DBD" w14:textId="77777777" w:rsidR="00123C34" w:rsidRPr="00387B87" w:rsidRDefault="00123C34" w:rsidP="00514E51">
            <w:pPr>
              <w:jc w:val="center"/>
              <w:rPr>
                <w:b/>
                <w:sz w:val="18"/>
                <w:szCs w:val="18"/>
              </w:rPr>
            </w:pPr>
            <w:r w:rsidRPr="00387B87">
              <w:rPr>
                <w:b/>
                <w:sz w:val="18"/>
                <w:szCs w:val="18"/>
              </w:rPr>
              <w:t>Acceleration mechanisms</w:t>
            </w:r>
          </w:p>
        </w:tc>
        <w:tc>
          <w:tcPr>
            <w:tcW w:w="1786" w:type="dxa"/>
            <w:tcBorders>
              <w:top w:val="single" w:sz="4" w:space="0" w:color="auto"/>
              <w:bottom w:val="single" w:sz="4" w:space="0" w:color="auto"/>
            </w:tcBorders>
            <w:shd w:val="clear" w:color="auto" w:fill="auto"/>
          </w:tcPr>
          <w:p w14:paraId="6675681E" w14:textId="77777777" w:rsidR="00561A4A" w:rsidRDefault="00123C34" w:rsidP="00514E51">
            <w:pPr>
              <w:jc w:val="center"/>
              <w:rPr>
                <w:b/>
                <w:sz w:val="18"/>
                <w:szCs w:val="18"/>
              </w:rPr>
            </w:pPr>
            <w:r w:rsidRPr="00387B87">
              <w:rPr>
                <w:b/>
                <w:sz w:val="18"/>
                <w:szCs w:val="18"/>
              </w:rPr>
              <w:t xml:space="preserve">Transition </w:t>
            </w:r>
          </w:p>
          <w:p w14:paraId="00854CE2" w14:textId="0E4ACBB4" w:rsidR="00123C34" w:rsidRPr="00387B87" w:rsidRDefault="00123C34" w:rsidP="00514E51">
            <w:pPr>
              <w:jc w:val="center"/>
              <w:rPr>
                <w:b/>
                <w:sz w:val="18"/>
                <w:szCs w:val="18"/>
              </w:rPr>
            </w:pPr>
            <w:r w:rsidRPr="00387B87">
              <w:rPr>
                <w:b/>
                <w:sz w:val="18"/>
                <w:szCs w:val="18"/>
              </w:rPr>
              <w:t>management</w:t>
            </w:r>
          </w:p>
        </w:tc>
        <w:tc>
          <w:tcPr>
            <w:tcW w:w="1786" w:type="dxa"/>
            <w:tcBorders>
              <w:top w:val="single" w:sz="4" w:space="0" w:color="auto"/>
              <w:bottom w:val="single" w:sz="4" w:space="0" w:color="auto"/>
            </w:tcBorders>
            <w:shd w:val="clear" w:color="auto" w:fill="auto"/>
          </w:tcPr>
          <w:p w14:paraId="14E318D3" w14:textId="77777777" w:rsidR="00123C34" w:rsidRPr="00387B87" w:rsidRDefault="00123C34" w:rsidP="00514E51">
            <w:pPr>
              <w:jc w:val="center"/>
              <w:rPr>
                <w:b/>
                <w:sz w:val="18"/>
                <w:szCs w:val="18"/>
              </w:rPr>
            </w:pPr>
            <w:r w:rsidRPr="00387B87">
              <w:rPr>
                <w:b/>
                <w:sz w:val="18"/>
                <w:szCs w:val="18"/>
              </w:rPr>
              <w:t>Strategic niche management</w:t>
            </w:r>
          </w:p>
        </w:tc>
      </w:tr>
      <w:tr w:rsidR="00123C34" w:rsidRPr="004126EE" w14:paraId="1404C59E" w14:textId="77777777" w:rsidTr="00514E51">
        <w:trPr>
          <w:trHeight w:val="408"/>
        </w:trPr>
        <w:tc>
          <w:tcPr>
            <w:tcW w:w="1786" w:type="dxa"/>
            <w:tcBorders>
              <w:top w:val="single" w:sz="4" w:space="0" w:color="auto"/>
            </w:tcBorders>
          </w:tcPr>
          <w:p w14:paraId="081511DE" w14:textId="77777777" w:rsidR="00123C34" w:rsidRPr="00B365DF" w:rsidRDefault="00123C34" w:rsidP="00514E51">
            <w:pPr>
              <w:rPr>
                <w:b/>
                <w:sz w:val="18"/>
                <w:szCs w:val="18"/>
              </w:rPr>
            </w:pPr>
            <w:r w:rsidRPr="00B365DF">
              <w:rPr>
                <w:b/>
                <w:sz w:val="18"/>
                <w:szCs w:val="18"/>
              </w:rPr>
              <w:t>Stabilizing</w:t>
            </w:r>
          </w:p>
        </w:tc>
        <w:tc>
          <w:tcPr>
            <w:tcW w:w="1786" w:type="dxa"/>
            <w:tcBorders>
              <w:top w:val="single" w:sz="4" w:space="0" w:color="auto"/>
            </w:tcBorders>
          </w:tcPr>
          <w:p w14:paraId="2B5B3370" w14:textId="77777777" w:rsidR="00123C34" w:rsidRPr="004126EE" w:rsidRDefault="00123C34" w:rsidP="004126EE">
            <w:pPr>
              <w:jc w:val="center"/>
              <w:rPr>
                <w:sz w:val="18"/>
                <w:szCs w:val="18"/>
              </w:rPr>
            </w:pPr>
          </w:p>
        </w:tc>
        <w:tc>
          <w:tcPr>
            <w:tcW w:w="1786" w:type="dxa"/>
            <w:tcBorders>
              <w:top w:val="single" w:sz="4" w:space="0" w:color="auto"/>
            </w:tcBorders>
          </w:tcPr>
          <w:p w14:paraId="71C7B72F" w14:textId="4C003E87" w:rsidR="004126EE" w:rsidRPr="004126EE" w:rsidRDefault="00B23E97" w:rsidP="004126EE">
            <w:pPr>
              <w:jc w:val="center"/>
              <w:rPr>
                <w:i/>
                <w:sz w:val="18"/>
                <w:szCs w:val="18"/>
              </w:rPr>
            </w:pPr>
            <w:r w:rsidRPr="004126EE">
              <w:rPr>
                <w:b/>
                <w:i/>
                <w:sz w:val="18"/>
                <w:szCs w:val="18"/>
              </w:rPr>
              <w:t>Scale up</w:t>
            </w:r>
            <w:r w:rsidRPr="004126EE">
              <w:rPr>
                <w:i/>
                <w:sz w:val="18"/>
                <w:szCs w:val="18"/>
              </w:rPr>
              <w:t>:</w:t>
            </w:r>
          </w:p>
          <w:p w14:paraId="64D11598" w14:textId="47B1243B" w:rsidR="00123C34" w:rsidRPr="004126EE" w:rsidRDefault="00B23E97" w:rsidP="004126EE">
            <w:pPr>
              <w:jc w:val="center"/>
              <w:rPr>
                <w:i/>
                <w:sz w:val="18"/>
                <w:szCs w:val="18"/>
              </w:rPr>
            </w:pPr>
            <w:r w:rsidRPr="004126EE">
              <w:rPr>
                <w:i/>
                <w:sz w:val="18"/>
                <w:szCs w:val="18"/>
              </w:rPr>
              <w:t>“[G]row to involve more people and places” (www.goodanthropocenes.net)</w:t>
            </w:r>
          </w:p>
        </w:tc>
        <w:tc>
          <w:tcPr>
            <w:tcW w:w="1786" w:type="dxa"/>
            <w:tcBorders>
              <w:top w:val="single" w:sz="4" w:space="0" w:color="auto"/>
            </w:tcBorders>
          </w:tcPr>
          <w:p w14:paraId="4436541E" w14:textId="5C891226" w:rsidR="00123C34" w:rsidRPr="004126EE" w:rsidRDefault="00123C34" w:rsidP="004126EE">
            <w:pPr>
              <w:jc w:val="center"/>
              <w:rPr>
                <w:sz w:val="18"/>
                <w:szCs w:val="18"/>
              </w:rPr>
            </w:pPr>
          </w:p>
        </w:tc>
        <w:tc>
          <w:tcPr>
            <w:tcW w:w="1786" w:type="dxa"/>
            <w:tcBorders>
              <w:top w:val="single" w:sz="4" w:space="0" w:color="auto"/>
            </w:tcBorders>
          </w:tcPr>
          <w:p w14:paraId="59954FC3" w14:textId="406B9C02" w:rsidR="004126EE" w:rsidRPr="004126EE" w:rsidRDefault="00123C34" w:rsidP="004126EE">
            <w:pPr>
              <w:jc w:val="center"/>
              <w:rPr>
                <w:sz w:val="18"/>
                <w:szCs w:val="18"/>
              </w:rPr>
            </w:pPr>
            <w:r w:rsidRPr="004126EE">
              <w:rPr>
                <w:b/>
                <w:sz w:val="18"/>
                <w:szCs w:val="18"/>
              </w:rPr>
              <w:t>Upscaling</w:t>
            </w:r>
            <w:r w:rsidR="00DE3596" w:rsidRPr="004126EE">
              <w:rPr>
                <w:sz w:val="18"/>
                <w:szCs w:val="18"/>
              </w:rPr>
              <w:t>:</w:t>
            </w:r>
          </w:p>
          <w:p w14:paraId="1A8136F8" w14:textId="416070DB" w:rsidR="00123C34" w:rsidRDefault="00DE3596" w:rsidP="004126EE">
            <w:pPr>
              <w:jc w:val="center"/>
              <w:rPr>
                <w:sz w:val="18"/>
                <w:szCs w:val="18"/>
              </w:rPr>
            </w:pPr>
            <w:r w:rsidRPr="004126EE">
              <w:rPr>
                <w:sz w:val="18"/>
                <w:szCs w:val="18"/>
              </w:rPr>
              <w:t xml:space="preserve">Increase the number of “members, supporters or users of a single transition initiative in order to spread these new ways of [thinking, doing and organizing].” </w:t>
            </w:r>
            <w:r w:rsidRPr="004126EE">
              <w:rPr>
                <w:sz w:val="18"/>
                <w:szCs w:val="18"/>
              </w:rPr>
              <w:fldChar w:fldCharType="begin" w:fldLock="1"/>
            </w:r>
            <w:r w:rsidR="00733B3E">
              <w:rPr>
                <w:sz w:val="18"/>
                <w:szCs w:val="18"/>
              </w:rPr>
              <w:instrText>ADDIN CSL_CITATION {"citationItems":[{"id":"ITEM-1","itemData":{"DOI":"10.1016/j.jclepro.2016.12.052","ISSN":"09596526","abstract":"a b s t r a c t In recent years, multiple transformative initiatives have been set up in cities across the world to kick-start transitions of urban systems towards sustainability. Yet to what extent do these initiatives influence sys-temic change or accelerate sustainability transitions? We apply an analytical framework, conceptualizing five mechanisms representing acceleration dynamics of sustainability transitions e replicating, partnering, upscaling, instrumentalising and embedding e to examine transition dynamics in the Belgian City of Genk. The focal unit of analysis are the innovative activities and related actor-networks from the city region, defined as 'transition initiatives', situated within the local governance context. We selected 10 local tran-sition initiatives with a clear focus on environmental sustainability and set out to understand their origins and identify conditions and mechanisms for accelerating sustainable low-carbon transitions. Our findings show that all five mechanisms of acceleration are occurring in Genk at the moment and that the local governance context is favourable for accelerating transition dynamics to sustainability, mostly because it promotes diffusion, partnering and embedding processes. For instance, one initiative that proved to be a hotspot for partnering is the Heempark, a Public-Civic Partnership in which volunteers and the government collaborate in a mutually beneficial way. Our findings provide early indications of mounting changes, increasing reflexivity and coordination from governance actors and diffusion, embedding and routinisation of more sustainable ways of thinking, doing and organising in the wider public. These acceleration dy-namics are most apparent in the food, nature, resource and education domain in Genk and are mostly fuelled via multi-actor collaborations. On an aggregate level, these observations suggest that socio-cultural, economic, ecological and institutional changes are accumulating. We therefore conclude that early but fragile acceleration dynamics are unfolding in Genk. Our findings are relevant to deepen the understanding of transition scholars on the acceleration dynamics of urban sustainability transitions and may be of particular interest for practitioners on the field.","author":[{"dropping-particle":"","family":"Gorissen","given":"Leen","non-dropping-particle":"","parse-names":false,"suffix":""},{"dropping-particle":"","family":"Spira","given":"Felix","non-dropping-particle":"","parse-names":false,"suffix":""},{"dropping-particle":"","family":"Meynaerts","given":"Erika","non-dropping-particle":"","parse-names":false,"suffix":""},{"dropping-particle":"","family":"Valkering","given":"Pieter","non-dropping-particle":"","parse-names":false,"suffix":""},{"dropping-particle":"","family":"Frantzeskaki","given":"Niki","non-dropping-particle":"","parse-names":false,"suffix":""}],"container-title":"Journal of Cleaner Production","id":"ITEM-1","issued":{"date-parts":[["2018","2"]]},"page":"171-185","title":"Moving towards systemic change? Investigating acceleration dynamics of urban sustainability transitions in the Belgian City of Genk","type":"article-journal","volume":"173"},"suffix":", p. 173","uris":["http://www.mendeley.com/documents/?uuid=fd6ec00b-8a31-3c69-aec7-22eea59471c3"]}],"mendeley":{"formattedCitation":"(Gorissen et al. 2018, p. 173)","plainTextFormattedCitation":"(Gorissen et al. 2018, p. 173)","previouslyFormattedCitation":"(Gorissen et al. 2018, p. 173)"},"properties":{"noteIndex":0},"schema":"https://github.com/citation-style-language/schema/raw/master/csl-citation.json"}</w:instrText>
            </w:r>
            <w:r w:rsidRPr="004126EE">
              <w:rPr>
                <w:sz w:val="18"/>
                <w:szCs w:val="18"/>
              </w:rPr>
              <w:fldChar w:fldCharType="separate"/>
            </w:r>
            <w:r w:rsidR="00C1356C" w:rsidRPr="00C1356C">
              <w:rPr>
                <w:noProof/>
                <w:sz w:val="18"/>
                <w:szCs w:val="18"/>
              </w:rPr>
              <w:t>(Gorissen et al. 2018, p. 173)</w:t>
            </w:r>
            <w:r w:rsidRPr="004126EE">
              <w:rPr>
                <w:sz w:val="18"/>
                <w:szCs w:val="18"/>
              </w:rPr>
              <w:fldChar w:fldCharType="end"/>
            </w:r>
            <w:r w:rsidRPr="004126EE">
              <w:rPr>
                <w:sz w:val="18"/>
                <w:szCs w:val="18"/>
              </w:rPr>
              <w:t>.</w:t>
            </w:r>
          </w:p>
          <w:p w14:paraId="7345CBF3" w14:textId="27B30987" w:rsidR="00C1356C" w:rsidRPr="004126EE" w:rsidRDefault="00C1356C" w:rsidP="004126EE">
            <w:pPr>
              <w:jc w:val="center"/>
              <w:rPr>
                <w:sz w:val="18"/>
                <w:szCs w:val="18"/>
              </w:rPr>
            </w:pPr>
          </w:p>
        </w:tc>
        <w:tc>
          <w:tcPr>
            <w:tcW w:w="1786" w:type="dxa"/>
            <w:tcBorders>
              <w:top w:val="single" w:sz="4" w:space="0" w:color="auto"/>
            </w:tcBorders>
          </w:tcPr>
          <w:p w14:paraId="57AE2D4D" w14:textId="77777777" w:rsidR="00123C34" w:rsidRPr="004126EE" w:rsidRDefault="00123C34" w:rsidP="004126EE">
            <w:pPr>
              <w:jc w:val="center"/>
              <w:rPr>
                <w:sz w:val="18"/>
                <w:szCs w:val="18"/>
              </w:rPr>
            </w:pPr>
          </w:p>
        </w:tc>
        <w:tc>
          <w:tcPr>
            <w:tcW w:w="1786" w:type="dxa"/>
            <w:tcBorders>
              <w:top w:val="single" w:sz="4" w:space="0" w:color="auto"/>
            </w:tcBorders>
          </w:tcPr>
          <w:p w14:paraId="73678FFC" w14:textId="7B4CBFD5" w:rsidR="004126EE" w:rsidRPr="004126EE" w:rsidRDefault="00123C34" w:rsidP="004126EE">
            <w:pPr>
              <w:jc w:val="center"/>
              <w:rPr>
                <w:sz w:val="18"/>
                <w:szCs w:val="18"/>
              </w:rPr>
            </w:pPr>
            <w:r w:rsidRPr="004126EE">
              <w:rPr>
                <w:b/>
                <w:sz w:val="18"/>
                <w:szCs w:val="18"/>
              </w:rPr>
              <w:t>Growing</w:t>
            </w:r>
            <w:r w:rsidR="00A1480E" w:rsidRPr="004126EE">
              <w:rPr>
                <w:sz w:val="18"/>
                <w:szCs w:val="18"/>
              </w:rPr>
              <w:t>:</w:t>
            </w:r>
          </w:p>
          <w:p w14:paraId="500CBEE9" w14:textId="1C9627A3" w:rsidR="00123C34" w:rsidRPr="004126EE" w:rsidRDefault="00A1480E" w:rsidP="004126EE">
            <w:pPr>
              <w:jc w:val="center"/>
              <w:rPr>
                <w:sz w:val="18"/>
                <w:szCs w:val="18"/>
              </w:rPr>
            </w:pPr>
            <w:r w:rsidRPr="004126EE">
              <w:rPr>
                <w:sz w:val="18"/>
                <w:szCs w:val="18"/>
              </w:rPr>
              <w:t xml:space="preserve">Continuation of experiment “and more actors participate” </w:t>
            </w:r>
            <w:r w:rsidRPr="004126EE">
              <w:rPr>
                <w:sz w:val="18"/>
                <w:szCs w:val="18"/>
              </w:rPr>
              <w:fldChar w:fldCharType="begin" w:fldLock="1"/>
            </w:r>
            <w:r w:rsidR="00C1356C">
              <w:rPr>
                <w:sz w:val="18"/>
                <w:szCs w:val="18"/>
              </w:rPr>
              <w:instrText>ADDIN CSL_CITATION {"citationItems":[{"id":"ITEM-1","itemData":{"DOI":"10.1016/j.enpol.2017.07.056","ISSN":"03014215","abstract":"Current electricity grids do not fit the needs and challenges of the 21st century, such as the need to transition to renewable energy sources and the variability in power supply concomitant with such energy sources. In this context, smart electricity grids have been proposed as a solution. A large number of pilots and experiments have been set up, but a key challenge remains how to upscale them. Upscaling is critically important to enable a wide-scale integration of renewable energy sources. This paper mobilises literature on the strategic management of experimental niches to explore the upscaling of smart grids in the Netherlands. On the basis of existing literature, a typology of four different patterns of upscaling is proposed: growing, replication, accumulation, and transformation. The relevance of this typology to understanding upscaling of smart grids is explored in a comparative qualitative case study design. On this basis we argue that the building of broad and deep social networks is important for growing and replication; articulating and sharing expectations is important for replication; and broad and reflexive learning processes are critical to transformation and replication. The paper concludes by arguing that these findings can provide important guidelines for future energy innovation policies.","author":[{"dropping-particle":"","family":"Naber","given":"Rolf","non-dropping-particle":"","parse-names":false,"suffix":""},{"dropping-particle":"","family":"Raven","given":"Rob","non-dropping-particle":"","parse-names":false,"suffix":""},{"dropping-particle":"","family":"Kouw","given":"Matthijs","non-dropping-particle":"","parse-names":false,"suffix":""},{"dropping-particle":"","family":"Dassen","given":"Ton","non-dropping-particle":"","parse-names":false,"suffix":""}],"container-title":"Energy Policy","id":"ITEM-1","issued":{"date-parts":[["2017","11"]]},"page":"342-354","title":"Scaling up sustainable energy innovations","type":"article-journal","volume":"110"},"suffix":", p. 344","uris":["http://www.mendeley.com/documents/?uuid=ed3b2e77-ae1d-3281-9c76-ea96b3e0b126"]}],"mendeley":{"formattedCitation":"(Naber et al. 2017, p. 344)","plainTextFormattedCitation":"(Naber et al. 2017, p. 344)","previouslyFormattedCitation":"(Naber et al. 2017, p. 344)"},"properties":{"noteIndex":0},"schema":"https://github.com/citation-style-language/schema/raw/master/csl-citation.json"}</w:instrText>
            </w:r>
            <w:r w:rsidRPr="004126EE">
              <w:rPr>
                <w:sz w:val="18"/>
                <w:szCs w:val="18"/>
              </w:rPr>
              <w:fldChar w:fldCharType="separate"/>
            </w:r>
            <w:r w:rsidR="004E0A16" w:rsidRPr="004E0A16">
              <w:rPr>
                <w:noProof/>
                <w:sz w:val="18"/>
                <w:szCs w:val="18"/>
              </w:rPr>
              <w:t>(Naber et al. 2017, p. 344)</w:t>
            </w:r>
            <w:r w:rsidRPr="004126EE">
              <w:rPr>
                <w:sz w:val="18"/>
                <w:szCs w:val="18"/>
              </w:rPr>
              <w:fldChar w:fldCharType="end"/>
            </w:r>
          </w:p>
        </w:tc>
      </w:tr>
      <w:tr w:rsidR="00123C34" w:rsidRPr="004126EE" w14:paraId="496C638D" w14:textId="77777777" w:rsidTr="00514E51">
        <w:trPr>
          <w:trHeight w:val="408"/>
        </w:trPr>
        <w:tc>
          <w:tcPr>
            <w:tcW w:w="1786" w:type="dxa"/>
          </w:tcPr>
          <w:p w14:paraId="161DF121" w14:textId="77777777" w:rsidR="00123C34" w:rsidRPr="00B365DF" w:rsidRDefault="00123C34" w:rsidP="00514E51">
            <w:pPr>
              <w:rPr>
                <w:b/>
                <w:sz w:val="18"/>
                <w:szCs w:val="18"/>
              </w:rPr>
            </w:pPr>
            <w:r w:rsidRPr="00B365DF">
              <w:rPr>
                <w:b/>
                <w:sz w:val="18"/>
                <w:szCs w:val="18"/>
              </w:rPr>
              <w:t>Speeding up</w:t>
            </w:r>
          </w:p>
        </w:tc>
        <w:tc>
          <w:tcPr>
            <w:tcW w:w="1786" w:type="dxa"/>
          </w:tcPr>
          <w:p w14:paraId="15B83158" w14:textId="77777777" w:rsidR="00123C34" w:rsidRPr="004126EE" w:rsidRDefault="00123C34" w:rsidP="004126EE">
            <w:pPr>
              <w:jc w:val="center"/>
              <w:rPr>
                <w:sz w:val="18"/>
                <w:szCs w:val="18"/>
              </w:rPr>
            </w:pPr>
          </w:p>
        </w:tc>
        <w:tc>
          <w:tcPr>
            <w:tcW w:w="1786" w:type="dxa"/>
          </w:tcPr>
          <w:p w14:paraId="5649B2D7" w14:textId="77777777" w:rsidR="00123C34" w:rsidRPr="004126EE" w:rsidRDefault="00123C34" w:rsidP="004126EE">
            <w:pPr>
              <w:jc w:val="center"/>
              <w:rPr>
                <w:sz w:val="18"/>
                <w:szCs w:val="18"/>
                <w:highlight w:val="yellow"/>
              </w:rPr>
            </w:pPr>
          </w:p>
        </w:tc>
        <w:tc>
          <w:tcPr>
            <w:tcW w:w="1786" w:type="dxa"/>
          </w:tcPr>
          <w:p w14:paraId="645ED2F2" w14:textId="77777777" w:rsidR="00123C34" w:rsidRPr="004126EE" w:rsidRDefault="00123C34" w:rsidP="004126EE">
            <w:pPr>
              <w:jc w:val="center"/>
              <w:rPr>
                <w:sz w:val="18"/>
                <w:szCs w:val="18"/>
              </w:rPr>
            </w:pPr>
          </w:p>
        </w:tc>
        <w:tc>
          <w:tcPr>
            <w:tcW w:w="1786" w:type="dxa"/>
          </w:tcPr>
          <w:p w14:paraId="24CF7CE3" w14:textId="77777777" w:rsidR="00123C34" w:rsidRPr="00575D9B" w:rsidRDefault="00123C34" w:rsidP="004126EE">
            <w:pPr>
              <w:jc w:val="center"/>
              <w:rPr>
                <w:i/>
                <w:sz w:val="18"/>
                <w:szCs w:val="18"/>
              </w:rPr>
            </w:pPr>
            <w:r w:rsidRPr="00575D9B">
              <w:rPr>
                <w:i/>
                <w:sz w:val="18"/>
                <w:szCs w:val="18"/>
              </w:rPr>
              <w:t>*all processes</w:t>
            </w:r>
          </w:p>
        </w:tc>
        <w:tc>
          <w:tcPr>
            <w:tcW w:w="1786" w:type="dxa"/>
          </w:tcPr>
          <w:p w14:paraId="46F6C451" w14:textId="77777777" w:rsidR="00123C34" w:rsidRPr="004126EE" w:rsidRDefault="00123C34" w:rsidP="004126EE">
            <w:pPr>
              <w:jc w:val="center"/>
              <w:rPr>
                <w:sz w:val="18"/>
                <w:szCs w:val="18"/>
              </w:rPr>
            </w:pPr>
          </w:p>
        </w:tc>
        <w:tc>
          <w:tcPr>
            <w:tcW w:w="1786" w:type="dxa"/>
          </w:tcPr>
          <w:p w14:paraId="03D62594" w14:textId="77777777" w:rsidR="00123C34" w:rsidRPr="004126EE" w:rsidRDefault="00123C34" w:rsidP="004126EE">
            <w:pPr>
              <w:jc w:val="center"/>
              <w:rPr>
                <w:sz w:val="18"/>
                <w:szCs w:val="18"/>
              </w:rPr>
            </w:pPr>
          </w:p>
        </w:tc>
      </w:tr>
      <w:tr w:rsidR="00123C34" w:rsidRPr="004126EE" w14:paraId="15F028B8" w14:textId="77777777" w:rsidTr="00514E51">
        <w:trPr>
          <w:trHeight w:val="408"/>
        </w:trPr>
        <w:tc>
          <w:tcPr>
            <w:tcW w:w="1786" w:type="dxa"/>
          </w:tcPr>
          <w:p w14:paraId="5E33E852" w14:textId="77777777" w:rsidR="00123C34" w:rsidRPr="00B365DF" w:rsidRDefault="00123C34" w:rsidP="00514E51">
            <w:pPr>
              <w:rPr>
                <w:b/>
                <w:sz w:val="18"/>
                <w:szCs w:val="18"/>
              </w:rPr>
            </w:pPr>
            <w:r w:rsidRPr="00B365DF">
              <w:rPr>
                <w:b/>
                <w:sz w:val="18"/>
                <w:szCs w:val="18"/>
              </w:rPr>
              <w:t>Growing</w:t>
            </w:r>
          </w:p>
        </w:tc>
        <w:tc>
          <w:tcPr>
            <w:tcW w:w="1786" w:type="dxa"/>
          </w:tcPr>
          <w:p w14:paraId="0864724D" w14:textId="50EBB66E" w:rsidR="00123C34" w:rsidRPr="004126EE" w:rsidRDefault="00123C34" w:rsidP="004126EE">
            <w:pPr>
              <w:jc w:val="center"/>
              <w:rPr>
                <w:sz w:val="18"/>
                <w:szCs w:val="18"/>
              </w:rPr>
            </w:pPr>
          </w:p>
        </w:tc>
        <w:tc>
          <w:tcPr>
            <w:tcW w:w="1786" w:type="dxa"/>
          </w:tcPr>
          <w:p w14:paraId="55D3F516" w14:textId="4A6836AE" w:rsidR="004126EE" w:rsidRPr="004126EE" w:rsidRDefault="00123C34" w:rsidP="004126EE">
            <w:pPr>
              <w:jc w:val="center"/>
              <w:rPr>
                <w:sz w:val="18"/>
                <w:szCs w:val="18"/>
              </w:rPr>
            </w:pPr>
            <w:r w:rsidRPr="004126EE">
              <w:rPr>
                <w:b/>
                <w:sz w:val="18"/>
                <w:szCs w:val="18"/>
              </w:rPr>
              <w:t>Scale up</w:t>
            </w:r>
            <w:r w:rsidR="00B23E97" w:rsidRPr="004126EE">
              <w:rPr>
                <w:sz w:val="18"/>
                <w:szCs w:val="18"/>
              </w:rPr>
              <w:t>:</w:t>
            </w:r>
          </w:p>
          <w:p w14:paraId="1081A5A7" w14:textId="0AD9851A" w:rsidR="00123C34" w:rsidRPr="004126EE" w:rsidRDefault="00B23E97" w:rsidP="004126EE">
            <w:pPr>
              <w:jc w:val="center"/>
              <w:rPr>
                <w:sz w:val="18"/>
                <w:szCs w:val="18"/>
                <w:highlight w:val="yellow"/>
              </w:rPr>
            </w:pPr>
            <w:r w:rsidRPr="004126EE">
              <w:rPr>
                <w:sz w:val="18"/>
                <w:szCs w:val="18"/>
              </w:rPr>
              <w:t xml:space="preserve">“[G]row to involve more people and places” </w:t>
            </w:r>
            <w:r w:rsidRPr="004126EE">
              <w:rPr>
                <w:sz w:val="18"/>
                <w:szCs w:val="18"/>
              </w:rPr>
              <w:lastRenderedPageBreak/>
              <w:t>(www.goodanthropocenes.net)</w:t>
            </w:r>
          </w:p>
        </w:tc>
        <w:tc>
          <w:tcPr>
            <w:tcW w:w="1786" w:type="dxa"/>
          </w:tcPr>
          <w:p w14:paraId="430C80E2" w14:textId="1B06850F" w:rsidR="004126EE" w:rsidRPr="004126EE" w:rsidRDefault="0089572C" w:rsidP="004126EE">
            <w:pPr>
              <w:jc w:val="center"/>
              <w:rPr>
                <w:i/>
                <w:sz w:val="18"/>
                <w:szCs w:val="18"/>
              </w:rPr>
            </w:pPr>
            <w:proofErr w:type="spellStart"/>
            <w:r w:rsidRPr="004126EE">
              <w:rPr>
                <w:b/>
                <w:i/>
                <w:sz w:val="18"/>
                <w:szCs w:val="18"/>
              </w:rPr>
              <w:lastRenderedPageBreak/>
              <w:t>Outscaling</w:t>
            </w:r>
            <w:proofErr w:type="spellEnd"/>
            <w:r w:rsidRPr="004126EE">
              <w:rPr>
                <w:i/>
                <w:sz w:val="18"/>
                <w:szCs w:val="18"/>
              </w:rPr>
              <w:t>:</w:t>
            </w:r>
          </w:p>
          <w:p w14:paraId="58BCBB8D" w14:textId="64CC34F1" w:rsidR="00123C34" w:rsidRPr="004126EE" w:rsidRDefault="0089572C" w:rsidP="004126EE">
            <w:pPr>
              <w:jc w:val="center"/>
              <w:rPr>
                <w:i/>
                <w:sz w:val="18"/>
                <w:szCs w:val="18"/>
              </w:rPr>
            </w:pPr>
            <w:r w:rsidRPr="004126EE">
              <w:rPr>
                <w:i/>
                <w:sz w:val="18"/>
                <w:szCs w:val="18"/>
              </w:rPr>
              <w:t>“[R]</w:t>
            </w:r>
            <w:proofErr w:type="spellStart"/>
            <w:r w:rsidRPr="004126EE">
              <w:rPr>
                <w:i/>
                <w:sz w:val="18"/>
                <w:szCs w:val="18"/>
              </w:rPr>
              <w:t>eplicate</w:t>
            </w:r>
            <w:proofErr w:type="spellEnd"/>
            <w:r w:rsidRPr="004126EE">
              <w:rPr>
                <w:i/>
                <w:sz w:val="18"/>
                <w:szCs w:val="18"/>
              </w:rPr>
              <w:t xml:space="preserve"> and disseminate programs, products, </w:t>
            </w:r>
            <w:r w:rsidRPr="004126EE">
              <w:rPr>
                <w:i/>
                <w:sz w:val="18"/>
                <w:szCs w:val="18"/>
              </w:rPr>
              <w:lastRenderedPageBreak/>
              <w:t xml:space="preserve">ideas or innovative approaches in order to affect more people or to cover a larger geographical area” </w:t>
            </w:r>
            <w:r w:rsidRPr="004126EE">
              <w:rPr>
                <w:i/>
                <w:sz w:val="18"/>
                <w:szCs w:val="18"/>
              </w:rPr>
              <w:fldChar w:fldCharType="begin" w:fldLock="1"/>
            </w:r>
            <w:r w:rsidR="00C1356C">
              <w:rPr>
                <w:i/>
                <w:sz w:val="18"/>
                <w:szCs w:val="18"/>
              </w:rPr>
              <w:instrText>ADDIN CSL_CITATION {"citationItems":[{"id":"ITEM-1","itemData":{"DOI":"10.1016/j.ecolecon.2016.07.011","ISSN":"09218009","abstract":"An important issue for the study of grassroots innovations and the geography of sustainability transitions is how scales affect transformative change. In this paper we will address the questions of 1) how grassroots innovations for sustainable agriculture are scaled and 2) the consequences of crossing different scales and levels on the characteristics of the grassroots innovation. We propose a framework of five different scales to analyze the development of grassroots innovations and we apply this framework on the long-term development of an agricultural grassroots innovation movement that pioneered innovative dairy farming practices combined with landscape management. The results show how the initial innovation coalition built around low external input farming became fragmented. Each of the resulting new grassroots innovation coalitions used different strategies for upscaling and outscaling that depended on differences in their (regional) contexts and institutional support. The grassroots innovation thus developed along three parallel, at times intersecting, innovation pathways. The distributed agency of multiple actor groups working in parallel leads to a continuous renegotiating of meaning that poses a challenge to the idea of planned processes of outscaling and upscaling of grassroots innovations.","author":[{"dropping-particle":"","family":"Hermans","given":"Frans","non-dropping-particle":"","parse-names":false,"suffix":""},{"dropping-particle":"","family":"Roep","given":"Dirk","non-dropping-particle":"","parse-names":false,"suffix":""},{"dropping-particle":"","family":"Klerkx","given":"Laurens","non-dropping-particle":"","parse-names":false,"suffix":""}],"container-title":"Ecological Economics","id":"ITEM-1","issued":{"date-parts":[["2016"]]},"page":"285-295","publisher":"Elsevier B.V.","title":"Scale dynamics of grassroots innovations through parallel pathways of transformative change","type":"article-journal","volume":"130"},"suffix":", p. 287","uris":["http://www.mendeley.com/documents/?uuid=1ee57789-21bd-40e9-b898-3b1daf573061"]}],"mendeley":{"formattedCitation":"(Hermans et al. 2016, p. 287)","plainTextFormattedCitation":"(Hermans et al. 2016, p. 287)","previouslyFormattedCitation":"(Hermans et al. 2016, p. 287)"},"properties":{"noteIndex":0},"schema":"https://github.com/citation-style-language/schema/raw/master/csl-citation.json"}</w:instrText>
            </w:r>
            <w:r w:rsidRPr="004126EE">
              <w:rPr>
                <w:i/>
                <w:sz w:val="18"/>
                <w:szCs w:val="18"/>
              </w:rPr>
              <w:fldChar w:fldCharType="separate"/>
            </w:r>
            <w:r w:rsidR="004E0A16" w:rsidRPr="004E0A16">
              <w:rPr>
                <w:noProof/>
                <w:sz w:val="18"/>
                <w:szCs w:val="18"/>
              </w:rPr>
              <w:t>(Hermans et al. 2016, p. 287)</w:t>
            </w:r>
            <w:r w:rsidRPr="004126EE">
              <w:rPr>
                <w:i/>
                <w:sz w:val="18"/>
                <w:szCs w:val="18"/>
              </w:rPr>
              <w:fldChar w:fldCharType="end"/>
            </w:r>
            <w:r w:rsidRPr="004126EE">
              <w:rPr>
                <w:i/>
                <w:sz w:val="18"/>
                <w:szCs w:val="18"/>
              </w:rPr>
              <w:t>.</w:t>
            </w:r>
          </w:p>
        </w:tc>
        <w:tc>
          <w:tcPr>
            <w:tcW w:w="1786" w:type="dxa"/>
          </w:tcPr>
          <w:p w14:paraId="1204ABC1" w14:textId="642B4DBD" w:rsidR="004126EE" w:rsidRPr="004126EE" w:rsidRDefault="00DE3596" w:rsidP="004126EE">
            <w:pPr>
              <w:jc w:val="center"/>
              <w:rPr>
                <w:i/>
                <w:sz w:val="18"/>
                <w:szCs w:val="18"/>
              </w:rPr>
            </w:pPr>
            <w:r w:rsidRPr="004126EE">
              <w:rPr>
                <w:b/>
                <w:i/>
                <w:sz w:val="18"/>
                <w:szCs w:val="18"/>
              </w:rPr>
              <w:lastRenderedPageBreak/>
              <w:t>Upscaling</w:t>
            </w:r>
            <w:r w:rsidRPr="004126EE">
              <w:rPr>
                <w:i/>
                <w:sz w:val="18"/>
                <w:szCs w:val="18"/>
              </w:rPr>
              <w:t>:</w:t>
            </w:r>
          </w:p>
          <w:p w14:paraId="0E1C592F" w14:textId="6F16169F" w:rsidR="00123C34" w:rsidRDefault="00DE3596" w:rsidP="004126EE">
            <w:pPr>
              <w:jc w:val="center"/>
              <w:rPr>
                <w:sz w:val="18"/>
                <w:szCs w:val="18"/>
              </w:rPr>
            </w:pPr>
            <w:r w:rsidRPr="004126EE">
              <w:rPr>
                <w:i/>
                <w:sz w:val="18"/>
                <w:szCs w:val="18"/>
              </w:rPr>
              <w:t xml:space="preserve">Increase the number of “members, supporters or users </w:t>
            </w:r>
            <w:r w:rsidRPr="004126EE">
              <w:rPr>
                <w:i/>
                <w:sz w:val="18"/>
                <w:szCs w:val="18"/>
              </w:rPr>
              <w:lastRenderedPageBreak/>
              <w:t xml:space="preserve">of a single transition initiative in order to spread these new ways of [thinking, doing and organizing].” </w:t>
            </w:r>
            <w:r w:rsidRPr="004126EE">
              <w:rPr>
                <w:i/>
                <w:sz w:val="18"/>
                <w:szCs w:val="18"/>
              </w:rPr>
              <w:fldChar w:fldCharType="begin" w:fldLock="1"/>
            </w:r>
            <w:r w:rsidR="00733B3E">
              <w:rPr>
                <w:i/>
                <w:sz w:val="18"/>
                <w:szCs w:val="18"/>
              </w:rPr>
              <w:instrText>ADDIN CSL_CITATION {"citationItems":[{"id":"ITEM-1","itemData":{"DOI":"10.1016/j.jclepro.2016.12.052","ISSN":"09596526","abstract":"a b s t r a c t In recent years, multiple transformative initiatives have been set up in cities across the world to kick-start transitions of urban systems towards sustainability. Yet to what extent do these initiatives influence sys-temic change or accelerate sustainability transitions? We apply an analytical framework, conceptualizing five mechanisms representing acceleration dynamics of sustainability transitions e replicating, partnering, upscaling, instrumentalising and embedding e to examine transition dynamics in the Belgian City of Genk. The focal unit of analysis are the innovative activities and related actor-networks from the city region, defined as 'transition initiatives', situated within the local governance context. We selected 10 local tran-sition initiatives with a clear focus on environmental sustainability and set out to understand their origins and identify conditions and mechanisms for accelerating sustainable low-carbon transitions. Our findings show that all five mechanisms of acceleration are occurring in Genk at the moment and that the local governance context is favourable for accelerating transition dynamics to sustainability, mostly because it promotes diffusion, partnering and embedding processes. For instance, one initiative that proved to be a hotspot for partnering is the Heempark, a Public-Civic Partnership in which volunteers and the government collaborate in a mutually beneficial way. Our findings provide early indications of mounting changes, increasing reflexivity and coordination from governance actors and diffusion, embedding and routinisation of more sustainable ways of thinking, doing and organising in the wider public. These acceleration dy-namics are most apparent in the food, nature, resource and education domain in Genk and are mostly fuelled via multi-actor collaborations. On an aggregate level, these observations suggest that socio-cultural, economic, ecological and institutional changes are accumulating. We therefore conclude that early but fragile acceleration dynamics are unfolding in Genk. Our findings are relevant to deepen the understanding of transition scholars on the acceleration dynamics of urban sustainability transitions and may be of particular interest for practitioners on the field.","author":[{"dropping-particle":"","family":"Gorissen","given":"Leen","non-dropping-particle":"","parse-names":false,"suffix":""},{"dropping-particle":"","family":"Spira","given":"Felix","non-dropping-particle":"","parse-names":false,"suffix":""},{"dropping-particle":"","family":"Meynaerts","given":"Erika","non-dropping-particle":"","parse-names":false,"suffix":""},{"dropping-particle":"","family":"Valkering","given":"Pieter","non-dropping-particle":"","parse-names":false,"suffix":""},{"dropping-particle":"","family":"Frantzeskaki","given":"Niki","non-dropping-particle":"","parse-names":false,"suffix":""}],"container-title":"Journal of Cleaner Production","id":"ITEM-1","issued":{"date-parts":[["2018","2"]]},"page":"171-185","title":"Moving towards systemic change? Investigating acceleration dynamics of urban sustainability transitions in the Belgian City of Genk","type":"article-journal","volume":"173"},"suffix":", p. 173","uris":["http://www.mendeley.com/documents/?uuid=fd6ec00b-8a31-3c69-aec7-22eea59471c3"]}],"mendeley":{"formattedCitation":"(Gorissen et al. 2018, p. 173)","plainTextFormattedCitation":"(Gorissen et al. 2018, p. 173)","previouslyFormattedCitation":"(Gorissen et al. 2018, p. 173)"},"properties":{"noteIndex":0},"schema":"https://github.com/citation-style-language/schema/raw/master/csl-citation.json"}</w:instrText>
            </w:r>
            <w:r w:rsidRPr="004126EE">
              <w:rPr>
                <w:i/>
                <w:sz w:val="18"/>
                <w:szCs w:val="18"/>
              </w:rPr>
              <w:fldChar w:fldCharType="separate"/>
            </w:r>
            <w:r w:rsidR="00C1356C" w:rsidRPr="00C1356C">
              <w:rPr>
                <w:noProof/>
                <w:sz w:val="18"/>
                <w:szCs w:val="18"/>
              </w:rPr>
              <w:t>(Gorissen et al. 2018, p. 173)</w:t>
            </w:r>
            <w:r w:rsidRPr="004126EE">
              <w:rPr>
                <w:i/>
                <w:sz w:val="18"/>
                <w:szCs w:val="18"/>
              </w:rPr>
              <w:fldChar w:fldCharType="end"/>
            </w:r>
            <w:r w:rsidRPr="004126EE">
              <w:rPr>
                <w:sz w:val="18"/>
                <w:szCs w:val="18"/>
              </w:rPr>
              <w:t>.</w:t>
            </w:r>
          </w:p>
          <w:p w14:paraId="5B73FFCA" w14:textId="5A1260E7" w:rsidR="00C1356C" w:rsidRPr="004126EE" w:rsidRDefault="00C1356C" w:rsidP="004126EE">
            <w:pPr>
              <w:jc w:val="center"/>
              <w:rPr>
                <w:sz w:val="18"/>
                <w:szCs w:val="18"/>
              </w:rPr>
            </w:pPr>
          </w:p>
        </w:tc>
        <w:tc>
          <w:tcPr>
            <w:tcW w:w="1786" w:type="dxa"/>
          </w:tcPr>
          <w:p w14:paraId="0C28D3FC" w14:textId="77777777" w:rsidR="00123C34" w:rsidRPr="004126EE" w:rsidRDefault="00123C34" w:rsidP="004126EE">
            <w:pPr>
              <w:jc w:val="center"/>
              <w:rPr>
                <w:sz w:val="18"/>
                <w:szCs w:val="18"/>
              </w:rPr>
            </w:pPr>
          </w:p>
        </w:tc>
        <w:tc>
          <w:tcPr>
            <w:tcW w:w="1786" w:type="dxa"/>
          </w:tcPr>
          <w:p w14:paraId="429B242A" w14:textId="6C523BD3" w:rsidR="004126EE" w:rsidRPr="004126EE" w:rsidRDefault="00123C34" w:rsidP="004126EE">
            <w:pPr>
              <w:jc w:val="center"/>
              <w:rPr>
                <w:sz w:val="18"/>
                <w:szCs w:val="18"/>
              </w:rPr>
            </w:pPr>
            <w:r w:rsidRPr="004126EE">
              <w:rPr>
                <w:b/>
                <w:sz w:val="18"/>
                <w:szCs w:val="18"/>
              </w:rPr>
              <w:t>Growing</w:t>
            </w:r>
            <w:r w:rsidR="00FF1FD1" w:rsidRPr="004126EE">
              <w:rPr>
                <w:sz w:val="18"/>
                <w:szCs w:val="18"/>
              </w:rPr>
              <w:t>:</w:t>
            </w:r>
          </w:p>
          <w:p w14:paraId="155917BB" w14:textId="426CF199" w:rsidR="00123C34" w:rsidRPr="004126EE" w:rsidRDefault="00EF0A57" w:rsidP="004126EE">
            <w:pPr>
              <w:jc w:val="center"/>
              <w:rPr>
                <w:sz w:val="18"/>
                <w:szCs w:val="18"/>
              </w:rPr>
            </w:pPr>
            <w:r>
              <w:rPr>
                <w:sz w:val="18"/>
                <w:szCs w:val="18"/>
              </w:rPr>
              <w:t>Increas</w:t>
            </w:r>
            <w:r w:rsidR="00FF1FD1" w:rsidRPr="004126EE">
              <w:rPr>
                <w:sz w:val="18"/>
                <w:szCs w:val="18"/>
              </w:rPr>
              <w:t xml:space="preserve">e “the scale at which technologies are used” </w:t>
            </w:r>
            <w:r w:rsidR="00FF1FD1" w:rsidRPr="004126EE">
              <w:rPr>
                <w:sz w:val="18"/>
                <w:szCs w:val="18"/>
              </w:rPr>
              <w:lastRenderedPageBreak/>
              <w:fldChar w:fldCharType="begin" w:fldLock="1"/>
            </w:r>
            <w:r w:rsidR="00C1356C">
              <w:rPr>
                <w:sz w:val="18"/>
                <w:szCs w:val="18"/>
              </w:rPr>
              <w:instrText>ADDIN CSL_CITATION {"citationItems":[{"id":"ITEM-1","itemData":{"DOI":"10.1016/j.enpol.2017.07.056","ISSN":"03014215","abstract":"Current electricity grids do not fit the needs and challenges of the 21st century, such as the need to transition to renewable energy sources and the variability in power supply concomitant with such energy sources. In this context, smart electricity grids have been proposed as a solution. A large number of pilots and experiments have been set up, but a key challenge remains how to upscale them. Upscaling is critically important to enable a wide-scale integration of renewable energy sources. This paper mobilises literature on the strategic management of experimental niches to explore the upscaling of smart grids in the Netherlands. On the basis of existing literature, a typology of four different patterns of upscaling is proposed: growing, replication, accumulation, and transformation. The relevance of this typology to understanding upscaling of smart grids is explored in a comparative qualitative case study design. On this basis we argue that the building of broad and deep social networks is important for growing and replication; articulating and sharing expectations is important for replication; and broad and reflexive learning processes are critical to transformation and replication. The paper concludes by arguing that these findings can provide important guidelines for future energy innovation policies.","author":[{"dropping-particle":"","family":"Naber","given":"Rolf","non-dropping-particle":"","parse-names":false,"suffix":""},{"dropping-particle":"","family":"Raven","given":"Rob","non-dropping-particle":"","parse-names":false,"suffix":""},{"dropping-particle":"","family":"Kouw","given":"Matthijs","non-dropping-particle":"","parse-names":false,"suffix":""},{"dropping-particle":"","family":"Dassen","given":"Ton","non-dropping-particle":"","parse-names":false,"suffix":""}],"container-title":"Energy Policy","id":"ITEM-1","issued":{"date-parts":[["2017","11"]]},"page":"342-354","title":"Scaling up sustainable energy innovations","type":"article-journal","volume":"110"},"suffix":", p. 344","uris":["http://www.mendeley.com/documents/?uuid=ed3b2e77-ae1d-3281-9c76-ea96b3e0b126"]}],"mendeley":{"formattedCitation":"(Naber et al. 2017, p. 344)","plainTextFormattedCitation":"(Naber et al. 2017, p. 344)","previouslyFormattedCitation":"(Naber et al. 2017, p. 344)"},"properties":{"noteIndex":0},"schema":"https://github.com/citation-style-language/schema/raw/master/csl-citation.json"}</w:instrText>
            </w:r>
            <w:r w:rsidR="00FF1FD1" w:rsidRPr="004126EE">
              <w:rPr>
                <w:sz w:val="18"/>
                <w:szCs w:val="18"/>
              </w:rPr>
              <w:fldChar w:fldCharType="separate"/>
            </w:r>
            <w:r w:rsidR="004E0A16" w:rsidRPr="004E0A16">
              <w:rPr>
                <w:noProof/>
                <w:sz w:val="18"/>
                <w:szCs w:val="18"/>
              </w:rPr>
              <w:t>(Naber et al. 2017, p. 344)</w:t>
            </w:r>
            <w:r w:rsidR="00FF1FD1" w:rsidRPr="004126EE">
              <w:rPr>
                <w:sz w:val="18"/>
                <w:szCs w:val="18"/>
              </w:rPr>
              <w:fldChar w:fldCharType="end"/>
            </w:r>
          </w:p>
        </w:tc>
      </w:tr>
      <w:tr w:rsidR="00123C34" w:rsidRPr="004126EE" w14:paraId="651875BE" w14:textId="77777777" w:rsidTr="00514E51">
        <w:trPr>
          <w:trHeight w:val="408"/>
        </w:trPr>
        <w:tc>
          <w:tcPr>
            <w:tcW w:w="1786" w:type="dxa"/>
          </w:tcPr>
          <w:p w14:paraId="3956CEC5" w14:textId="77777777" w:rsidR="00123C34" w:rsidRPr="00B365DF" w:rsidRDefault="00123C34" w:rsidP="00514E51">
            <w:pPr>
              <w:rPr>
                <w:b/>
                <w:sz w:val="18"/>
                <w:szCs w:val="18"/>
              </w:rPr>
            </w:pPr>
            <w:r w:rsidRPr="00B365DF">
              <w:rPr>
                <w:b/>
                <w:sz w:val="18"/>
                <w:szCs w:val="18"/>
              </w:rPr>
              <w:lastRenderedPageBreak/>
              <w:t>Replicating</w:t>
            </w:r>
          </w:p>
        </w:tc>
        <w:tc>
          <w:tcPr>
            <w:tcW w:w="1786" w:type="dxa"/>
          </w:tcPr>
          <w:p w14:paraId="524730AF" w14:textId="156BE291" w:rsidR="00123C34" w:rsidRPr="004126EE" w:rsidRDefault="008365FD" w:rsidP="004126EE">
            <w:pPr>
              <w:jc w:val="center"/>
              <w:rPr>
                <w:sz w:val="18"/>
                <w:szCs w:val="18"/>
              </w:rPr>
            </w:pPr>
            <w:r w:rsidRPr="004126EE">
              <w:rPr>
                <w:b/>
                <w:sz w:val="18"/>
                <w:szCs w:val="18"/>
              </w:rPr>
              <w:t>Scaling out</w:t>
            </w:r>
            <w:r w:rsidR="00B23E97" w:rsidRPr="004126EE">
              <w:rPr>
                <w:sz w:val="18"/>
                <w:szCs w:val="18"/>
              </w:rPr>
              <w:t>:</w:t>
            </w:r>
            <w:r w:rsidRPr="004126EE">
              <w:rPr>
                <w:sz w:val="18"/>
                <w:szCs w:val="18"/>
              </w:rPr>
              <w:t xml:space="preserve"> “</w:t>
            </w:r>
            <w:r w:rsidR="00B23E97" w:rsidRPr="004126EE">
              <w:rPr>
                <w:sz w:val="18"/>
                <w:szCs w:val="18"/>
              </w:rPr>
              <w:t>R</w:t>
            </w:r>
            <w:r w:rsidRPr="004126EE">
              <w:rPr>
                <w:sz w:val="18"/>
                <w:szCs w:val="18"/>
              </w:rPr>
              <w:t xml:space="preserve">eplicating or spreading </w:t>
            </w:r>
            <w:proofErr w:type="spellStart"/>
            <w:r w:rsidRPr="004126EE">
              <w:rPr>
                <w:sz w:val="18"/>
                <w:szCs w:val="18"/>
              </w:rPr>
              <w:t>programmes</w:t>
            </w:r>
            <w:proofErr w:type="spellEnd"/>
            <w:r w:rsidRPr="004126EE">
              <w:rPr>
                <w:sz w:val="18"/>
                <w:szCs w:val="18"/>
              </w:rPr>
              <w:t xml:space="preserve"> geographically and to greater numbers while protecting the fidelity and integrity of the innovation” </w:t>
            </w:r>
            <w:r w:rsidRPr="004126EE">
              <w:rPr>
                <w:sz w:val="18"/>
                <w:szCs w:val="18"/>
              </w:rPr>
              <w:fldChar w:fldCharType="begin" w:fldLock="1"/>
            </w:r>
            <w:r w:rsidR="006E4756">
              <w:rPr>
                <w:sz w:val="18"/>
                <w:szCs w:val="18"/>
              </w:rPr>
              <w:instrText>ADDIN CSL_CITATION {"citationItems":[{"id":"ITEM-1","itemData":{"DOI":"10.9774/GLEAF.4700.2015.ju.00009","ISSN":"14705001","abstract":"To effect large system change, \" niche \" or local-level innovations must span spatial and institutional scales to achieve broader systemic impact. Leaders of social innova-tion, in particular those who work in non-profit organizations and funders of non-profit and civil society organizations, are increasingly concerned with scaling the positive impact of their investments. This study examines the case of the J.W. McConnell Family Foundation and the implementation of a deliberate strategy, named the Applied Dissemination initiative, to build grantee capacity and to accelerate their initiatives to achieve systemic change. One part of the strategy involved an \" educational intervention \" , where lead-ers of more than a dozen national-level initiatives in Canada convened regularly over a period of several years to learn from each other's efforts to achieve scale. The group was successful not only in their efforts to scale for positive impact on their respective issue areas, but also in catalyzing a field of practice in Canada with a growing exper-tise in scaling innovation for systemic change. The findings show the success of six different strategies that may be adopted to scale innovation on the pathway to large-scale or systemic impact, which cut across three different types of \" scaling \" : scaling out, scaling up, and scaling deep.","author":[{"dropping-particle":"","family":"Moore","given":"Michele-Lee","non-dropping-particle":"","parse-names":false,"suffix":""},{"dropping-particle":"","family":"Riddell","given":"Darcy","non-dropping-particle":"","parse-names":false,"suffix":""},{"dropping-particle":"","family":"Vocisano","given":"Dana","non-dropping-particle":"","parse-names":false,"suffix":""}],"container-title":"Journal of Corporate Citizenship","id":"ITEM-1","issue":"58","issued":{"date-parts":[["2015","6","1"]]},"page":"67-84","title":"Scaling Out, Scaling Up, Scaling Deep: Strategies of Non-profits in Advancing Systemic Social Innovation","type":"article-journal","volume":"2015"},"locator":"77","uris":["http://www.mendeley.com/documents/?uuid=34e85cb3-af61-32df-a487-6d00e48d9786"]}],"mendeley":{"formattedCitation":"(Moore et al. 2015)","plainTextFormattedCitation":"(Moore et al. 2015)","previouslyFormattedCitation":"(Moore et al. 2015)"},"properties":{"noteIndex":0},"schema":"https://github.com/citation-style-language/schema/raw/master/csl-citation.json"}</w:instrText>
            </w:r>
            <w:r w:rsidRPr="004126EE">
              <w:rPr>
                <w:sz w:val="18"/>
                <w:szCs w:val="18"/>
              </w:rPr>
              <w:fldChar w:fldCharType="separate"/>
            </w:r>
            <w:r w:rsidR="00A21843" w:rsidRPr="00A21843">
              <w:rPr>
                <w:noProof/>
                <w:sz w:val="18"/>
                <w:szCs w:val="18"/>
              </w:rPr>
              <w:t>(Moore et al. 2015)</w:t>
            </w:r>
            <w:r w:rsidRPr="004126EE">
              <w:rPr>
                <w:sz w:val="18"/>
                <w:szCs w:val="18"/>
              </w:rPr>
              <w:fldChar w:fldCharType="end"/>
            </w:r>
          </w:p>
        </w:tc>
        <w:tc>
          <w:tcPr>
            <w:tcW w:w="1786" w:type="dxa"/>
          </w:tcPr>
          <w:p w14:paraId="40C20A7B" w14:textId="29CE0AA2" w:rsidR="004126EE" w:rsidRPr="004126EE" w:rsidRDefault="00123C34" w:rsidP="004126EE">
            <w:pPr>
              <w:jc w:val="center"/>
              <w:rPr>
                <w:sz w:val="18"/>
                <w:szCs w:val="18"/>
              </w:rPr>
            </w:pPr>
            <w:r w:rsidRPr="004126EE">
              <w:rPr>
                <w:b/>
                <w:sz w:val="18"/>
                <w:szCs w:val="18"/>
              </w:rPr>
              <w:t>Scale out</w:t>
            </w:r>
            <w:r w:rsidR="007B11D8" w:rsidRPr="004126EE">
              <w:rPr>
                <w:sz w:val="18"/>
                <w:szCs w:val="18"/>
              </w:rPr>
              <w:t>:</w:t>
            </w:r>
          </w:p>
          <w:p w14:paraId="1023909B" w14:textId="691AB5EC" w:rsidR="00123C34" w:rsidRPr="004126EE" w:rsidRDefault="007B11D8" w:rsidP="004126EE">
            <w:pPr>
              <w:jc w:val="center"/>
              <w:rPr>
                <w:sz w:val="18"/>
                <w:szCs w:val="18"/>
              </w:rPr>
            </w:pPr>
            <w:r w:rsidRPr="004126EE">
              <w:rPr>
                <w:sz w:val="18"/>
                <w:szCs w:val="18"/>
              </w:rPr>
              <w:t>Reproduce “in different places” (www.goodanthropocenes.net)</w:t>
            </w:r>
          </w:p>
        </w:tc>
        <w:tc>
          <w:tcPr>
            <w:tcW w:w="1786" w:type="dxa"/>
          </w:tcPr>
          <w:p w14:paraId="7D8E8D18" w14:textId="607AC1CA" w:rsidR="004126EE" w:rsidRPr="004126EE" w:rsidRDefault="00123C34" w:rsidP="004126EE">
            <w:pPr>
              <w:jc w:val="center"/>
              <w:rPr>
                <w:sz w:val="18"/>
                <w:szCs w:val="18"/>
              </w:rPr>
            </w:pPr>
            <w:proofErr w:type="spellStart"/>
            <w:r w:rsidRPr="004126EE">
              <w:rPr>
                <w:b/>
                <w:sz w:val="18"/>
                <w:szCs w:val="18"/>
              </w:rPr>
              <w:t>Outscaling</w:t>
            </w:r>
            <w:proofErr w:type="spellEnd"/>
            <w:r w:rsidR="0089572C" w:rsidRPr="004126EE">
              <w:rPr>
                <w:sz w:val="18"/>
                <w:szCs w:val="18"/>
              </w:rPr>
              <w:t>:</w:t>
            </w:r>
          </w:p>
          <w:p w14:paraId="3F6F346B" w14:textId="18FB5207" w:rsidR="00123C34" w:rsidRPr="004126EE" w:rsidRDefault="0089572C" w:rsidP="004126EE">
            <w:pPr>
              <w:jc w:val="center"/>
              <w:rPr>
                <w:sz w:val="18"/>
                <w:szCs w:val="18"/>
              </w:rPr>
            </w:pPr>
            <w:r w:rsidRPr="004126EE">
              <w:rPr>
                <w:sz w:val="18"/>
                <w:szCs w:val="18"/>
              </w:rPr>
              <w:t>“[R]</w:t>
            </w:r>
            <w:proofErr w:type="spellStart"/>
            <w:r w:rsidRPr="004126EE">
              <w:rPr>
                <w:sz w:val="18"/>
                <w:szCs w:val="18"/>
              </w:rPr>
              <w:t>eplicate</w:t>
            </w:r>
            <w:proofErr w:type="spellEnd"/>
            <w:r w:rsidRPr="004126EE">
              <w:rPr>
                <w:sz w:val="18"/>
                <w:szCs w:val="18"/>
              </w:rPr>
              <w:t xml:space="preserve"> and disseminate programs, products, ideas or innovative approaches in order to affect more people or to cover a larger geographical area” </w:t>
            </w:r>
            <w:r w:rsidRPr="004126EE">
              <w:rPr>
                <w:sz w:val="18"/>
                <w:szCs w:val="18"/>
              </w:rPr>
              <w:fldChar w:fldCharType="begin" w:fldLock="1"/>
            </w:r>
            <w:r w:rsidR="00C1356C">
              <w:rPr>
                <w:sz w:val="18"/>
                <w:szCs w:val="18"/>
              </w:rPr>
              <w:instrText>ADDIN CSL_CITATION {"citationItems":[{"id":"ITEM-1","itemData":{"DOI":"10.1016/j.ecolecon.2016.07.011","ISSN":"09218009","abstract":"An important issue for the study of grassroots innovations and the geography of sustainability transitions is how scales affect transformative change. In this paper we will address the questions of 1) how grassroots innovations for sustainable agriculture are scaled and 2) the consequences of crossing different scales and levels on the characteristics of the grassroots innovation. We propose a framework of five different scales to analyze the development of grassroots innovations and we apply this framework on the long-term development of an agricultural grassroots innovation movement that pioneered innovative dairy farming practices combined with landscape management. The results show how the initial innovation coalition built around low external input farming became fragmented. Each of the resulting new grassroots innovation coalitions used different strategies for upscaling and outscaling that depended on differences in their (regional) contexts and institutional support. The grassroots innovation thus developed along three parallel, at times intersecting, innovation pathways. The distributed agency of multiple actor groups working in parallel leads to a continuous renegotiating of meaning that poses a challenge to the idea of planned processes of outscaling and upscaling of grassroots innovations.","author":[{"dropping-particle":"","family":"Hermans","given":"Frans","non-dropping-particle":"","parse-names":false,"suffix":""},{"dropping-particle":"","family":"Roep","given":"Dirk","non-dropping-particle":"","parse-names":false,"suffix":""},{"dropping-particle":"","family":"Klerkx","given":"Laurens","non-dropping-particle":"","parse-names":false,"suffix":""}],"container-title":"Ecological Economics","id":"ITEM-1","issued":{"date-parts":[["2016"]]},"page":"285-295","publisher":"Elsevier B.V.","title":"Scale dynamics of grassroots innovations through parallel pathways of transformative change","type":"article-journal","volume":"130"},"suffix":", p. 287","uris":["http://www.mendeley.com/documents/?uuid=1ee57789-21bd-40e9-b898-3b1daf573061"]}],"mendeley":{"formattedCitation":"(Hermans et al. 2016, p. 287)","plainTextFormattedCitation":"(Hermans et al. 2016, p. 287)","previouslyFormattedCitation":"(Hermans et al. 2016, p. 287)"},"properties":{"noteIndex":0},"schema":"https://github.com/citation-style-language/schema/raw/master/csl-citation.json"}</w:instrText>
            </w:r>
            <w:r w:rsidRPr="004126EE">
              <w:rPr>
                <w:sz w:val="18"/>
                <w:szCs w:val="18"/>
              </w:rPr>
              <w:fldChar w:fldCharType="separate"/>
            </w:r>
            <w:r w:rsidR="004E0A16" w:rsidRPr="004E0A16">
              <w:rPr>
                <w:noProof/>
                <w:sz w:val="18"/>
                <w:szCs w:val="18"/>
              </w:rPr>
              <w:t>(Hermans et al. 2016, p. 287)</w:t>
            </w:r>
            <w:r w:rsidRPr="004126EE">
              <w:rPr>
                <w:sz w:val="18"/>
                <w:szCs w:val="18"/>
              </w:rPr>
              <w:fldChar w:fldCharType="end"/>
            </w:r>
            <w:r w:rsidRPr="004126EE">
              <w:rPr>
                <w:sz w:val="18"/>
                <w:szCs w:val="18"/>
              </w:rPr>
              <w:t>.</w:t>
            </w:r>
          </w:p>
        </w:tc>
        <w:tc>
          <w:tcPr>
            <w:tcW w:w="1786" w:type="dxa"/>
          </w:tcPr>
          <w:p w14:paraId="283AC9DC" w14:textId="77777777" w:rsidR="00123C34" w:rsidRPr="004126EE" w:rsidRDefault="00123C34" w:rsidP="004126EE">
            <w:pPr>
              <w:jc w:val="center"/>
              <w:rPr>
                <w:sz w:val="18"/>
                <w:szCs w:val="18"/>
              </w:rPr>
            </w:pPr>
          </w:p>
        </w:tc>
        <w:tc>
          <w:tcPr>
            <w:tcW w:w="1786" w:type="dxa"/>
          </w:tcPr>
          <w:p w14:paraId="08EC0FDC" w14:textId="60695386" w:rsidR="004126EE" w:rsidRPr="004126EE" w:rsidRDefault="00123C34" w:rsidP="004126EE">
            <w:pPr>
              <w:jc w:val="center"/>
              <w:rPr>
                <w:sz w:val="18"/>
                <w:szCs w:val="18"/>
              </w:rPr>
            </w:pPr>
            <w:r w:rsidRPr="004126EE">
              <w:rPr>
                <w:b/>
                <w:sz w:val="18"/>
                <w:szCs w:val="18"/>
              </w:rPr>
              <w:t>Broadening</w:t>
            </w:r>
            <w:r w:rsidR="006E1FE5" w:rsidRPr="004126EE">
              <w:rPr>
                <w:sz w:val="18"/>
                <w:szCs w:val="18"/>
              </w:rPr>
              <w:t>:</w:t>
            </w:r>
          </w:p>
          <w:p w14:paraId="2F05CD9A" w14:textId="61757E2F" w:rsidR="00123C34" w:rsidRDefault="006E1FE5" w:rsidP="004126EE">
            <w:pPr>
              <w:jc w:val="center"/>
              <w:rPr>
                <w:sz w:val="18"/>
                <w:szCs w:val="18"/>
              </w:rPr>
            </w:pPr>
            <w:r w:rsidRPr="004126EE">
              <w:rPr>
                <w:sz w:val="18"/>
                <w:szCs w:val="18"/>
              </w:rPr>
              <w:t xml:space="preserve">Repeat and link “an experiment in a different context” </w:t>
            </w:r>
            <w:r w:rsidRPr="004126EE">
              <w:rPr>
                <w:sz w:val="18"/>
                <w:szCs w:val="18"/>
              </w:rPr>
              <w:fldChar w:fldCharType="begin" w:fldLock="1"/>
            </w:r>
            <w:r w:rsidR="006E4756">
              <w:rPr>
                <w:sz w:val="18"/>
                <w:szCs w:val="18"/>
              </w:rPr>
              <w:instrText>ADDIN CSL_CITATION {"citationItems":[{"id":"ITEM-1","itemData":{"ISBN":"978 1 84720 229 1","ISSN":"1847202292","author":[{"dropping-particle":"","family":"Rotmans","given":"Jan","non-dropping-particle":"","parse-names":false,"suffix":""},{"dropping-particle":"","family":"Loorbach","given":"Derk","non-dropping-particle":"","parse-names":false,"suffix":""}],"chapter-number":"2","container-title":"Managing the Transition to Renewable Energy: Theory and Practice from Local, Regional and Macro Perspectives","editor":[{"dropping-particle":"","family":"Bergh","given":"Jeroen C. J. M.","non-dropping-particle":"van den","parse-names":false,"suffix":""},{"dropping-particle":"","family":"Bruinsma","given":"Frank R.","non-dropping-particle":"","parse-names":false,"suffix":""}],"id":"ITEM-1","issued":{"date-parts":[["2008"]]},"page":"15-46","publisher":"Edward Elgar Publishing","publisher-place":"Cheltenham, UK and Northampton, MA, USA","title":"Transition management: reflexive governance of societal complexity through searching, learning and experimenting","type":"chapter"},"suffix":", p. 27","uris":["http://www.mendeley.com/documents/?uuid=04d56412-4ff2-4948-9557-7e3f20afcd48"]}],"mendeley":{"formattedCitation":"(Rotmans and Loorbach 2008, p. 27)","plainTextFormattedCitation":"(Rotmans and Loorbach 2008, p. 27)","previouslyFormattedCitation":"(Rotmans and Loorbach 2008, p. 27)"},"properties":{"noteIndex":0},"schema":"https://github.com/citation-style-language/schema/raw/master/csl-citation.json"}</w:instrText>
            </w:r>
            <w:r w:rsidRPr="004126EE">
              <w:rPr>
                <w:sz w:val="18"/>
                <w:szCs w:val="18"/>
              </w:rPr>
              <w:fldChar w:fldCharType="separate"/>
            </w:r>
            <w:r w:rsidR="004E0A16" w:rsidRPr="004E0A16">
              <w:rPr>
                <w:noProof/>
                <w:sz w:val="18"/>
                <w:szCs w:val="18"/>
              </w:rPr>
              <w:t>(Rotmans and Loorbach 2008, p. 27)</w:t>
            </w:r>
            <w:r w:rsidRPr="004126EE">
              <w:rPr>
                <w:sz w:val="18"/>
                <w:szCs w:val="18"/>
              </w:rPr>
              <w:fldChar w:fldCharType="end"/>
            </w:r>
            <w:r w:rsidRPr="004126EE">
              <w:rPr>
                <w:sz w:val="18"/>
                <w:szCs w:val="18"/>
              </w:rPr>
              <w:t xml:space="preserve">. “The result of broadening can be (…) the new or deviant culture, practices and structure get diffused (…) in a variety of contexts” </w:t>
            </w:r>
            <w:r w:rsidRPr="004126EE">
              <w:rPr>
                <w:sz w:val="18"/>
                <w:szCs w:val="18"/>
              </w:rPr>
              <w:fldChar w:fldCharType="begin" w:fldLock="1"/>
            </w:r>
            <w:r w:rsidR="00C1356C">
              <w:rPr>
                <w:sz w:val="18"/>
                <w:szCs w:val="18"/>
              </w:rPr>
              <w:instrText>ADDIN CSL_CITATION {"citationItems":[{"id":"ITEM-1","itemData":{"abstract":"This essay presents a conceptual framework for analyzing and influencing the contribution of small- scale experiments to transitions towards a more sustainable society. This framework is aimed at providing academics and practitioners with a theoretical and practice oriented perspective to both understand and ‘steer’ the contribution of experiments to transitions. The central instrument in this framework are ‘transition experiments’, which provide an alternative approach to classical innovation projects that are aimed at realizing short-term solutions. A transition experiment is an innovation project with a societal challenge as a starting point for learning aimed at contributing to a transition. First we elaborate on the origin and context of transition experiments. We define what distinguishes a transition experiment from classical innovation experiments and develop process- and substance- criteria for a successful transition experiment. We then build upon the sustainability transition literature by identifying three central mechanisms through which experiments contribute to transitions: deepening (learning as much as possible in a specific context), broadening (linking and repeating in different contexts) and scaling up (embedding the experiment in -new- 4 Deepening, Broadening and Scaling up A Framework for Steering Transition Experiments dominant ways of thinking, doing and organizing). The developed conceptual framework for steering transition experiments consists of a descriptive and a prescriptive part. To understand how experiments can contribute to transitions and what this contribution encompasses, the framework relates the mechanisms deepening, broadening and scaling up to desired changes in established ways of thinking (culture), doing (practices) and organizing (structure). Furthermore, it elaborates on the conditions under which experiments contribute to transitions. The prescriptive part of the framework translates the identified mechanisms in different management strategies for transition experiments and further specifies this in management guidelines for project and program managers that aim to increase the contribution of experiments to transitions. The framework has been partly applied in different transition experiments in the Netherlands (in the mobility and care sector). These examples illustrate how the developed concepts and guidelines enable concrete recommendations and actions for steering transition experiments. This type of s…","author":[{"dropping-particle":"","family":"Bosch","given":"Suzanne","non-dropping-particle":"van den","parse-names":false,"suffix":""},{"dropping-particle":"","family":"Rotmans","given":"Jan","non-dropping-particle":"","parse-names":false,"suffix":""}],"container-title":"Knowledge Centre for Sustainable System Innovations and Transitions (KCT)","id":"ITEM-1","issued":{"date-parts":[["2008"]]},"publisher-place":"Rotterdam","title":"Deepening, Broadening and Scaling up: A Framework for Steering Transition Experiments","type":"report"},"suffix":", p. 32","uris":["http://www.mendeley.com/documents/?uuid=4892bf11-05f9-38dc-9143-36a11a60f2f4"]}],"mendeley":{"formattedCitation":"(van den Bosch and Rotmans 2008, p. 32)","plainTextFormattedCitation":"(van den Bosch and Rotmans 2008, p. 32)","previouslyFormattedCitation":"(van den Bosch and Rotmans 2008, p. 32)"},"properties":{"noteIndex":0},"schema":"https://github.com/citation-style-language/schema/raw/master/csl-citation.json"}</w:instrText>
            </w:r>
            <w:r w:rsidRPr="004126EE">
              <w:rPr>
                <w:sz w:val="18"/>
                <w:szCs w:val="18"/>
              </w:rPr>
              <w:fldChar w:fldCharType="separate"/>
            </w:r>
            <w:r w:rsidR="004E0A16" w:rsidRPr="004E0A16">
              <w:rPr>
                <w:noProof/>
                <w:sz w:val="18"/>
                <w:szCs w:val="18"/>
              </w:rPr>
              <w:t>(van den Bosch and Rotmans 2008, p. 32)</w:t>
            </w:r>
            <w:r w:rsidRPr="004126EE">
              <w:rPr>
                <w:sz w:val="18"/>
                <w:szCs w:val="18"/>
              </w:rPr>
              <w:fldChar w:fldCharType="end"/>
            </w:r>
            <w:r w:rsidRPr="004126EE">
              <w:rPr>
                <w:sz w:val="18"/>
                <w:szCs w:val="18"/>
              </w:rPr>
              <w:t>.</w:t>
            </w:r>
          </w:p>
          <w:p w14:paraId="725EC05B" w14:textId="077BAF6E" w:rsidR="00C1356C" w:rsidRPr="004126EE" w:rsidRDefault="00C1356C" w:rsidP="004126EE">
            <w:pPr>
              <w:jc w:val="center"/>
              <w:rPr>
                <w:sz w:val="18"/>
                <w:szCs w:val="18"/>
              </w:rPr>
            </w:pPr>
          </w:p>
        </w:tc>
        <w:tc>
          <w:tcPr>
            <w:tcW w:w="1786" w:type="dxa"/>
          </w:tcPr>
          <w:p w14:paraId="38064F2E" w14:textId="77777777" w:rsidR="00123C34" w:rsidRPr="004126EE" w:rsidRDefault="00123C34" w:rsidP="004126EE">
            <w:pPr>
              <w:jc w:val="center"/>
              <w:rPr>
                <w:sz w:val="18"/>
                <w:szCs w:val="18"/>
              </w:rPr>
            </w:pPr>
          </w:p>
        </w:tc>
      </w:tr>
      <w:tr w:rsidR="00123C34" w:rsidRPr="004126EE" w14:paraId="4BF6ADAF" w14:textId="77777777" w:rsidTr="00514E51">
        <w:trPr>
          <w:trHeight w:val="408"/>
        </w:trPr>
        <w:tc>
          <w:tcPr>
            <w:tcW w:w="1786" w:type="dxa"/>
          </w:tcPr>
          <w:p w14:paraId="7669F8A6" w14:textId="77777777" w:rsidR="00123C34" w:rsidRPr="00B365DF" w:rsidRDefault="00123C34" w:rsidP="00514E51">
            <w:pPr>
              <w:rPr>
                <w:b/>
                <w:sz w:val="18"/>
                <w:szCs w:val="18"/>
              </w:rPr>
            </w:pPr>
            <w:r w:rsidRPr="00B365DF">
              <w:rPr>
                <w:b/>
                <w:sz w:val="18"/>
                <w:szCs w:val="18"/>
              </w:rPr>
              <w:t>Transferring</w:t>
            </w:r>
          </w:p>
        </w:tc>
        <w:tc>
          <w:tcPr>
            <w:tcW w:w="1786" w:type="dxa"/>
          </w:tcPr>
          <w:p w14:paraId="5A74F775" w14:textId="2B252EE0" w:rsidR="00123C34" w:rsidRPr="004126EE" w:rsidRDefault="00123C34" w:rsidP="004126EE">
            <w:pPr>
              <w:jc w:val="center"/>
              <w:rPr>
                <w:sz w:val="18"/>
                <w:szCs w:val="18"/>
              </w:rPr>
            </w:pPr>
          </w:p>
        </w:tc>
        <w:tc>
          <w:tcPr>
            <w:tcW w:w="1786" w:type="dxa"/>
          </w:tcPr>
          <w:p w14:paraId="544626C8" w14:textId="77777777" w:rsidR="00123C34" w:rsidRPr="004126EE" w:rsidRDefault="00123C34" w:rsidP="004126EE">
            <w:pPr>
              <w:jc w:val="center"/>
              <w:rPr>
                <w:sz w:val="18"/>
                <w:szCs w:val="18"/>
              </w:rPr>
            </w:pPr>
          </w:p>
        </w:tc>
        <w:tc>
          <w:tcPr>
            <w:tcW w:w="1786" w:type="dxa"/>
          </w:tcPr>
          <w:p w14:paraId="224ABA59" w14:textId="77777777" w:rsidR="00123C34" w:rsidRPr="004126EE" w:rsidRDefault="00123C34" w:rsidP="004126EE">
            <w:pPr>
              <w:jc w:val="center"/>
              <w:rPr>
                <w:sz w:val="18"/>
                <w:szCs w:val="18"/>
              </w:rPr>
            </w:pPr>
          </w:p>
        </w:tc>
        <w:tc>
          <w:tcPr>
            <w:tcW w:w="1786" w:type="dxa"/>
          </w:tcPr>
          <w:p w14:paraId="27DBAD31" w14:textId="4F5DCBD5" w:rsidR="00123C34" w:rsidRPr="004126EE" w:rsidRDefault="00123C34" w:rsidP="004126EE">
            <w:pPr>
              <w:jc w:val="center"/>
              <w:rPr>
                <w:i/>
                <w:sz w:val="18"/>
                <w:szCs w:val="18"/>
              </w:rPr>
            </w:pPr>
            <w:r w:rsidRPr="004126EE">
              <w:rPr>
                <w:b/>
                <w:i/>
                <w:sz w:val="18"/>
                <w:szCs w:val="18"/>
              </w:rPr>
              <w:t>Replicating</w:t>
            </w:r>
            <w:r w:rsidR="0089572C" w:rsidRPr="004126EE">
              <w:rPr>
                <w:i/>
                <w:sz w:val="18"/>
                <w:szCs w:val="18"/>
              </w:rPr>
              <w:t>: “[T]</w:t>
            </w:r>
            <w:proofErr w:type="spellStart"/>
            <w:r w:rsidR="0089572C" w:rsidRPr="004126EE">
              <w:rPr>
                <w:i/>
                <w:sz w:val="18"/>
                <w:szCs w:val="18"/>
              </w:rPr>
              <w:t>ake</w:t>
            </w:r>
            <w:proofErr w:type="spellEnd"/>
            <w:r w:rsidR="0089572C" w:rsidRPr="004126EE">
              <w:rPr>
                <w:i/>
                <w:sz w:val="18"/>
                <w:szCs w:val="18"/>
              </w:rPr>
              <w:t xml:space="preserve"> up […] new ways of [thinking, doing and organizing] of one transition initiative by another transition initiative or different actors in order to spread out these new ways.” </w:t>
            </w:r>
            <w:r w:rsidR="0089572C" w:rsidRPr="004126EE">
              <w:rPr>
                <w:i/>
                <w:sz w:val="18"/>
                <w:szCs w:val="18"/>
              </w:rPr>
              <w:fldChar w:fldCharType="begin" w:fldLock="1"/>
            </w:r>
            <w:r w:rsidR="00733B3E">
              <w:rPr>
                <w:i/>
                <w:sz w:val="18"/>
                <w:szCs w:val="18"/>
              </w:rPr>
              <w:instrText>ADDIN CSL_CITATION {"citationItems":[{"id":"ITEM-1","itemData":{"DOI":"10.1016/j.jclepro.2016.12.052","ISSN":"09596526","abstract":"a b s t r a c t In recent years, multiple transformative initiatives have been set up in cities across the world to kick-start transitions of urban systems towards sustainability. Yet to what extent do these initiatives influence sys-temic change or accelerate sustainability transitions? We apply an analytical framework, conceptualizing five mechanisms representing acceleration dynamics of sustainability transitions e replicating, partnering, upscaling, instrumentalising and embedding e to examine transition dynamics in the Belgian City of Genk. The focal unit of analysis are the innovative activities and related actor-networks from the city region, defined as 'transition initiatives', situated within the local governance context. We selected 10 local tran-sition initiatives with a clear focus on environmental sustainability and set out to understand their origins and identify conditions and mechanisms for accelerating sustainable low-carbon transitions. Our findings show that all five mechanisms of acceleration are occurring in Genk at the moment and that the local governance context is favourable for accelerating transition dynamics to sustainability, mostly because it promotes diffusion, partnering and embedding processes. For instance, one initiative that proved to be a hotspot for partnering is the Heempark, a Public-Civic Partnership in which volunteers and the government collaborate in a mutually beneficial way. Our findings provide early indications of mounting changes, increasing reflexivity and coordination from governance actors and diffusion, embedding and routinisation of more sustainable ways of thinking, doing and organising in the wider public. These acceleration dy-namics are most apparent in the food, nature, resource and education domain in Genk and are mostly fuelled via multi-actor collaborations. On an aggregate level, these observations suggest that socio-cultural, economic, ecological and institutional changes are accumulating. We therefore conclude that early but fragile acceleration dynamics are unfolding in Genk. Our findings are relevant to deepen the understanding of transition scholars on the acceleration dynamics of urban sustainability transitions and may be of particular interest for practitioners on the field.","author":[{"dropping-particle":"","family":"Gorissen","given":"Leen","non-dropping-particle":"","parse-names":false,"suffix":""},{"dropping-particle":"","family":"Spira","given":"Felix","non-dropping-particle":"","parse-names":false,"suffix":""},{"dropping-particle":"","family":"Meynaerts","given":"Erika","non-dropping-particle":"","parse-names":false,"suffix":""},{"dropping-particle":"","family":"Valkering","given":"Pieter","non-dropping-particle":"","parse-names":false,"suffix":""},{"dropping-particle":"","family":"Frantzeskaki","given":"Niki","non-dropping-particle":"","parse-names":false,"suffix":""}],"container-title":"Journal of Cleaner Production","id":"ITEM-1","issued":{"date-parts":[["2018","2"]]},"page":"171-185","title":"Moving towards systemic change? Investigating acceleration dynamics of urban sustainability transitions in the Belgian City of Genk","type":"article-journal","volume":"173"},"suffix":", p. 173","uris":["http://www.mendeley.com/documents/?uuid=fd6ec00b-8a31-3c69-aec7-22eea59471c3"]}],"mendeley":{"formattedCitation":"(Gorissen et al. 2018, p. 173)","plainTextFormattedCitation":"(Gorissen et al. 2018, p. 173)","previouslyFormattedCitation":"(Gorissen et al. 2018, p. 173)"},"properties":{"noteIndex":0},"schema":"https://github.com/citation-style-language/schema/raw/master/csl-citation.json"}</w:instrText>
            </w:r>
            <w:r w:rsidR="0089572C" w:rsidRPr="004126EE">
              <w:rPr>
                <w:i/>
                <w:sz w:val="18"/>
                <w:szCs w:val="18"/>
              </w:rPr>
              <w:fldChar w:fldCharType="separate"/>
            </w:r>
            <w:r w:rsidR="00C1356C" w:rsidRPr="00C1356C">
              <w:rPr>
                <w:noProof/>
                <w:sz w:val="18"/>
                <w:szCs w:val="18"/>
              </w:rPr>
              <w:t>(Gorissen et al. 2018, p. 173)</w:t>
            </w:r>
            <w:r w:rsidR="0089572C" w:rsidRPr="004126EE">
              <w:rPr>
                <w:i/>
                <w:sz w:val="18"/>
                <w:szCs w:val="18"/>
              </w:rPr>
              <w:fldChar w:fldCharType="end"/>
            </w:r>
            <w:r w:rsidR="0089572C" w:rsidRPr="004126EE">
              <w:rPr>
                <w:i/>
                <w:sz w:val="18"/>
                <w:szCs w:val="18"/>
              </w:rPr>
              <w:t>.</w:t>
            </w:r>
          </w:p>
        </w:tc>
        <w:tc>
          <w:tcPr>
            <w:tcW w:w="1786" w:type="dxa"/>
          </w:tcPr>
          <w:p w14:paraId="3C0E814D" w14:textId="43B62029" w:rsidR="004126EE" w:rsidRPr="004126EE" w:rsidRDefault="006E1FE5" w:rsidP="004126EE">
            <w:pPr>
              <w:jc w:val="center"/>
              <w:rPr>
                <w:sz w:val="18"/>
                <w:szCs w:val="18"/>
              </w:rPr>
            </w:pPr>
            <w:r w:rsidRPr="004126EE">
              <w:rPr>
                <w:b/>
                <w:sz w:val="18"/>
                <w:szCs w:val="18"/>
              </w:rPr>
              <w:t>Broadening</w:t>
            </w:r>
            <w:r w:rsidRPr="004126EE">
              <w:rPr>
                <w:sz w:val="18"/>
                <w:szCs w:val="18"/>
              </w:rPr>
              <w:t>:</w:t>
            </w:r>
          </w:p>
          <w:p w14:paraId="56B27B11" w14:textId="2EC09FEF" w:rsidR="00123C34" w:rsidRDefault="006E1FE5" w:rsidP="004126EE">
            <w:pPr>
              <w:jc w:val="center"/>
              <w:rPr>
                <w:sz w:val="18"/>
                <w:szCs w:val="18"/>
              </w:rPr>
            </w:pPr>
            <w:r w:rsidRPr="004126EE">
              <w:rPr>
                <w:sz w:val="18"/>
                <w:szCs w:val="18"/>
              </w:rPr>
              <w:t xml:space="preserve">Repeat and link “an experiment in a different context” </w:t>
            </w:r>
            <w:r w:rsidRPr="004126EE">
              <w:rPr>
                <w:sz w:val="18"/>
                <w:szCs w:val="18"/>
              </w:rPr>
              <w:fldChar w:fldCharType="begin" w:fldLock="1"/>
            </w:r>
            <w:r w:rsidR="006E4756">
              <w:rPr>
                <w:sz w:val="18"/>
                <w:szCs w:val="18"/>
              </w:rPr>
              <w:instrText>ADDIN CSL_CITATION {"citationItems":[{"id":"ITEM-1","itemData":{"ISBN":"978 1 84720 229 1","ISSN":"1847202292","author":[{"dropping-particle":"","family":"Rotmans","given":"Jan","non-dropping-particle":"","parse-names":false,"suffix":""},{"dropping-particle":"","family":"Loorbach","given":"Derk","non-dropping-particle":"","parse-names":false,"suffix":""}],"chapter-number":"2","container-title":"Managing the Transition to Renewable Energy: Theory and Practice from Local, Regional and Macro Perspectives","editor":[{"dropping-particle":"","family":"Bergh","given":"Jeroen C. J. M.","non-dropping-particle":"van den","parse-names":false,"suffix":""},{"dropping-particle":"","family":"Bruinsma","given":"Frank R.","non-dropping-particle":"","parse-names":false,"suffix":""}],"id":"ITEM-1","issued":{"date-parts":[["2008"]]},"page":"15-46","publisher":"Edward Elgar Publishing","publisher-place":"Cheltenham, UK and Northampton, MA, USA","title":"Transition management: reflexive governance of societal complexity through searching, learning and experimenting","type":"chapter"},"suffix":", p. 27","uris":["http://www.mendeley.com/documents/?uuid=04d56412-4ff2-4948-9557-7e3f20afcd48"]}],"mendeley":{"formattedCitation":"(Rotmans and Loorbach 2008, p. 27)","plainTextFormattedCitation":"(Rotmans and Loorbach 2008, p. 27)","previouslyFormattedCitation":"(Rotmans and Loorbach 2008, p. 27)"},"properties":{"noteIndex":0},"schema":"https://github.com/citation-style-language/schema/raw/master/csl-citation.json"}</w:instrText>
            </w:r>
            <w:r w:rsidRPr="004126EE">
              <w:rPr>
                <w:sz w:val="18"/>
                <w:szCs w:val="18"/>
              </w:rPr>
              <w:fldChar w:fldCharType="separate"/>
            </w:r>
            <w:r w:rsidR="004E0A16" w:rsidRPr="004E0A16">
              <w:rPr>
                <w:noProof/>
                <w:sz w:val="18"/>
                <w:szCs w:val="18"/>
              </w:rPr>
              <w:t>(Rotmans and Loorbach 2008, p. 27)</w:t>
            </w:r>
            <w:r w:rsidRPr="004126EE">
              <w:rPr>
                <w:sz w:val="18"/>
                <w:szCs w:val="18"/>
              </w:rPr>
              <w:fldChar w:fldCharType="end"/>
            </w:r>
            <w:r w:rsidRPr="004126EE">
              <w:rPr>
                <w:sz w:val="18"/>
                <w:szCs w:val="18"/>
              </w:rPr>
              <w:t xml:space="preserve">. “The result of broadening can be (…) the new or deviant culture, practices and structure get (…) adopted in a variety of contexts” </w:t>
            </w:r>
            <w:r w:rsidRPr="004126EE">
              <w:rPr>
                <w:sz w:val="18"/>
                <w:szCs w:val="18"/>
              </w:rPr>
              <w:fldChar w:fldCharType="begin" w:fldLock="1"/>
            </w:r>
            <w:r w:rsidR="00C1356C">
              <w:rPr>
                <w:sz w:val="18"/>
                <w:szCs w:val="18"/>
              </w:rPr>
              <w:instrText>ADDIN CSL_CITATION {"citationItems":[{"id":"ITEM-1","itemData":{"abstract":"This essay presents a conceptual framework for analyzing and influencing the contribution of small- scale experiments to transitions towards a more sustainable society. This framework is aimed at providing academics and practitioners with a theoretical and practice oriented perspective to both understand and ‘steer’ the contribution of experiments to transitions. The central instrument in this framework are ‘transition experiments’, which provide an alternative approach to classical innovation projects that are aimed at realizing short-term solutions. A transition experiment is an innovation project with a societal challenge as a starting point for learning aimed at contributing to a transition. First we elaborate on the origin and context of transition experiments. We define what distinguishes a transition experiment from classical innovation experiments and develop process- and substance- criteria for a successful transition experiment. We then build upon the sustainability transition literature by identifying three central mechanisms through which experiments contribute to transitions: deepening (learning as much as possible in a specific context), broadening (linking and repeating in different contexts) and scaling up (embedding the experiment in -new- 4 Deepening, Broadening and Scaling up A Framework for Steering Transition Experiments dominant ways of thinking, doing and organizing). The developed conceptual framework for steering transition experiments consists of a descriptive and a prescriptive part. To understand how experiments can contribute to transitions and what this contribution encompasses, the framework relates the mechanisms deepening, broadening and scaling up to desired changes in established ways of thinking (culture), doing (practices) and organizing (structure). Furthermore, it elaborates on the conditions under which experiments contribute to transitions. The prescriptive part of the framework translates the identified mechanisms in different management strategies for transition experiments and further specifies this in management guidelines for project and program managers that aim to increase the contribution of experiments to transitions. The framework has been partly applied in different transition experiments in the Netherlands (in the mobility and care sector). These examples illustrate how the developed concepts and guidelines enable concrete recommendations and actions for steering transition experiments. This type of s…","author":[{"dropping-particle":"","family":"Bosch","given":"Suzanne","non-dropping-particle":"van den","parse-names":false,"suffix":""},{"dropping-particle":"","family":"Rotmans","given":"Jan","non-dropping-particle":"","parse-names":false,"suffix":""}],"container-title":"Knowledge Centre for Sustainable System Innovations and Transitions (KCT)","id":"ITEM-1","issued":{"date-parts":[["2008"]]},"publisher-place":"Rotterdam","title":"Deepening, Broadening and Scaling up: A Framework for Steering Transition Experiments","type":"report"},"suffix":", p. 32","uris":["http://www.mendeley.com/documents/?uuid=4892bf11-05f9-38dc-9143-36a11a60f2f4"]}],"mendeley":{"formattedCitation":"(van den Bosch and Rotmans 2008, p. 32)","plainTextFormattedCitation":"(van den Bosch and Rotmans 2008, p. 32)","previouslyFormattedCitation":"(van den Bosch and Rotmans 2008, p. 32)"},"properties":{"noteIndex":0},"schema":"https://github.com/citation-style-language/schema/raw/master/csl-citation.json"}</w:instrText>
            </w:r>
            <w:r w:rsidRPr="004126EE">
              <w:rPr>
                <w:sz w:val="18"/>
                <w:szCs w:val="18"/>
              </w:rPr>
              <w:fldChar w:fldCharType="separate"/>
            </w:r>
            <w:r w:rsidR="004E0A16" w:rsidRPr="004E0A16">
              <w:rPr>
                <w:noProof/>
                <w:sz w:val="18"/>
                <w:szCs w:val="18"/>
              </w:rPr>
              <w:t>(van den Bosch and Rotmans 2008, p. 32)</w:t>
            </w:r>
            <w:r w:rsidRPr="004126EE">
              <w:rPr>
                <w:sz w:val="18"/>
                <w:szCs w:val="18"/>
              </w:rPr>
              <w:fldChar w:fldCharType="end"/>
            </w:r>
          </w:p>
          <w:p w14:paraId="319007DE" w14:textId="0B2CF4A8" w:rsidR="00C1356C" w:rsidRPr="004126EE" w:rsidRDefault="00C1356C" w:rsidP="004126EE">
            <w:pPr>
              <w:jc w:val="center"/>
              <w:rPr>
                <w:sz w:val="18"/>
                <w:szCs w:val="18"/>
              </w:rPr>
            </w:pPr>
          </w:p>
        </w:tc>
        <w:tc>
          <w:tcPr>
            <w:tcW w:w="1786" w:type="dxa"/>
          </w:tcPr>
          <w:p w14:paraId="6FE49D59" w14:textId="3CFC8EA0" w:rsidR="004126EE" w:rsidRPr="004126EE" w:rsidRDefault="00123C34" w:rsidP="004126EE">
            <w:pPr>
              <w:jc w:val="center"/>
              <w:rPr>
                <w:sz w:val="18"/>
                <w:szCs w:val="18"/>
              </w:rPr>
            </w:pPr>
            <w:r w:rsidRPr="004126EE">
              <w:rPr>
                <w:b/>
                <w:sz w:val="18"/>
                <w:szCs w:val="18"/>
              </w:rPr>
              <w:t>Replication</w:t>
            </w:r>
            <w:r w:rsidR="00FF1FD1" w:rsidRPr="004126EE">
              <w:rPr>
                <w:sz w:val="18"/>
                <w:szCs w:val="18"/>
              </w:rPr>
              <w:t>:</w:t>
            </w:r>
          </w:p>
          <w:p w14:paraId="7D8AAC08" w14:textId="0055FACF" w:rsidR="00123C34" w:rsidRPr="004126EE" w:rsidRDefault="00FF1FD1" w:rsidP="004126EE">
            <w:pPr>
              <w:jc w:val="center"/>
              <w:rPr>
                <w:sz w:val="18"/>
                <w:szCs w:val="18"/>
              </w:rPr>
            </w:pPr>
            <w:r w:rsidRPr="004126EE">
              <w:rPr>
                <w:sz w:val="18"/>
                <w:szCs w:val="18"/>
              </w:rPr>
              <w:t xml:space="preserve">Replicate means that “[t]he main concept of the experiment is replicated in other locations” </w:t>
            </w:r>
            <w:r w:rsidRPr="004126EE">
              <w:rPr>
                <w:sz w:val="18"/>
                <w:szCs w:val="18"/>
              </w:rPr>
              <w:fldChar w:fldCharType="begin" w:fldLock="1"/>
            </w:r>
            <w:r w:rsidR="00C1356C">
              <w:rPr>
                <w:sz w:val="18"/>
                <w:szCs w:val="18"/>
              </w:rPr>
              <w:instrText>ADDIN CSL_CITATION {"citationItems":[{"id":"ITEM-1","itemData":{"DOI":"10.1016/j.enpol.2017.07.056","ISSN":"03014215","abstract":"Current electricity grids do not fit the needs and challenges of the 21st century, such as the need to transition to renewable energy sources and the variability in power supply concomitant with such energy sources. In this context, smart electricity grids have been proposed as a solution. A large number of pilots and experiments have been set up, but a key challenge remains how to upscale them. Upscaling is critically important to enable a wide-scale integration of renewable energy sources. This paper mobilises literature on the strategic management of experimental niches to explore the upscaling of smart grids in the Netherlands. On the basis of existing literature, a typology of four different patterns of upscaling is proposed: growing, replication, accumulation, and transformation. The relevance of this typology to understanding upscaling of smart grids is explored in a comparative qualitative case study design. On this basis we argue that the building of broad and deep social networks is important for growing and replication; articulating and sharing expectations is important for replication; and broad and reflexive learning processes are critical to transformation and replication. The paper concludes by arguing that these findings can provide important guidelines for future energy innovation policies.","author":[{"dropping-particle":"","family":"Naber","given":"Rolf","non-dropping-particle":"","parse-names":false,"suffix":""},{"dropping-particle":"","family":"Raven","given":"Rob","non-dropping-particle":"","parse-names":false,"suffix":""},{"dropping-particle":"","family":"Kouw","given":"Matthijs","non-dropping-particle":"","parse-names":false,"suffix":""},{"dropping-particle":"","family":"Dassen","given":"Ton","non-dropping-particle":"","parse-names":false,"suffix":""}],"container-title":"Energy Policy","id":"ITEM-1","issued":{"date-parts":[["2017","11"]]},"page":"342-354","title":"Scaling up sustainable energy innovations","type":"article-journal","volume":"110"},"suffix":", p. 344","uris":["http://www.mendeley.com/documents/?uuid=ed3b2e77-ae1d-3281-9c76-ea96b3e0b126"]}],"mendeley":{"formattedCitation":"(Naber et al. 2017, p. 344)","plainTextFormattedCitation":"(Naber et al. 2017, p. 344)","previouslyFormattedCitation":"(Naber et al. 2017, p. 344)"},"properties":{"noteIndex":0},"schema":"https://github.com/citation-style-language/schema/raw/master/csl-citation.json"}</w:instrText>
            </w:r>
            <w:r w:rsidRPr="004126EE">
              <w:rPr>
                <w:sz w:val="18"/>
                <w:szCs w:val="18"/>
              </w:rPr>
              <w:fldChar w:fldCharType="separate"/>
            </w:r>
            <w:r w:rsidR="004E0A16" w:rsidRPr="004E0A16">
              <w:rPr>
                <w:noProof/>
                <w:sz w:val="18"/>
                <w:szCs w:val="18"/>
              </w:rPr>
              <w:t>(Naber et al. 2017, p. 344)</w:t>
            </w:r>
            <w:r w:rsidRPr="004126EE">
              <w:rPr>
                <w:sz w:val="18"/>
                <w:szCs w:val="18"/>
              </w:rPr>
              <w:fldChar w:fldCharType="end"/>
            </w:r>
          </w:p>
        </w:tc>
      </w:tr>
      <w:tr w:rsidR="0089572C" w:rsidRPr="004126EE" w14:paraId="3C0BE0C4" w14:textId="77777777" w:rsidTr="00514E51">
        <w:trPr>
          <w:trHeight w:val="408"/>
        </w:trPr>
        <w:tc>
          <w:tcPr>
            <w:tcW w:w="1786" w:type="dxa"/>
          </w:tcPr>
          <w:p w14:paraId="5171F94D" w14:textId="77777777" w:rsidR="0089572C" w:rsidRPr="00B365DF" w:rsidRDefault="0089572C" w:rsidP="0089572C">
            <w:pPr>
              <w:rPr>
                <w:b/>
                <w:sz w:val="18"/>
                <w:szCs w:val="18"/>
              </w:rPr>
            </w:pPr>
            <w:r w:rsidRPr="00B365DF">
              <w:rPr>
                <w:b/>
                <w:sz w:val="18"/>
                <w:szCs w:val="18"/>
              </w:rPr>
              <w:lastRenderedPageBreak/>
              <w:t>Spreading</w:t>
            </w:r>
          </w:p>
        </w:tc>
        <w:tc>
          <w:tcPr>
            <w:tcW w:w="1786" w:type="dxa"/>
          </w:tcPr>
          <w:p w14:paraId="17817EE4" w14:textId="3FF85FC6" w:rsidR="004126EE" w:rsidRPr="004126EE" w:rsidRDefault="0089572C" w:rsidP="004126EE">
            <w:pPr>
              <w:jc w:val="center"/>
              <w:rPr>
                <w:sz w:val="18"/>
                <w:szCs w:val="18"/>
              </w:rPr>
            </w:pPr>
            <w:r w:rsidRPr="004126EE">
              <w:rPr>
                <w:b/>
                <w:sz w:val="18"/>
                <w:szCs w:val="18"/>
              </w:rPr>
              <w:t>Scaling out</w:t>
            </w:r>
            <w:r w:rsidRPr="004126EE">
              <w:rPr>
                <w:sz w:val="18"/>
                <w:szCs w:val="18"/>
              </w:rPr>
              <w:t>:</w:t>
            </w:r>
          </w:p>
          <w:p w14:paraId="1C75D9F0" w14:textId="4798A800" w:rsidR="0089572C" w:rsidRPr="004126EE" w:rsidRDefault="0089572C" w:rsidP="004126EE">
            <w:pPr>
              <w:jc w:val="center"/>
              <w:rPr>
                <w:sz w:val="18"/>
                <w:szCs w:val="18"/>
              </w:rPr>
            </w:pPr>
            <w:r w:rsidRPr="004126EE">
              <w:rPr>
                <w:sz w:val="18"/>
                <w:szCs w:val="18"/>
              </w:rPr>
              <w:t xml:space="preserve">“Disseminate principles, but with an adaptation to new contexts […] leaving it to the local community to adapt it to local conditions” </w:t>
            </w:r>
            <w:r w:rsidRPr="004126EE">
              <w:rPr>
                <w:sz w:val="18"/>
                <w:szCs w:val="18"/>
              </w:rPr>
              <w:fldChar w:fldCharType="begin" w:fldLock="1"/>
            </w:r>
            <w:r w:rsidR="006E4756">
              <w:rPr>
                <w:sz w:val="18"/>
                <w:szCs w:val="18"/>
              </w:rPr>
              <w:instrText>ADDIN CSL_CITATION {"citationItems":[{"id":"ITEM-1","itemData":{"DOI":"10.9774/GLEAF.4700.2015.ju.00009","ISSN":"14705001","abstract":"To effect large system change, \" niche \" or local-level innovations must span spatial and institutional scales to achieve broader systemic impact. Leaders of social innova-tion, in particular those who work in non-profit organizations and funders of non-profit and civil society organizations, are increasingly concerned with scaling the positive impact of their investments. This study examines the case of the J.W. McConnell Family Foundation and the implementation of a deliberate strategy, named the Applied Dissemination initiative, to build grantee capacity and to accelerate their initiatives to achieve systemic change. One part of the strategy involved an \" educational intervention \" , where lead-ers of more than a dozen national-level initiatives in Canada convened regularly over a period of several years to learn from each other's efforts to achieve scale. The group was successful not only in their efforts to scale for positive impact on their respective issue areas, but also in catalyzing a field of practice in Canada with a growing exper-tise in scaling innovation for systemic change. The findings show the success of six different strategies that may be adopted to scale innovation on the pathway to large-scale or systemic impact, which cut across three different types of \" scaling \" : scaling out, scaling up, and scaling deep.","author":[{"dropping-particle":"","family":"Moore","given":"Michele-Lee","non-dropping-particle":"","parse-names":false,"suffix":""},{"dropping-particle":"","family":"Riddell","given":"Darcy","non-dropping-particle":"","parse-names":false,"suffix":""},{"dropping-particle":"","family":"Vocisano","given":"Dana","non-dropping-particle":"","parse-names":false,"suffix":""}],"container-title":"Journal of Corporate Citizenship","id":"ITEM-1","issue":"58","issued":{"date-parts":[["2015","6","1"]]},"page":"67-84","title":"Scaling Out, Scaling Up, Scaling Deep: Strategies of Non-profits in Advancing Systemic Social Innovation","type":"article-journal","volume":"2015"},"locator":"77-78","uris":["http://www.mendeley.com/documents/?uuid=34e85cb3-af61-32df-a487-6d00e48d9786"]}],"mendeley":{"formattedCitation":"(Moore et al. 2015)","plainTextFormattedCitation":"(Moore et al. 2015)","previouslyFormattedCitation":"(Moore et al. 2015)"},"properties":{"noteIndex":0},"schema":"https://github.com/citation-style-language/schema/raw/master/csl-citation.json"}</w:instrText>
            </w:r>
            <w:r w:rsidRPr="004126EE">
              <w:rPr>
                <w:sz w:val="18"/>
                <w:szCs w:val="18"/>
              </w:rPr>
              <w:fldChar w:fldCharType="separate"/>
            </w:r>
            <w:r w:rsidR="00A21843" w:rsidRPr="00A21843">
              <w:rPr>
                <w:noProof/>
                <w:sz w:val="18"/>
                <w:szCs w:val="18"/>
              </w:rPr>
              <w:t>(Moore et al. 2015)</w:t>
            </w:r>
            <w:r w:rsidRPr="004126EE">
              <w:rPr>
                <w:sz w:val="18"/>
                <w:szCs w:val="18"/>
              </w:rPr>
              <w:fldChar w:fldCharType="end"/>
            </w:r>
          </w:p>
        </w:tc>
        <w:tc>
          <w:tcPr>
            <w:tcW w:w="1786" w:type="dxa"/>
          </w:tcPr>
          <w:p w14:paraId="7036934B" w14:textId="77777777" w:rsidR="0089572C" w:rsidRPr="004126EE" w:rsidRDefault="0089572C" w:rsidP="004126EE">
            <w:pPr>
              <w:jc w:val="center"/>
              <w:rPr>
                <w:sz w:val="18"/>
                <w:szCs w:val="18"/>
              </w:rPr>
            </w:pPr>
          </w:p>
        </w:tc>
        <w:tc>
          <w:tcPr>
            <w:tcW w:w="1786" w:type="dxa"/>
          </w:tcPr>
          <w:p w14:paraId="78BD8C8B" w14:textId="77777777" w:rsidR="0089572C" w:rsidRPr="004126EE" w:rsidRDefault="0089572C" w:rsidP="004126EE">
            <w:pPr>
              <w:jc w:val="center"/>
              <w:rPr>
                <w:sz w:val="18"/>
                <w:szCs w:val="18"/>
              </w:rPr>
            </w:pPr>
          </w:p>
        </w:tc>
        <w:tc>
          <w:tcPr>
            <w:tcW w:w="1786" w:type="dxa"/>
          </w:tcPr>
          <w:p w14:paraId="1AC5AAB5" w14:textId="3352AA75" w:rsidR="0089572C" w:rsidRPr="004126EE" w:rsidRDefault="0089572C" w:rsidP="004126EE">
            <w:pPr>
              <w:jc w:val="center"/>
              <w:rPr>
                <w:sz w:val="18"/>
                <w:szCs w:val="18"/>
              </w:rPr>
            </w:pPr>
            <w:r w:rsidRPr="004126EE">
              <w:rPr>
                <w:b/>
                <w:sz w:val="18"/>
                <w:szCs w:val="18"/>
              </w:rPr>
              <w:t>Replicating</w:t>
            </w:r>
            <w:r w:rsidRPr="004126EE">
              <w:rPr>
                <w:sz w:val="18"/>
                <w:szCs w:val="18"/>
              </w:rPr>
              <w:t>: “[T]</w:t>
            </w:r>
            <w:proofErr w:type="spellStart"/>
            <w:r w:rsidRPr="004126EE">
              <w:rPr>
                <w:sz w:val="18"/>
                <w:szCs w:val="18"/>
              </w:rPr>
              <w:t>ake</w:t>
            </w:r>
            <w:proofErr w:type="spellEnd"/>
            <w:r w:rsidRPr="004126EE">
              <w:rPr>
                <w:sz w:val="18"/>
                <w:szCs w:val="18"/>
              </w:rPr>
              <w:t xml:space="preserve"> up […] new ways of [thinking, doing and organizing] of one transition initiative by another transition initiative or different actors in order to spread out these new ways.” </w:t>
            </w:r>
            <w:r w:rsidRPr="004126EE">
              <w:rPr>
                <w:sz w:val="18"/>
                <w:szCs w:val="18"/>
              </w:rPr>
              <w:fldChar w:fldCharType="begin" w:fldLock="1"/>
            </w:r>
            <w:r w:rsidR="00733B3E">
              <w:rPr>
                <w:sz w:val="18"/>
                <w:szCs w:val="18"/>
              </w:rPr>
              <w:instrText>ADDIN CSL_CITATION {"citationItems":[{"id":"ITEM-1","itemData":{"DOI":"10.1016/j.jclepro.2016.12.052","ISSN":"09596526","abstract":"a b s t r a c t In recent years, multiple transformative initiatives have been set up in cities across the world to kick-start transitions of urban systems towards sustainability. Yet to what extent do these initiatives influence sys-temic change or accelerate sustainability transitions? We apply an analytical framework, conceptualizing five mechanisms representing acceleration dynamics of sustainability transitions e replicating, partnering, upscaling, instrumentalising and embedding e to examine transition dynamics in the Belgian City of Genk. The focal unit of analysis are the innovative activities and related actor-networks from the city region, defined as 'transition initiatives', situated within the local governance context. We selected 10 local tran-sition initiatives with a clear focus on environmental sustainability and set out to understand their origins and identify conditions and mechanisms for accelerating sustainable low-carbon transitions. Our findings show that all five mechanisms of acceleration are occurring in Genk at the moment and that the local governance context is favourable for accelerating transition dynamics to sustainability, mostly because it promotes diffusion, partnering and embedding processes. For instance, one initiative that proved to be a hotspot for partnering is the Heempark, a Public-Civic Partnership in which volunteers and the government collaborate in a mutually beneficial way. Our findings provide early indications of mounting changes, increasing reflexivity and coordination from governance actors and diffusion, embedding and routinisation of more sustainable ways of thinking, doing and organising in the wider public. These acceleration dy-namics are most apparent in the food, nature, resource and education domain in Genk and are mostly fuelled via multi-actor collaborations. On an aggregate level, these observations suggest that socio-cultural, economic, ecological and institutional changes are accumulating. We therefore conclude that early but fragile acceleration dynamics are unfolding in Genk. Our findings are relevant to deepen the understanding of transition scholars on the acceleration dynamics of urban sustainability transitions and may be of particular interest for practitioners on the field.","author":[{"dropping-particle":"","family":"Gorissen","given":"Leen","non-dropping-particle":"","parse-names":false,"suffix":""},{"dropping-particle":"","family":"Spira","given":"Felix","non-dropping-particle":"","parse-names":false,"suffix":""},{"dropping-particle":"","family":"Meynaerts","given":"Erika","non-dropping-particle":"","parse-names":false,"suffix":""},{"dropping-particle":"","family":"Valkering","given":"Pieter","non-dropping-particle":"","parse-names":false,"suffix":""},{"dropping-particle":"","family":"Frantzeskaki","given":"Niki","non-dropping-particle":"","parse-names":false,"suffix":""}],"container-title":"Journal of Cleaner Production","id":"ITEM-1","issued":{"date-parts":[["2018","2"]]},"page":"171-185","title":"Moving towards systemic change? Investigating acceleration dynamics of urban sustainability transitions in the Belgian City of Genk","type":"article-journal","volume":"173"},"suffix":", p. 173","uris":["http://www.mendeley.com/documents/?uuid=fd6ec00b-8a31-3c69-aec7-22eea59471c3"]}],"mendeley":{"formattedCitation":"(Gorissen et al. 2018, p. 173)","plainTextFormattedCitation":"(Gorissen et al. 2018, p. 173)","previouslyFormattedCitation":"(Gorissen et al. 2018, p. 173)"},"properties":{"noteIndex":0},"schema":"https://github.com/citation-style-language/schema/raw/master/csl-citation.json"}</w:instrText>
            </w:r>
            <w:r w:rsidRPr="004126EE">
              <w:rPr>
                <w:sz w:val="18"/>
                <w:szCs w:val="18"/>
              </w:rPr>
              <w:fldChar w:fldCharType="separate"/>
            </w:r>
            <w:r w:rsidR="00C1356C" w:rsidRPr="00C1356C">
              <w:rPr>
                <w:noProof/>
                <w:sz w:val="18"/>
                <w:szCs w:val="18"/>
              </w:rPr>
              <w:t>(Gorissen et al. 2018, p. 173)</w:t>
            </w:r>
            <w:r w:rsidRPr="004126EE">
              <w:rPr>
                <w:sz w:val="18"/>
                <w:szCs w:val="18"/>
              </w:rPr>
              <w:fldChar w:fldCharType="end"/>
            </w:r>
            <w:r w:rsidRPr="004126EE">
              <w:rPr>
                <w:sz w:val="18"/>
                <w:szCs w:val="18"/>
              </w:rPr>
              <w:t>.</w:t>
            </w:r>
          </w:p>
        </w:tc>
        <w:tc>
          <w:tcPr>
            <w:tcW w:w="1786" w:type="dxa"/>
          </w:tcPr>
          <w:p w14:paraId="6C7B68D8" w14:textId="367F0BFE" w:rsidR="004126EE" w:rsidRPr="004126EE" w:rsidRDefault="006E1FE5" w:rsidP="004126EE">
            <w:pPr>
              <w:jc w:val="center"/>
              <w:rPr>
                <w:sz w:val="18"/>
                <w:szCs w:val="18"/>
              </w:rPr>
            </w:pPr>
            <w:r w:rsidRPr="004126EE">
              <w:rPr>
                <w:b/>
                <w:sz w:val="18"/>
                <w:szCs w:val="18"/>
              </w:rPr>
              <w:t>Broadening</w:t>
            </w:r>
            <w:r w:rsidRPr="004126EE">
              <w:rPr>
                <w:sz w:val="18"/>
                <w:szCs w:val="18"/>
              </w:rPr>
              <w:t>:</w:t>
            </w:r>
          </w:p>
          <w:p w14:paraId="143CD2AB" w14:textId="2A89EF05" w:rsidR="0089572C" w:rsidRDefault="006E1FE5" w:rsidP="004126EE">
            <w:pPr>
              <w:jc w:val="center"/>
              <w:rPr>
                <w:sz w:val="18"/>
                <w:szCs w:val="18"/>
              </w:rPr>
            </w:pPr>
            <w:r w:rsidRPr="004126EE">
              <w:rPr>
                <w:sz w:val="18"/>
                <w:szCs w:val="18"/>
              </w:rPr>
              <w:t xml:space="preserve">Repeat and link “an experiment in a different context” </w:t>
            </w:r>
            <w:r w:rsidRPr="004126EE">
              <w:rPr>
                <w:sz w:val="18"/>
                <w:szCs w:val="18"/>
              </w:rPr>
              <w:fldChar w:fldCharType="begin" w:fldLock="1"/>
            </w:r>
            <w:r w:rsidR="006E4756">
              <w:rPr>
                <w:sz w:val="18"/>
                <w:szCs w:val="18"/>
              </w:rPr>
              <w:instrText>ADDIN CSL_CITATION {"citationItems":[{"id":"ITEM-1","itemData":{"ISBN":"978 1 84720 229 1","ISSN":"1847202292","author":[{"dropping-particle":"","family":"Rotmans","given":"Jan","non-dropping-particle":"","parse-names":false,"suffix":""},{"dropping-particle":"","family":"Loorbach","given":"Derk","non-dropping-particle":"","parse-names":false,"suffix":""}],"chapter-number":"2","container-title":"Managing the Transition to Renewable Energy: Theory and Practice from Local, Regional and Macro Perspectives","editor":[{"dropping-particle":"","family":"Bergh","given":"Jeroen C. J. M.","non-dropping-particle":"van den","parse-names":false,"suffix":""},{"dropping-particle":"","family":"Bruinsma","given":"Frank R.","non-dropping-particle":"","parse-names":false,"suffix":""}],"id":"ITEM-1","issued":{"date-parts":[["2008"]]},"page":"15-46","publisher":"Edward Elgar Publishing","publisher-place":"Cheltenham, UK and Northampton, MA, USA","title":"Transition management: reflexive governance of societal complexity through searching, learning and experimenting","type":"chapter"},"suffix":", p. 27","uris":["http://www.mendeley.com/documents/?uuid=04d56412-4ff2-4948-9557-7e3f20afcd48"]}],"mendeley":{"formattedCitation":"(Rotmans and Loorbach 2008, p. 27)","plainTextFormattedCitation":"(Rotmans and Loorbach 2008, p. 27)","previouslyFormattedCitation":"(Rotmans and Loorbach 2008, p. 27)"},"properties":{"noteIndex":0},"schema":"https://github.com/citation-style-language/schema/raw/master/csl-citation.json"}</w:instrText>
            </w:r>
            <w:r w:rsidRPr="004126EE">
              <w:rPr>
                <w:sz w:val="18"/>
                <w:szCs w:val="18"/>
              </w:rPr>
              <w:fldChar w:fldCharType="separate"/>
            </w:r>
            <w:r w:rsidR="004E0A16" w:rsidRPr="004E0A16">
              <w:rPr>
                <w:noProof/>
                <w:sz w:val="18"/>
                <w:szCs w:val="18"/>
              </w:rPr>
              <w:t>(Rotmans and Loorbach 2008, p. 27)</w:t>
            </w:r>
            <w:r w:rsidRPr="004126EE">
              <w:rPr>
                <w:sz w:val="18"/>
                <w:szCs w:val="18"/>
              </w:rPr>
              <w:fldChar w:fldCharType="end"/>
            </w:r>
            <w:r w:rsidRPr="004126EE">
              <w:rPr>
                <w:sz w:val="18"/>
                <w:szCs w:val="18"/>
              </w:rPr>
              <w:t xml:space="preserve">. “The result of broadening can be […] the new or deviant culture, practices and structure fulfill a broader function.” </w:t>
            </w:r>
            <w:r w:rsidRPr="004126EE">
              <w:rPr>
                <w:sz w:val="18"/>
                <w:szCs w:val="18"/>
              </w:rPr>
              <w:fldChar w:fldCharType="begin" w:fldLock="1"/>
            </w:r>
            <w:r w:rsidR="00C1356C">
              <w:rPr>
                <w:sz w:val="18"/>
                <w:szCs w:val="18"/>
              </w:rPr>
              <w:instrText>ADDIN CSL_CITATION {"citationItems":[{"id":"ITEM-1","itemData":{"abstract":"This essay presents a conceptual framework for analyzing and influencing the contribution of small- scale experiments to transitions towards a more sustainable society. This framework is aimed at providing academics and practitioners with a theoretical and practice oriented perspective to both understand and ‘steer’ the contribution of experiments to transitions. The central instrument in this framework are ‘transition experiments’, which provide an alternative approach to classical innovation projects that are aimed at realizing short-term solutions. A transition experiment is an innovation project with a societal challenge as a starting point for learning aimed at contributing to a transition. First we elaborate on the origin and context of transition experiments. We define what distinguishes a transition experiment from classical innovation experiments and develop process- and substance- criteria for a successful transition experiment. We then build upon the sustainability transition literature by identifying three central mechanisms through which experiments contribute to transitions: deepening (learning as much as possible in a specific context), broadening (linking and repeating in different contexts) and scaling up (embedding the experiment in -new- 4 Deepening, Broadening and Scaling up A Framework for Steering Transition Experiments dominant ways of thinking, doing and organizing). The developed conceptual framework for steering transition experiments consists of a descriptive and a prescriptive part. To understand how experiments can contribute to transitions and what this contribution encompasses, the framework relates the mechanisms deepening, broadening and scaling up to desired changes in established ways of thinking (culture), doing (practices) and organizing (structure). Furthermore, it elaborates on the conditions under which experiments contribute to transitions. The prescriptive part of the framework translates the identified mechanisms in different management strategies for transition experiments and further specifies this in management guidelines for project and program managers that aim to increase the contribution of experiments to transitions. The framework has been partly applied in different transition experiments in the Netherlands (in the mobility and care sector). These examples illustrate how the developed concepts and guidelines enable concrete recommendations and actions for steering transition experiments. This type of s…","author":[{"dropping-particle":"","family":"Bosch","given":"Suzanne","non-dropping-particle":"van den","parse-names":false,"suffix":""},{"dropping-particle":"","family":"Rotmans","given":"Jan","non-dropping-particle":"","parse-names":false,"suffix":""}],"container-title":"Knowledge Centre for Sustainable System Innovations and Transitions (KCT)","id":"ITEM-1","issued":{"date-parts":[["2008"]]},"publisher-place":"Rotterdam","title":"Deepening, Broadening and Scaling up: A Framework for Steering Transition Experiments","type":"report"},"suffix":", p. 32","uris":["http://www.mendeley.com/documents/?uuid=4892bf11-05f9-38dc-9143-36a11a60f2f4"]}],"mendeley":{"formattedCitation":"(van den Bosch and Rotmans 2008, p. 32)","plainTextFormattedCitation":"(van den Bosch and Rotmans 2008, p. 32)","previouslyFormattedCitation":"(van den Bosch and Rotmans 2008, p. 32)"},"properties":{"noteIndex":0},"schema":"https://github.com/citation-style-language/schema/raw/master/csl-citation.json"}</w:instrText>
            </w:r>
            <w:r w:rsidRPr="004126EE">
              <w:rPr>
                <w:sz w:val="18"/>
                <w:szCs w:val="18"/>
              </w:rPr>
              <w:fldChar w:fldCharType="separate"/>
            </w:r>
            <w:r w:rsidR="004E0A16" w:rsidRPr="004E0A16">
              <w:rPr>
                <w:noProof/>
                <w:sz w:val="18"/>
                <w:szCs w:val="18"/>
              </w:rPr>
              <w:t>(van den Bosch and Rotmans 2008, p. 32)</w:t>
            </w:r>
            <w:r w:rsidRPr="004126EE">
              <w:rPr>
                <w:sz w:val="18"/>
                <w:szCs w:val="18"/>
              </w:rPr>
              <w:fldChar w:fldCharType="end"/>
            </w:r>
          </w:p>
          <w:p w14:paraId="2C329F1F" w14:textId="2EB5EC73" w:rsidR="00C1356C" w:rsidRPr="004126EE" w:rsidRDefault="00C1356C" w:rsidP="004126EE">
            <w:pPr>
              <w:jc w:val="center"/>
              <w:rPr>
                <w:sz w:val="18"/>
                <w:szCs w:val="18"/>
              </w:rPr>
            </w:pPr>
          </w:p>
        </w:tc>
        <w:tc>
          <w:tcPr>
            <w:tcW w:w="1786" w:type="dxa"/>
          </w:tcPr>
          <w:p w14:paraId="2EB6AD73" w14:textId="42FBD9AD" w:rsidR="004126EE" w:rsidRPr="004126EE" w:rsidRDefault="0089572C" w:rsidP="004126EE">
            <w:pPr>
              <w:jc w:val="center"/>
              <w:rPr>
                <w:sz w:val="18"/>
                <w:szCs w:val="18"/>
              </w:rPr>
            </w:pPr>
            <w:r w:rsidRPr="004126EE">
              <w:rPr>
                <w:b/>
                <w:sz w:val="18"/>
                <w:szCs w:val="18"/>
              </w:rPr>
              <w:t>Replication</w:t>
            </w:r>
            <w:r w:rsidR="00FF1FD1" w:rsidRPr="004126EE">
              <w:rPr>
                <w:sz w:val="18"/>
                <w:szCs w:val="18"/>
              </w:rPr>
              <w:t>:</w:t>
            </w:r>
          </w:p>
          <w:p w14:paraId="2D0F3909" w14:textId="5BA3E678" w:rsidR="0089572C" w:rsidRPr="004126EE" w:rsidRDefault="004126EE" w:rsidP="004126EE">
            <w:pPr>
              <w:jc w:val="center"/>
              <w:rPr>
                <w:sz w:val="18"/>
                <w:szCs w:val="18"/>
              </w:rPr>
            </w:pPr>
            <w:r w:rsidRPr="004126EE">
              <w:rPr>
                <w:sz w:val="18"/>
                <w:szCs w:val="18"/>
              </w:rPr>
              <w:t>M</w:t>
            </w:r>
            <w:r w:rsidR="00FF1FD1" w:rsidRPr="004126EE">
              <w:rPr>
                <w:sz w:val="18"/>
                <w:szCs w:val="18"/>
              </w:rPr>
              <w:t xml:space="preserve">eans that “[t]he main concept of the experiment is replicated in other […] contexts” </w:t>
            </w:r>
            <w:r w:rsidR="00FF1FD1" w:rsidRPr="004126EE">
              <w:rPr>
                <w:sz w:val="18"/>
                <w:szCs w:val="18"/>
              </w:rPr>
              <w:fldChar w:fldCharType="begin" w:fldLock="1"/>
            </w:r>
            <w:r w:rsidR="00C1356C">
              <w:rPr>
                <w:sz w:val="18"/>
                <w:szCs w:val="18"/>
              </w:rPr>
              <w:instrText>ADDIN CSL_CITATION {"citationItems":[{"id":"ITEM-1","itemData":{"DOI":"10.1016/j.enpol.2017.07.056","ISSN":"03014215","abstract":"Current electricity grids do not fit the needs and challenges of the 21st century, such as the need to transition to renewable energy sources and the variability in power supply concomitant with such energy sources. In this context, smart electricity grids have been proposed as a solution. A large number of pilots and experiments have been set up, but a key challenge remains how to upscale them. Upscaling is critically important to enable a wide-scale integration of renewable energy sources. This paper mobilises literature on the strategic management of experimental niches to explore the upscaling of smart grids in the Netherlands. On the basis of existing literature, a typology of four different patterns of upscaling is proposed: growing, replication, accumulation, and transformation. The relevance of this typology to understanding upscaling of smart grids is explored in a comparative qualitative case study design. On this basis we argue that the building of broad and deep social networks is important for growing and replication; articulating and sharing expectations is important for replication; and broad and reflexive learning processes are critical to transformation and replication. The paper concludes by arguing that these findings can provide important guidelines for future energy innovation policies.","author":[{"dropping-particle":"","family":"Naber","given":"Rolf","non-dropping-particle":"","parse-names":false,"suffix":""},{"dropping-particle":"","family":"Raven","given":"Rob","non-dropping-particle":"","parse-names":false,"suffix":""},{"dropping-particle":"","family":"Kouw","given":"Matthijs","non-dropping-particle":"","parse-names":false,"suffix":""},{"dropping-particle":"","family":"Dassen","given":"Ton","non-dropping-particle":"","parse-names":false,"suffix":""}],"container-title":"Energy Policy","id":"ITEM-1","issued":{"date-parts":[["2017","11"]]},"page":"342-354","title":"Scaling up sustainable energy innovations","type":"article-journal","volume":"110"},"suffix":", p. 344","uris":["http://www.mendeley.com/documents/?uuid=ed3b2e77-ae1d-3281-9c76-ea96b3e0b126"]}],"mendeley":{"formattedCitation":"(Naber et al. 2017, p. 344)","plainTextFormattedCitation":"(Naber et al. 2017, p. 344)","previouslyFormattedCitation":"(Naber et al. 2017, p. 344)"},"properties":{"noteIndex":0},"schema":"https://github.com/citation-style-language/schema/raw/master/csl-citation.json"}</w:instrText>
            </w:r>
            <w:r w:rsidR="00FF1FD1" w:rsidRPr="004126EE">
              <w:rPr>
                <w:sz w:val="18"/>
                <w:szCs w:val="18"/>
              </w:rPr>
              <w:fldChar w:fldCharType="separate"/>
            </w:r>
            <w:r w:rsidR="004E0A16" w:rsidRPr="004E0A16">
              <w:rPr>
                <w:noProof/>
                <w:sz w:val="18"/>
                <w:szCs w:val="18"/>
              </w:rPr>
              <w:t>(Naber et al. 2017, p. 344)</w:t>
            </w:r>
            <w:r w:rsidR="00FF1FD1" w:rsidRPr="004126EE">
              <w:rPr>
                <w:sz w:val="18"/>
                <w:szCs w:val="18"/>
              </w:rPr>
              <w:fldChar w:fldCharType="end"/>
            </w:r>
          </w:p>
        </w:tc>
      </w:tr>
      <w:tr w:rsidR="0089572C" w:rsidRPr="004126EE" w14:paraId="7F8B65FE" w14:textId="77777777" w:rsidTr="00514E51">
        <w:trPr>
          <w:trHeight w:val="408"/>
        </w:trPr>
        <w:tc>
          <w:tcPr>
            <w:tcW w:w="1786" w:type="dxa"/>
          </w:tcPr>
          <w:p w14:paraId="2EBA9885" w14:textId="77777777" w:rsidR="0089572C" w:rsidRPr="00B365DF" w:rsidRDefault="0089572C" w:rsidP="0089572C">
            <w:pPr>
              <w:rPr>
                <w:b/>
                <w:sz w:val="18"/>
                <w:szCs w:val="18"/>
              </w:rPr>
            </w:pPr>
            <w:r w:rsidRPr="00B365DF">
              <w:rPr>
                <w:b/>
                <w:sz w:val="18"/>
                <w:szCs w:val="18"/>
              </w:rPr>
              <w:t>Scaling up</w:t>
            </w:r>
          </w:p>
        </w:tc>
        <w:tc>
          <w:tcPr>
            <w:tcW w:w="1786" w:type="dxa"/>
          </w:tcPr>
          <w:p w14:paraId="12D0EB64" w14:textId="52DAA9D9" w:rsidR="004126EE" w:rsidRPr="004126EE" w:rsidRDefault="0089572C" w:rsidP="004126EE">
            <w:pPr>
              <w:jc w:val="center"/>
              <w:rPr>
                <w:sz w:val="18"/>
                <w:szCs w:val="18"/>
              </w:rPr>
            </w:pPr>
            <w:r w:rsidRPr="004126EE">
              <w:rPr>
                <w:b/>
                <w:sz w:val="18"/>
                <w:szCs w:val="18"/>
              </w:rPr>
              <w:t>Scaling up</w:t>
            </w:r>
            <w:r w:rsidRPr="004126EE">
              <w:rPr>
                <w:sz w:val="18"/>
                <w:szCs w:val="18"/>
              </w:rPr>
              <w:t>:</w:t>
            </w:r>
          </w:p>
          <w:p w14:paraId="4779ED93" w14:textId="362EF85E" w:rsidR="0089572C" w:rsidRPr="004126EE" w:rsidRDefault="0089572C" w:rsidP="004126EE">
            <w:pPr>
              <w:jc w:val="center"/>
              <w:rPr>
                <w:sz w:val="18"/>
                <w:szCs w:val="18"/>
              </w:rPr>
            </w:pPr>
            <w:r w:rsidRPr="004126EE">
              <w:rPr>
                <w:sz w:val="18"/>
                <w:szCs w:val="18"/>
              </w:rPr>
              <w:t xml:space="preserve">Impacting “higher levels of institutions through policy change” </w:t>
            </w:r>
            <w:r w:rsidRPr="004126EE">
              <w:rPr>
                <w:sz w:val="18"/>
                <w:szCs w:val="18"/>
              </w:rPr>
              <w:fldChar w:fldCharType="begin" w:fldLock="1"/>
            </w:r>
            <w:r w:rsidR="006E4756">
              <w:rPr>
                <w:sz w:val="18"/>
                <w:szCs w:val="18"/>
              </w:rPr>
              <w:instrText>ADDIN CSL_CITATION {"citationItems":[{"id":"ITEM-1","itemData":{"DOI":"10.9774/GLEAF.4700.2015.ju.00009","ISSN":"14705001","abstract":"To effect large system change, \" niche \" or local-level innovations must span spatial and institutional scales to achieve broader systemic impact. Leaders of social innova-tion, in particular those who work in non-profit organizations and funders of non-profit and civil society organizations, are increasingly concerned with scaling the positive impact of their investments. This study examines the case of the J.W. McConnell Family Foundation and the implementation of a deliberate strategy, named the Applied Dissemination initiative, to build grantee capacity and to accelerate their initiatives to achieve systemic change. One part of the strategy involved an \" educational intervention \" , where lead-ers of more than a dozen national-level initiatives in Canada convened regularly over a period of several years to learn from each other's efforts to achieve scale. The group was successful not only in their efforts to scale for positive impact on their respective issue areas, but also in catalyzing a field of practice in Canada with a growing exper-tise in scaling innovation for systemic change. The findings show the success of six different strategies that may be adopted to scale innovation on the pathway to large-scale or systemic impact, which cut across three different types of \" scaling \" : scaling out, scaling up, and scaling deep.","author":[{"dropping-particle":"","family":"Moore","given":"Michele-Lee","non-dropping-particle":"","parse-names":false,"suffix":""},{"dropping-particle":"","family":"Riddell","given":"Darcy","non-dropping-particle":"","parse-names":false,"suffix":""},{"dropping-particle":"","family":"Vocisano","given":"Dana","non-dropping-particle":"","parse-names":false,"suffix":""}],"container-title":"Journal of Corporate Citizenship","id":"ITEM-1","issue":"58","issued":{"date-parts":[["2015","6","1"]]},"page":"67-84","title":"Scaling Out, Scaling Up, Scaling Deep: Strategies of Non-profits in Advancing Systemic Social Innovation","type":"article-journal","volume":"2015"},"locator":"79","uris":["http://www.mendeley.com/documents/?uuid=34e85cb3-af61-32df-a487-6d00e48d9786"]}],"mendeley":{"formattedCitation":"(Moore et al. 2015)","plainTextFormattedCitation":"(Moore et al. 2015)","previouslyFormattedCitation":"(Moore et al. 2015)"},"properties":{"noteIndex":0},"schema":"https://github.com/citation-style-language/schema/raw/master/csl-citation.json"}</w:instrText>
            </w:r>
            <w:r w:rsidRPr="004126EE">
              <w:rPr>
                <w:sz w:val="18"/>
                <w:szCs w:val="18"/>
              </w:rPr>
              <w:fldChar w:fldCharType="separate"/>
            </w:r>
            <w:r w:rsidR="00A21843" w:rsidRPr="00A21843">
              <w:rPr>
                <w:noProof/>
                <w:sz w:val="18"/>
                <w:szCs w:val="18"/>
              </w:rPr>
              <w:t>(Moore et al. 2015)</w:t>
            </w:r>
            <w:r w:rsidRPr="004126EE">
              <w:rPr>
                <w:sz w:val="18"/>
                <w:szCs w:val="18"/>
              </w:rPr>
              <w:fldChar w:fldCharType="end"/>
            </w:r>
          </w:p>
        </w:tc>
        <w:tc>
          <w:tcPr>
            <w:tcW w:w="1786" w:type="dxa"/>
          </w:tcPr>
          <w:p w14:paraId="2B9BF047" w14:textId="77777777" w:rsidR="0089572C" w:rsidRPr="004126EE" w:rsidRDefault="0089572C" w:rsidP="004126EE">
            <w:pPr>
              <w:jc w:val="center"/>
              <w:rPr>
                <w:sz w:val="18"/>
                <w:szCs w:val="18"/>
              </w:rPr>
            </w:pPr>
          </w:p>
        </w:tc>
        <w:tc>
          <w:tcPr>
            <w:tcW w:w="1786" w:type="dxa"/>
          </w:tcPr>
          <w:p w14:paraId="1B45D4C7" w14:textId="29B2C82B" w:rsidR="004126EE" w:rsidRPr="004126EE" w:rsidRDefault="0089572C" w:rsidP="004126EE">
            <w:pPr>
              <w:jc w:val="center"/>
              <w:rPr>
                <w:sz w:val="18"/>
                <w:szCs w:val="18"/>
              </w:rPr>
            </w:pPr>
            <w:r w:rsidRPr="004126EE">
              <w:rPr>
                <w:b/>
                <w:sz w:val="18"/>
                <w:szCs w:val="18"/>
              </w:rPr>
              <w:t>Upscaling</w:t>
            </w:r>
            <w:r w:rsidRPr="004126EE">
              <w:rPr>
                <w:sz w:val="18"/>
                <w:szCs w:val="18"/>
              </w:rPr>
              <w:t>:</w:t>
            </w:r>
          </w:p>
          <w:p w14:paraId="185D9F66" w14:textId="07F5ADAF" w:rsidR="0089572C" w:rsidRPr="004126EE" w:rsidRDefault="0089572C" w:rsidP="004126EE">
            <w:pPr>
              <w:jc w:val="center"/>
              <w:rPr>
                <w:sz w:val="18"/>
                <w:szCs w:val="18"/>
              </w:rPr>
            </w:pPr>
            <w:r w:rsidRPr="004126EE">
              <w:rPr>
                <w:sz w:val="18"/>
                <w:szCs w:val="18"/>
              </w:rPr>
              <w:t xml:space="preserve">Embed or institutionalize “an innovation and changing the ‘institutional logics’ of an incumbent regime” </w:t>
            </w:r>
            <w:r w:rsidRPr="004126EE">
              <w:rPr>
                <w:sz w:val="18"/>
                <w:szCs w:val="18"/>
              </w:rPr>
              <w:fldChar w:fldCharType="begin" w:fldLock="1"/>
            </w:r>
            <w:r w:rsidR="00C1356C">
              <w:rPr>
                <w:sz w:val="18"/>
                <w:szCs w:val="18"/>
              </w:rPr>
              <w:instrText>ADDIN CSL_CITATION {"citationItems":[{"id":"ITEM-1","itemData":{"DOI":"10.1016/j.ecolecon.2016.07.011","ISSN":"09218009","abstract":"An important issue for the study of grassroots innovations and the geography of sustainability transitions is how scales affect transformative change. In this paper we will address the questions of 1) how grassroots innovations for sustainable agriculture are scaled and 2) the consequences of crossing different scales and levels on the characteristics of the grassroots innovation. We propose a framework of five different scales to analyze the development of grassroots innovations and we apply this framework on the long-term development of an agricultural grassroots innovation movement that pioneered innovative dairy farming practices combined with landscape management. The results show how the initial innovation coalition built around low external input farming became fragmented. Each of the resulting new grassroots innovation coalitions used different strategies for upscaling and outscaling that depended on differences in their (regional) contexts and institutional support. The grassroots innovation thus developed along three parallel, at times intersecting, innovation pathways. The distributed agency of multiple actor groups working in parallel leads to a continuous renegotiating of meaning that poses a challenge to the idea of planned processes of outscaling and upscaling of grassroots innovations.","author":[{"dropping-particle":"","family":"Hermans","given":"Frans","non-dropping-particle":"","parse-names":false,"suffix":""},{"dropping-particle":"","family":"Roep","given":"Dirk","non-dropping-particle":"","parse-names":false,"suffix":""},{"dropping-particle":"","family":"Klerkx","given":"Laurens","non-dropping-particle":"","parse-names":false,"suffix":""}],"container-title":"Ecological Economics","id":"ITEM-1","issued":{"date-parts":[["2016"]]},"page":"285-295","publisher":"Elsevier B.V.","title":"Scale dynamics of grassroots innovations through parallel pathways of transformative change","type":"article-journal","volume":"130"},"suffix":", p. 287","uris":["http://www.mendeley.com/documents/?uuid=1ee57789-21bd-40e9-b898-3b1daf573061"]}],"mendeley":{"formattedCitation":"(Hermans et al. 2016, p. 287)","plainTextFormattedCitation":"(Hermans et al. 2016, p. 287)","previouslyFormattedCitation":"(Hermans et al. 2016, p. 287)"},"properties":{"noteIndex":0},"schema":"https://github.com/citation-style-language/schema/raw/master/csl-citation.json"}</w:instrText>
            </w:r>
            <w:r w:rsidRPr="004126EE">
              <w:rPr>
                <w:sz w:val="18"/>
                <w:szCs w:val="18"/>
              </w:rPr>
              <w:fldChar w:fldCharType="separate"/>
            </w:r>
            <w:r w:rsidR="004E0A16" w:rsidRPr="004E0A16">
              <w:rPr>
                <w:noProof/>
                <w:sz w:val="18"/>
                <w:szCs w:val="18"/>
              </w:rPr>
              <w:t>(Hermans et al. 2016, p. 287)</w:t>
            </w:r>
            <w:r w:rsidRPr="004126EE">
              <w:rPr>
                <w:sz w:val="18"/>
                <w:szCs w:val="18"/>
              </w:rPr>
              <w:fldChar w:fldCharType="end"/>
            </w:r>
          </w:p>
        </w:tc>
        <w:tc>
          <w:tcPr>
            <w:tcW w:w="1786" w:type="dxa"/>
          </w:tcPr>
          <w:p w14:paraId="03059CDC" w14:textId="4AB5E765" w:rsidR="004126EE" w:rsidRPr="004126EE" w:rsidRDefault="0089572C" w:rsidP="004126EE">
            <w:pPr>
              <w:jc w:val="center"/>
              <w:rPr>
                <w:sz w:val="18"/>
                <w:szCs w:val="18"/>
              </w:rPr>
            </w:pPr>
            <w:r w:rsidRPr="004126EE">
              <w:rPr>
                <w:b/>
                <w:sz w:val="18"/>
                <w:szCs w:val="18"/>
              </w:rPr>
              <w:t>Embedding</w:t>
            </w:r>
            <w:r w:rsidR="00DE3596" w:rsidRPr="004126EE">
              <w:rPr>
                <w:sz w:val="18"/>
                <w:szCs w:val="18"/>
              </w:rPr>
              <w:t>:</w:t>
            </w:r>
          </w:p>
          <w:p w14:paraId="2A5991C9" w14:textId="2C7BAA42" w:rsidR="0089572C" w:rsidRDefault="00DE3596" w:rsidP="004126EE">
            <w:pPr>
              <w:jc w:val="center"/>
              <w:rPr>
                <w:sz w:val="18"/>
                <w:szCs w:val="18"/>
              </w:rPr>
            </w:pPr>
            <w:r w:rsidRPr="004126EE">
              <w:rPr>
                <w:sz w:val="18"/>
                <w:szCs w:val="18"/>
              </w:rPr>
              <w:t xml:space="preserve">Align “old and new ways of [thinking, doing and organizing] in order to integrate them into city-regional governance patterns.” </w:t>
            </w:r>
            <w:r w:rsidRPr="004126EE">
              <w:rPr>
                <w:sz w:val="18"/>
                <w:szCs w:val="18"/>
              </w:rPr>
              <w:fldChar w:fldCharType="begin" w:fldLock="1"/>
            </w:r>
            <w:r w:rsidR="00733B3E">
              <w:rPr>
                <w:sz w:val="18"/>
                <w:szCs w:val="18"/>
              </w:rPr>
              <w:instrText>ADDIN CSL_CITATION {"citationItems":[{"id":"ITEM-1","itemData":{"DOI":"10.1016/j.jclepro.2016.12.052","ISSN":"09596526","abstract":"a b s t r a c t In recent years, multiple transformative initiatives have been set up in cities across the world to kick-start transitions of urban systems towards sustainability. Yet to what extent do these initiatives influence sys-temic change or accelerate sustainability transitions? We apply an analytical framework, conceptualizing five mechanisms representing acceleration dynamics of sustainability transitions e replicating, partnering, upscaling, instrumentalising and embedding e to examine transition dynamics in the Belgian City of Genk. The focal unit of analysis are the innovative activities and related actor-networks from the city region, defined as 'transition initiatives', situated within the local governance context. We selected 10 local tran-sition initiatives with a clear focus on environmental sustainability and set out to understand their origins and identify conditions and mechanisms for accelerating sustainable low-carbon transitions. Our findings show that all five mechanisms of acceleration are occurring in Genk at the moment and that the local governance context is favourable for accelerating transition dynamics to sustainability, mostly because it promotes diffusion, partnering and embedding processes. For instance, one initiative that proved to be a hotspot for partnering is the Heempark, a Public-Civic Partnership in which volunteers and the government collaborate in a mutually beneficial way. Our findings provide early indications of mounting changes, increasing reflexivity and coordination from governance actors and diffusion, embedding and routinisation of more sustainable ways of thinking, doing and organising in the wider public. These acceleration dy-namics are most apparent in the food, nature, resource and education domain in Genk and are mostly fuelled via multi-actor collaborations. On an aggregate level, these observations suggest that socio-cultural, economic, ecological and institutional changes are accumulating. We therefore conclude that early but fragile acceleration dynamics are unfolding in Genk. Our findings are relevant to deepen the understanding of transition scholars on the acceleration dynamics of urban sustainability transitions and may be of particular interest for practitioners on the field.","author":[{"dropping-particle":"","family":"Gorissen","given":"Leen","non-dropping-particle":"","parse-names":false,"suffix":""},{"dropping-particle":"","family":"Spira","given":"Felix","non-dropping-particle":"","parse-names":false,"suffix":""},{"dropping-particle":"","family":"Meynaerts","given":"Erika","non-dropping-particle":"","parse-names":false,"suffix":""},{"dropping-particle":"","family":"Valkering","given":"Pieter","non-dropping-particle":"","parse-names":false,"suffix":""},{"dropping-particle":"","family":"Frantzeskaki","given":"Niki","non-dropping-particle":"","parse-names":false,"suffix":""}],"container-title":"Journal of Cleaner Production","id":"ITEM-1","issued":{"date-parts":[["2018","2"]]},"page":"171-185","title":"Moving towards systemic change? Investigating acceleration dynamics of urban sustainability transitions in the Belgian City of Genk","type":"article-journal","volume":"173"},"suffix":", p. 173","uris":["http://www.mendeley.com/documents/?uuid=fd6ec00b-8a31-3c69-aec7-22eea59471c3"]}],"mendeley":{"formattedCitation":"(Gorissen et al. 2018, p. 173)","plainTextFormattedCitation":"(Gorissen et al. 2018, p. 173)","previouslyFormattedCitation":"(Gorissen et al. 2018, p. 173)"},"properties":{"noteIndex":0},"schema":"https://github.com/citation-style-language/schema/raw/master/csl-citation.json"}</w:instrText>
            </w:r>
            <w:r w:rsidRPr="004126EE">
              <w:rPr>
                <w:sz w:val="18"/>
                <w:szCs w:val="18"/>
              </w:rPr>
              <w:fldChar w:fldCharType="separate"/>
            </w:r>
            <w:r w:rsidR="00C1356C" w:rsidRPr="00C1356C">
              <w:rPr>
                <w:noProof/>
                <w:sz w:val="18"/>
                <w:szCs w:val="18"/>
              </w:rPr>
              <w:t>(Gorissen et al. 2018, p. 173)</w:t>
            </w:r>
            <w:r w:rsidRPr="004126EE">
              <w:rPr>
                <w:sz w:val="18"/>
                <w:szCs w:val="18"/>
              </w:rPr>
              <w:fldChar w:fldCharType="end"/>
            </w:r>
          </w:p>
          <w:p w14:paraId="5AB8CA18" w14:textId="7FBDAB17" w:rsidR="00C1356C" w:rsidRPr="004126EE" w:rsidRDefault="00C1356C" w:rsidP="004126EE">
            <w:pPr>
              <w:jc w:val="center"/>
              <w:rPr>
                <w:sz w:val="18"/>
                <w:szCs w:val="18"/>
              </w:rPr>
            </w:pPr>
          </w:p>
        </w:tc>
        <w:tc>
          <w:tcPr>
            <w:tcW w:w="1786" w:type="dxa"/>
          </w:tcPr>
          <w:p w14:paraId="7E2DE3D7" w14:textId="65DCF053" w:rsidR="0089572C" w:rsidRPr="004126EE" w:rsidRDefault="0089572C" w:rsidP="004126EE">
            <w:pPr>
              <w:jc w:val="center"/>
              <w:rPr>
                <w:sz w:val="18"/>
                <w:szCs w:val="18"/>
              </w:rPr>
            </w:pPr>
            <w:r w:rsidRPr="004126EE">
              <w:rPr>
                <w:b/>
                <w:sz w:val="18"/>
                <w:szCs w:val="18"/>
              </w:rPr>
              <w:t>Scaling up</w:t>
            </w:r>
            <w:r w:rsidR="00212041" w:rsidRPr="004126EE">
              <w:rPr>
                <w:sz w:val="18"/>
                <w:szCs w:val="18"/>
              </w:rPr>
              <w:t>: “[A]</w:t>
            </w:r>
            <w:proofErr w:type="spellStart"/>
            <w:r w:rsidR="00212041" w:rsidRPr="004126EE">
              <w:rPr>
                <w:sz w:val="18"/>
                <w:szCs w:val="18"/>
              </w:rPr>
              <w:t>pply</w:t>
            </w:r>
            <w:proofErr w:type="spellEnd"/>
            <w:r w:rsidR="00212041" w:rsidRPr="004126EE">
              <w:rPr>
                <w:sz w:val="18"/>
                <w:szCs w:val="18"/>
              </w:rPr>
              <w:t xml:space="preserve"> a successful experiment at a higher scale level” </w:t>
            </w:r>
            <w:r w:rsidR="00212041" w:rsidRPr="004126EE">
              <w:rPr>
                <w:sz w:val="18"/>
                <w:szCs w:val="18"/>
              </w:rPr>
              <w:fldChar w:fldCharType="begin" w:fldLock="1"/>
            </w:r>
            <w:r w:rsidR="006E4756">
              <w:rPr>
                <w:sz w:val="18"/>
                <w:szCs w:val="18"/>
              </w:rPr>
              <w:instrText>ADDIN CSL_CITATION {"citationItems":[{"id":"ITEM-1","itemData":{"ISBN":"978 1 84720 229 1","ISSN":"1847202292","author":[{"dropping-particle":"","family":"Rotmans","given":"Jan","non-dropping-particle":"","parse-names":false,"suffix":""},{"dropping-particle":"","family":"Loorbach","given":"Derk","non-dropping-particle":"","parse-names":false,"suffix":""}],"chapter-number":"2","container-title":"Managing the Transition to Renewable Energy: Theory and Practice from Local, Regional and Macro Perspectives","editor":[{"dropping-particle":"","family":"Bergh","given":"Jeroen C. J. M.","non-dropping-particle":"van den","parse-names":false,"suffix":""},{"dropping-particle":"","family":"Bruinsma","given":"Frank R.","non-dropping-particle":"","parse-names":false,"suffix":""}],"id":"ITEM-1","issued":{"date-parts":[["2008"]]},"page":"15-46","publisher":"Edward Elgar Publishing","publisher-place":"Cheltenham, UK and Northampton, MA, USA","title":"Transition management: reflexive governance of societal complexity through searching, learning and experimenting","type":"chapter"},"suffix":", p. 27","uris":["http://www.mendeley.com/documents/?uuid=04d56412-4ff2-4948-9557-7e3f20afcd48"]}],"mendeley":{"formattedCitation":"(Rotmans and Loorbach 2008, p. 27)","plainTextFormattedCitation":"(Rotmans and Loorbach 2008, p. 27)","previouslyFormattedCitation":"(Rotmans and Loorbach 2008, p. 27)"},"properties":{"noteIndex":0},"schema":"https://github.com/citation-style-language/schema/raw/master/csl-citation.json"}</w:instrText>
            </w:r>
            <w:r w:rsidR="00212041" w:rsidRPr="004126EE">
              <w:rPr>
                <w:sz w:val="18"/>
                <w:szCs w:val="18"/>
              </w:rPr>
              <w:fldChar w:fldCharType="separate"/>
            </w:r>
            <w:r w:rsidR="004E0A16" w:rsidRPr="004E0A16">
              <w:rPr>
                <w:noProof/>
                <w:sz w:val="18"/>
                <w:szCs w:val="18"/>
              </w:rPr>
              <w:t>(Rotmans and Loorbach 2008, p. 27)</w:t>
            </w:r>
            <w:r w:rsidR="00212041" w:rsidRPr="004126EE">
              <w:rPr>
                <w:sz w:val="18"/>
                <w:szCs w:val="18"/>
              </w:rPr>
              <w:fldChar w:fldCharType="end"/>
            </w:r>
          </w:p>
        </w:tc>
        <w:tc>
          <w:tcPr>
            <w:tcW w:w="1786" w:type="dxa"/>
          </w:tcPr>
          <w:p w14:paraId="418AA93D" w14:textId="11001D82" w:rsidR="0089572C" w:rsidRPr="004126EE" w:rsidRDefault="0089572C" w:rsidP="004126EE">
            <w:pPr>
              <w:jc w:val="center"/>
              <w:rPr>
                <w:sz w:val="18"/>
                <w:szCs w:val="18"/>
              </w:rPr>
            </w:pPr>
            <w:r w:rsidRPr="004126EE">
              <w:rPr>
                <w:b/>
                <w:sz w:val="18"/>
                <w:szCs w:val="18"/>
              </w:rPr>
              <w:t>Transformation</w:t>
            </w:r>
            <w:r w:rsidR="004126EE" w:rsidRPr="004126EE">
              <w:rPr>
                <w:sz w:val="18"/>
                <w:szCs w:val="18"/>
              </w:rPr>
              <w:t xml:space="preserve">: Means that “[t]he experiment shapes wider institutional change in the regime selection environment” </w:t>
            </w:r>
            <w:r w:rsidR="004126EE" w:rsidRPr="004126EE">
              <w:rPr>
                <w:sz w:val="18"/>
                <w:szCs w:val="18"/>
              </w:rPr>
              <w:fldChar w:fldCharType="begin" w:fldLock="1"/>
            </w:r>
            <w:r w:rsidR="00C1356C">
              <w:rPr>
                <w:sz w:val="18"/>
                <w:szCs w:val="18"/>
              </w:rPr>
              <w:instrText>ADDIN CSL_CITATION {"citationItems":[{"id":"ITEM-1","itemData":{"DOI":"10.1016/j.enpol.2017.07.056","ISSN":"03014215","abstract":"Current electricity grids do not fit the needs and challenges of the 21st century, such as the need to transition to renewable energy sources and the variability in power supply concomitant with such energy sources. In this context, smart electricity grids have been proposed as a solution. A large number of pilots and experiments have been set up, but a key challenge remains how to upscale them. Upscaling is critically important to enable a wide-scale integration of renewable energy sources. This paper mobilises literature on the strategic management of experimental niches to explore the upscaling of smart grids in the Netherlands. On the basis of existing literature, a typology of four different patterns of upscaling is proposed: growing, replication, accumulation, and transformation. The relevance of this typology to understanding upscaling of smart grids is explored in a comparative qualitative case study design. On this basis we argue that the building of broad and deep social networks is important for growing and replication; articulating and sharing expectations is important for replication; and broad and reflexive learning processes are critical to transformation and replication. The paper concludes by arguing that these findings can provide important guidelines for future energy innovation policies.","author":[{"dropping-particle":"","family":"Naber","given":"Rolf","non-dropping-particle":"","parse-names":false,"suffix":""},{"dropping-particle":"","family":"Raven","given":"Rob","non-dropping-particle":"","parse-names":false,"suffix":""},{"dropping-particle":"","family":"Kouw","given":"Matthijs","non-dropping-particle":"","parse-names":false,"suffix":""},{"dropping-particle":"","family":"Dassen","given":"Ton","non-dropping-particle":"","parse-names":false,"suffix":""}],"container-title":"Energy Policy","id":"ITEM-1","issued":{"date-parts":[["2017","11"]]},"page":"342-354","title":"Scaling up sustainable energy innovations","type":"article-journal","volume":"110"},"suffix":", p. 344","uris":["http://www.mendeley.com/documents/?uuid=ed3b2e77-ae1d-3281-9c76-ea96b3e0b126"]}],"mendeley":{"formattedCitation":"(Naber et al. 2017, p. 344)","plainTextFormattedCitation":"(Naber et al. 2017, p. 344)","previouslyFormattedCitation":"(Naber et al. 2017, p. 344)"},"properties":{"noteIndex":0},"schema":"https://github.com/citation-style-language/schema/raw/master/csl-citation.json"}</w:instrText>
            </w:r>
            <w:r w:rsidR="004126EE" w:rsidRPr="004126EE">
              <w:rPr>
                <w:sz w:val="18"/>
                <w:szCs w:val="18"/>
              </w:rPr>
              <w:fldChar w:fldCharType="separate"/>
            </w:r>
            <w:r w:rsidR="004E0A16" w:rsidRPr="004E0A16">
              <w:rPr>
                <w:noProof/>
                <w:sz w:val="18"/>
                <w:szCs w:val="18"/>
              </w:rPr>
              <w:t>(Naber et al. 2017, p. 344)</w:t>
            </w:r>
            <w:r w:rsidR="004126EE" w:rsidRPr="004126EE">
              <w:rPr>
                <w:sz w:val="18"/>
                <w:szCs w:val="18"/>
              </w:rPr>
              <w:fldChar w:fldCharType="end"/>
            </w:r>
          </w:p>
        </w:tc>
      </w:tr>
      <w:tr w:rsidR="0089572C" w:rsidRPr="004126EE" w14:paraId="7D2DFE54" w14:textId="77777777" w:rsidTr="00514E51">
        <w:trPr>
          <w:trHeight w:val="408"/>
        </w:trPr>
        <w:tc>
          <w:tcPr>
            <w:tcW w:w="1786" w:type="dxa"/>
          </w:tcPr>
          <w:p w14:paraId="21D4C380" w14:textId="77777777" w:rsidR="0089572C" w:rsidRPr="00B365DF" w:rsidRDefault="0089572C" w:rsidP="0089572C">
            <w:pPr>
              <w:rPr>
                <w:b/>
                <w:sz w:val="18"/>
                <w:szCs w:val="18"/>
              </w:rPr>
            </w:pPr>
            <w:r w:rsidRPr="00B365DF">
              <w:rPr>
                <w:b/>
                <w:sz w:val="18"/>
                <w:szCs w:val="18"/>
              </w:rPr>
              <w:t>Scaling deep</w:t>
            </w:r>
          </w:p>
        </w:tc>
        <w:tc>
          <w:tcPr>
            <w:tcW w:w="1786" w:type="dxa"/>
          </w:tcPr>
          <w:p w14:paraId="7A5CD3A6" w14:textId="28ED2206" w:rsidR="0089572C" w:rsidRPr="004126EE" w:rsidRDefault="0089572C" w:rsidP="004126EE">
            <w:pPr>
              <w:jc w:val="center"/>
              <w:rPr>
                <w:sz w:val="18"/>
                <w:szCs w:val="18"/>
              </w:rPr>
            </w:pPr>
            <w:r w:rsidRPr="004126EE">
              <w:rPr>
                <w:b/>
                <w:sz w:val="18"/>
                <w:szCs w:val="18"/>
              </w:rPr>
              <w:t>Scaling deep</w:t>
            </w:r>
            <w:r w:rsidRPr="004126EE">
              <w:rPr>
                <w:sz w:val="18"/>
                <w:szCs w:val="18"/>
              </w:rPr>
              <w:t xml:space="preserve">: Spreading big cultural ideas and reframing stories to change beliefs and norms” </w:t>
            </w:r>
            <w:r w:rsidRPr="004126EE">
              <w:rPr>
                <w:sz w:val="18"/>
                <w:szCs w:val="18"/>
              </w:rPr>
              <w:fldChar w:fldCharType="begin" w:fldLock="1"/>
            </w:r>
            <w:r w:rsidR="00C1356C">
              <w:rPr>
                <w:sz w:val="18"/>
                <w:szCs w:val="18"/>
              </w:rPr>
              <w:instrText>ADDIN CSL_CITATION {"citationItems":[{"id":"ITEM-1","itemData":{"DOI":"10.9774/GLEAF.4700.2015.ju.00009","ISSN":"14705001","abstract":"To effect large system change, \" niche \" or local-level innovations must span spatial and institutional scales to achieve broader systemic impact. Leaders of social innova-tion, in particular those who work in non-profit organizations and funders of non-profit and civil society organizations, are increasingly concerned with scaling the positive impact of their investments. This study examines the case of the J.W. McConnell Family Foundation and the implementation of a deliberate strategy, named the Applied Dissemination initiative, to build grantee capacity and to accelerate their initiatives to achieve systemic change. One part of the strategy involved an \" educational intervention \" , where lead-ers of more than a dozen national-level initiatives in Canada convened regularly over a period of several years to learn from each other's efforts to achieve scale. The group was successful not only in their efforts to scale for positive impact on their respective issue areas, but also in catalyzing a field of practice in Canada with a growing exper-tise in scaling innovation for systemic change. The findings show the success of six different strategies that may be adopted to scale innovation on the pathway to large-scale or systemic impact, which cut across three different types of \" scaling \" : scaling out, scaling up, and scaling deep.","author":[{"dropping-particle":"","family":"Moore","given":"Michele-Lee","non-dropping-particle":"","parse-names":false,"suffix":""},{"dropping-particle":"","family":"Riddell","given":"Darcy","non-dropping-particle":"","parse-names":false,"suffix":""},{"dropping-particle":"","family":"Vocisano","given":"Dana","non-dropping-particle":"","parse-names":false,"suffix":""}],"container-title":"Journal of Corporate Citizenship","id":"ITEM-1","issue":"58","issued":{"date-parts":[["2015","6","1"]]},"page":"67-84","title":"Scaling Out, Scaling Up, Scaling Deep: Strategies of Non-profits in Advancing Systemic Social Innovation","type":"article-journal","volume":"2015"},"suffix":", p. 77","uris":["http://www.mendeley.com/documents/?uuid=34e85cb3-af61-32df-a487-6d00e48d9786"]}],"mendeley":{"formattedCitation":"(Moore et al. 2015, p. 77)","plainTextFormattedCitation":"(Moore et al. 2015, p. 77)","previouslyFormattedCitation":"(Moore et al. 2015, p. 77)"},"properties":{"noteIndex":0},"schema":"https://github.com/citation-style-language/schema/raw/master/csl-citation.json"}</w:instrText>
            </w:r>
            <w:r w:rsidRPr="004126EE">
              <w:rPr>
                <w:sz w:val="18"/>
                <w:szCs w:val="18"/>
              </w:rPr>
              <w:fldChar w:fldCharType="separate"/>
            </w:r>
            <w:r w:rsidR="004E0A16" w:rsidRPr="004E0A16">
              <w:rPr>
                <w:noProof/>
                <w:sz w:val="18"/>
                <w:szCs w:val="18"/>
              </w:rPr>
              <w:t>(Moore et al. 2015, p. 77)</w:t>
            </w:r>
            <w:r w:rsidRPr="004126EE">
              <w:rPr>
                <w:sz w:val="18"/>
                <w:szCs w:val="18"/>
              </w:rPr>
              <w:fldChar w:fldCharType="end"/>
            </w:r>
          </w:p>
        </w:tc>
        <w:tc>
          <w:tcPr>
            <w:tcW w:w="1786" w:type="dxa"/>
          </w:tcPr>
          <w:p w14:paraId="44364513" w14:textId="2A116FD4" w:rsidR="0089572C" w:rsidRPr="004126EE" w:rsidRDefault="0089572C" w:rsidP="004126EE">
            <w:pPr>
              <w:jc w:val="center"/>
              <w:rPr>
                <w:sz w:val="18"/>
                <w:szCs w:val="18"/>
              </w:rPr>
            </w:pPr>
            <w:r w:rsidRPr="004126EE">
              <w:rPr>
                <w:b/>
                <w:sz w:val="18"/>
                <w:szCs w:val="18"/>
              </w:rPr>
              <w:t>Scale deep</w:t>
            </w:r>
            <w:r w:rsidRPr="004126EE">
              <w:rPr>
                <w:sz w:val="18"/>
                <w:szCs w:val="18"/>
              </w:rPr>
              <w:t>: “[C]</w:t>
            </w:r>
            <w:proofErr w:type="spellStart"/>
            <w:r w:rsidRPr="004126EE">
              <w:rPr>
                <w:sz w:val="18"/>
                <w:szCs w:val="18"/>
              </w:rPr>
              <w:t>hange</w:t>
            </w:r>
            <w:proofErr w:type="spellEnd"/>
            <w:r w:rsidRPr="004126EE">
              <w:rPr>
                <w:sz w:val="18"/>
                <w:szCs w:val="18"/>
              </w:rPr>
              <w:t xml:space="preserve"> underlying values to inspire people to live in a different way” (www.goodanthropocenes.net)</w:t>
            </w:r>
          </w:p>
          <w:p w14:paraId="56307273" w14:textId="703D00C6" w:rsidR="0089572C" w:rsidRPr="004126EE" w:rsidRDefault="0089572C" w:rsidP="004126EE">
            <w:pPr>
              <w:jc w:val="center"/>
              <w:rPr>
                <w:sz w:val="18"/>
                <w:szCs w:val="18"/>
              </w:rPr>
            </w:pPr>
          </w:p>
        </w:tc>
        <w:tc>
          <w:tcPr>
            <w:tcW w:w="1786" w:type="dxa"/>
          </w:tcPr>
          <w:p w14:paraId="1BA39C64" w14:textId="77777777" w:rsidR="0089572C" w:rsidRPr="004126EE" w:rsidRDefault="0089572C" w:rsidP="004126EE">
            <w:pPr>
              <w:jc w:val="center"/>
              <w:rPr>
                <w:sz w:val="18"/>
                <w:szCs w:val="18"/>
              </w:rPr>
            </w:pPr>
          </w:p>
        </w:tc>
        <w:tc>
          <w:tcPr>
            <w:tcW w:w="1786" w:type="dxa"/>
          </w:tcPr>
          <w:p w14:paraId="6EB37068" w14:textId="77777777" w:rsidR="0089572C" w:rsidRPr="004126EE" w:rsidRDefault="0089572C" w:rsidP="004126EE">
            <w:pPr>
              <w:jc w:val="center"/>
              <w:rPr>
                <w:sz w:val="18"/>
                <w:szCs w:val="18"/>
              </w:rPr>
            </w:pPr>
          </w:p>
        </w:tc>
        <w:tc>
          <w:tcPr>
            <w:tcW w:w="1786" w:type="dxa"/>
          </w:tcPr>
          <w:p w14:paraId="09420FAC" w14:textId="3F7AFC5C" w:rsidR="004126EE" w:rsidRPr="004126EE" w:rsidRDefault="00DE3596" w:rsidP="004126EE">
            <w:pPr>
              <w:jc w:val="center"/>
              <w:rPr>
                <w:sz w:val="18"/>
                <w:szCs w:val="18"/>
              </w:rPr>
            </w:pPr>
            <w:r w:rsidRPr="004126EE">
              <w:rPr>
                <w:b/>
                <w:sz w:val="18"/>
                <w:szCs w:val="18"/>
              </w:rPr>
              <w:t>Deepening</w:t>
            </w:r>
            <w:r w:rsidRPr="004126EE">
              <w:rPr>
                <w:sz w:val="18"/>
                <w:szCs w:val="18"/>
              </w:rPr>
              <w:t>:</w:t>
            </w:r>
          </w:p>
          <w:p w14:paraId="57E31CFC" w14:textId="77777777" w:rsidR="0089572C" w:rsidRDefault="00DE3596" w:rsidP="005E1227">
            <w:pPr>
              <w:jc w:val="center"/>
              <w:rPr>
                <w:sz w:val="18"/>
                <w:szCs w:val="18"/>
              </w:rPr>
            </w:pPr>
            <w:r w:rsidRPr="004126EE">
              <w:rPr>
                <w:sz w:val="18"/>
                <w:szCs w:val="18"/>
              </w:rPr>
              <w:t xml:space="preserve">Learn from a transition initiative which “includes (local) shifts in ways of thinking, values and perspectives (culture), shifts in doing things, habits and routines (practices)” </w:t>
            </w:r>
            <w:r w:rsidRPr="004126EE">
              <w:rPr>
                <w:sz w:val="18"/>
                <w:szCs w:val="18"/>
              </w:rPr>
              <w:fldChar w:fldCharType="begin" w:fldLock="1"/>
            </w:r>
            <w:r w:rsidR="00C1356C">
              <w:rPr>
                <w:sz w:val="18"/>
                <w:szCs w:val="18"/>
              </w:rPr>
              <w:instrText>ADDIN CSL_CITATION {"citationItems":[{"id":"ITEM-1","itemData":{"abstract":"This essay presents a conceptual framework for analyzing and influencing the contribution of small- scale experiments to transitions towards a more sustainable society. This framework is aimed at providing academics and practitioners with a theoretical and practice oriented perspective to both understand and ‘steer’ the contribution of experiments to transitions. The central instrument in this framework are ‘transition experiments’, which provide an alternative approach to classical innovation projects that are aimed at realizing short-term solutions. A transition experiment is an innovation project with a societal challenge as a starting point for learning aimed at contributing to a transition. First we elaborate on the origin and context of transition experiments. We define what distinguishes a transition experiment from classical innovation experiments and develop process- and substance- criteria for a successful transition experiment. We then build upon the sustainability transition literature by identifying three central mechanisms through which experiments contribute to transitions: deepening (learning as much as possible in a specific context), broadening (linking and repeating in different contexts) and scaling up (embedding the experiment in -new- 4 Deepening, Broadening and Scaling up A Framework for Steering Transition Experiments dominant ways of thinking, doing and organizing). The developed conceptual framework for steering transition experiments consists of a descriptive and a prescriptive part. To understand how experiments can contribute to transitions and what this contribution encompasses, the framework relates the mechanisms deepening, broadening and scaling up to desired changes in established ways of thinking (culture), doing (practices) and organizing (structure). Furthermore, it elaborates on the conditions under which experiments contribute to transitions. The prescriptive part of the framework translates the identified mechanisms in different management strategies for transition experiments and further specifies this in management guidelines for project and program managers that aim to increase the contribution of experiments to transitions. The framework has been partly applied in different transition experiments in the Netherlands (in the mobility and care sector). These examples illustrate how the developed concepts and guidelines enable concrete recommendations and actions for steering transition experiments. This type of s…","author":[{"dropping-particle":"","family":"Bosch","given":"Suzanne","non-dropping-particle":"van den","parse-names":false,"suffix":""},{"dropping-particle":"","family":"Rotmans","given":"Jan","non-dropping-particle":"","parse-names":false,"suffix":""}],"container-title":"Knowledge Centre for Sustainable System Innovations and Transitions (KCT)","id":"ITEM-1","issued":{"date-parts":[["2008"]]},"publisher-place":"Rotterdam","title":"Deepening, Broadening and Scaling up: A Framework for Steering Transition Experiments","type":"report"},"suffix":", p. 29-30","uris":["http://www.mendeley.com/documents/?uuid=4892bf11-05f9-38dc-9143-36a11a60f2f4"]}],"mendeley":{"formattedCitation":"(van den Bosch and Rotmans 2008, p. 29-30)","plainTextFormattedCitation":"(van den Bosch and Rotmans 2008, p. 29-30)","previouslyFormattedCitation":"(van den Bosch and Rotmans 2008, p. 29-30)"},"properties":{"noteIndex":0},"schema":"https://github.com/citation-style-language/schema/raw/master/csl-citation.json"}</w:instrText>
            </w:r>
            <w:r w:rsidRPr="004126EE">
              <w:rPr>
                <w:sz w:val="18"/>
                <w:szCs w:val="18"/>
              </w:rPr>
              <w:fldChar w:fldCharType="separate"/>
            </w:r>
            <w:r w:rsidR="004E0A16" w:rsidRPr="004E0A16">
              <w:rPr>
                <w:noProof/>
                <w:sz w:val="18"/>
                <w:szCs w:val="18"/>
              </w:rPr>
              <w:t>(van den Bosch and Rotmans 2008, p. 29-30)</w:t>
            </w:r>
            <w:r w:rsidRPr="004126EE">
              <w:rPr>
                <w:sz w:val="18"/>
                <w:szCs w:val="18"/>
              </w:rPr>
              <w:fldChar w:fldCharType="end"/>
            </w:r>
          </w:p>
          <w:p w14:paraId="74EC3BF1" w14:textId="17274086" w:rsidR="00C1356C" w:rsidRPr="004126EE" w:rsidRDefault="00C1356C" w:rsidP="005E1227">
            <w:pPr>
              <w:jc w:val="center"/>
              <w:rPr>
                <w:sz w:val="18"/>
                <w:szCs w:val="18"/>
              </w:rPr>
            </w:pPr>
          </w:p>
        </w:tc>
        <w:tc>
          <w:tcPr>
            <w:tcW w:w="1786" w:type="dxa"/>
          </w:tcPr>
          <w:p w14:paraId="25C477A0" w14:textId="77777777" w:rsidR="0089572C" w:rsidRPr="004126EE" w:rsidRDefault="0089572C" w:rsidP="004126EE">
            <w:pPr>
              <w:jc w:val="center"/>
              <w:rPr>
                <w:sz w:val="18"/>
                <w:szCs w:val="18"/>
              </w:rPr>
            </w:pPr>
          </w:p>
        </w:tc>
      </w:tr>
    </w:tbl>
    <w:p w14:paraId="65E31764" w14:textId="77777777" w:rsidR="00123C34" w:rsidRDefault="00123C34" w:rsidP="009064DE"/>
    <w:p w14:paraId="055F2E2D" w14:textId="089990A4" w:rsidR="00197C1F" w:rsidRDefault="00185364" w:rsidP="00E27EB5">
      <w:pPr>
        <w:rPr>
          <w:b/>
          <w:sz w:val="22"/>
        </w:rPr>
      </w:pPr>
      <w:r>
        <w:rPr>
          <w:b/>
          <w:sz w:val="22"/>
        </w:rPr>
        <w:br w:type="page"/>
      </w:r>
      <w:r w:rsidR="00A716C2">
        <w:rPr>
          <w:b/>
          <w:sz w:val="22"/>
        </w:rPr>
        <w:lastRenderedPageBreak/>
        <w:t>References:</w:t>
      </w:r>
    </w:p>
    <w:p w14:paraId="5EAC9096" w14:textId="128D2BD7" w:rsidR="00A716C2" w:rsidRDefault="00A716C2" w:rsidP="00A716C2">
      <w:pPr>
        <w:spacing w:after="0" w:line="240" w:lineRule="auto"/>
        <w:rPr>
          <w:b/>
          <w:sz w:val="22"/>
        </w:rPr>
      </w:pPr>
    </w:p>
    <w:p w14:paraId="4B663AA2" w14:textId="7ECAD3D6" w:rsidR="0099415F" w:rsidRPr="0099415F" w:rsidRDefault="004E0A16" w:rsidP="0099415F">
      <w:pPr>
        <w:widowControl w:val="0"/>
        <w:autoSpaceDE w:val="0"/>
        <w:autoSpaceDN w:val="0"/>
        <w:adjustRightInd w:val="0"/>
        <w:spacing w:after="0" w:line="240" w:lineRule="auto"/>
        <w:ind w:left="480" w:hanging="480"/>
        <w:rPr>
          <w:noProof/>
          <w:sz w:val="22"/>
        </w:rPr>
      </w:pPr>
      <w:r>
        <w:rPr>
          <w:b/>
          <w:sz w:val="22"/>
        </w:rPr>
        <w:fldChar w:fldCharType="begin" w:fldLock="1"/>
      </w:r>
      <w:r>
        <w:rPr>
          <w:b/>
          <w:sz w:val="22"/>
        </w:rPr>
        <w:instrText xml:space="preserve">ADDIN Mendeley Bibliography CSL_BIBLIOGRAPHY </w:instrText>
      </w:r>
      <w:r>
        <w:rPr>
          <w:b/>
          <w:sz w:val="22"/>
        </w:rPr>
        <w:fldChar w:fldCharType="separate"/>
      </w:r>
      <w:r w:rsidR="0099415F" w:rsidRPr="0099415F">
        <w:rPr>
          <w:noProof/>
          <w:sz w:val="22"/>
        </w:rPr>
        <w:t>Gorissen L, Spira F, Meynaerts E, Valkering P, Frantzeskaki N (2018) Moving towards systemic change? Investigating acceleration dynamics of urban sustainability transitions in the Belgian City of Genk. J Clean Prod 173:171–185 . https://doi.org/10.1016/j.jclepro.2016.12.052</w:t>
      </w:r>
    </w:p>
    <w:p w14:paraId="2BE4249B" w14:textId="77777777" w:rsidR="0099415F" w:rsidRPr="0099415F" w:rsidRDefault="0099415F" w:rsidP="0099415F">
      <w:pPr>
        <w:widowControl w:val="0"/>
        <w:autoSpaceDE w:val="0"/>
        <w:autoSpaceDN w:val="0"/>
        <w:adjustRightInd w:val="0"/>
        <w:spacing w:after="0" w:line="240" w:lineRule="auto"/>
        <w:ind w:left="480" w:hanging="480"/>
        <w:rPr>
          <w:noProof/>
          <w:sz w:val="22"/>
        </w:rPr>
      </w:pPr>
      <w:r w:rsidRPr="0099415F">
        <w:rPr>
          <w:noProof/>
          <w:sz w:val="22"/>
        </w:rPr>
        <w:t>Hermans F, Roep D, Klerkx L (2016) Scale dynamics of grassroots innovations through parallel pathways of transformative change. Ecol Econ 130:285–295 . https://doi.org/10.1016/j.ecolecon.2016.07.011</w:t>
      </w:r>
    </w:p>
    <w:p w14:paraId="6A5D1A49" w14:textId="77777777" w:rsidR="0099415F" w:rsidRPr="0099415F" w:rsidRDefault="0099415F" w:rsidP="0099415F">
      <w:pPr>
        <w:widowControl w:val="0"/>
        <w:autoSpaceDE w:val="0"/>
        <w:autoSpaceDN w:val="0"/>
        <w:adjustRightInd w:val="0"/>
        <w:spacing w:after="0" w:line="240" w:lineRule="auto"/>
        <w:ind w:left="480" w:hanging="480"/>
        <w:rPr>
          <w:noProof/>
          <w:sz w:val="22"/>
        </w:rPr>
      </w:pPr>
      <w:r w:rsidRPr="0099415F">
        <w:rPr>
          <w:noProof/>
          <w:sz w:val="22"/>
        </w:rPr>
        <w:t>Moore M-L, Riddell D, Vocisano D (2015) Scaling Out, Scaling Up, Scaling Deep: Strategies of Non-profits in Advancing Systemic Social Innovation. J Corp Citizsh 2015:67–84 . https://doi.org/10.9774/GLEAF.4700.2015.ju.00009</w:t>
      </w:r>
    </w:p>
    <w:p w14:paraId="10C64368" w14:textId="77777777" w:rsidR="0099415F" w:rsidRPr="0099415F" w:rsidRDefault="0099415F" w:rsidP="0099415F">
      <w:pPr>
        <w:widowControl w:val="0"/>
        <w:autoSpaceDE w:val="0"/>
        <w:autoSpaceDN w:val="0"/>
        <w:adjustRightInd w:val="0"/>
        <w:spacing w:after="0" w:line="240" w:lineRule="auto"/>
        <w:ind w:left="480" w:hanging="480"/>
        <w:rPr>
          <w:noProof/>
          <w:sz w:val="22"/>
        </w:rPr>
      </w:pPr>
      <w:r w:rsidRPr="0099415F">
        <w:rPr>
          <w:noProof/>
          <w:sz w:val="22"/>
        </w:rPr>
        <w:t>Naber R, Raven R, Kouw M, Dassen T (2017) Scaling up sustainable energy innovations. Energy Policy 110:342–354 . https://doi.org/10.1016/j.enpol.2017.07.056</w:t>
      </w:r>
    </w:p>
    <w:p w14:paraId="21149AF0" w14:textId="77777777" w:rsidR="0099415F" w:rsidRPr="0099415F" w:rsidRDefault="0099415F" w:rsidP="0099415F">
      <w:pPr>
        <w:widowControl w:val="0"/>
        <w:autoSpaceDE w:val="0"/>
        <w:autoSpaceDN w:val="0"/>
        <w:adjustRightInd w:val="0"/>
        <w:spacing w:after="0" w:line="240" w:lineRule="auto"/>
        <w:ind w:left="480" w:hanging="480"/>
        <w:rPr>
          <w:noProof/>
          <w:sz w:val="22"/>
        </w:rPr>
      </w:pPr>
      <w:r w:rsidRPr="0099415F">
        <w:rPr>
          <w:noProof/>
          <w:sz w:val="22"/>
        </w:rPr>
        <w:t>Rotmans J, Loorbach D (2008) Transition management: reflexive governance of societal complexity through searching, learning and experimenting. In: van den Bergh JCJM, Bruinsma FR (eds) Managing the Transition to Renewable Energy: Theory and Practice from Local, Regional and Macro Perspectives. Edward Elgar Publishing, Cheltenham, UK and Northampton, MA, USA, pp 15–46</w:t>
      </w:r>
    </w:p>
    <w:p w14:paraId="2E88BED5" w14:textId="77777777" w:rsidR="0099415F" w:rsidRPr="0099415F" w:rsidRDefault="0099415F" w:rsidP="0099415F">
      <w:pPr>
        <w:widowControl w:val="0"/>
        <w:autoSpaceDE w:val="0"/>
        <w:autoSpaceDN w:val="0"/>
        <w:adjustRightInd w:val="0"/>
        <w:spacing w:after="0" w:line="240" w:lineRule="auto"/>
        <w:ind w:left="480" w:hanging="480"/>
        <w:rPr>
          <w:noProof/>
          <w:sz w:val="22"/>
        </w:rPr>
      </w:pPr>
      <w:r w:rsidRPr="0099415F">
        <w:rPr>
          <w:noProof/>
          <w:sz w:val="22"/>
        </w:rPr>
        <w:t>van den Bosch S, Rotmans J (2008) Deepening, Broadening and Scaling up: A Framework for Steering Transition Experiments. Rotterdam</w:t>
      </w:r>
    </w:p>
    <w:p w14:paraId="4CD79ED0" w14:textId="28AD5AEE" w:rsidR="000C2553" w:rsidRPr="00FD2B8B" w:rsidRDefault="004E0A16" w:rsidP="00A716C2">
      <w:pPr>
        <w:spacing w:after="0" w:line="240" w:lineRule="auto"/>
        <w:rPr>
          <w:b/>
          <w:sz w:val="22"/>
        </w:rPr>
      </w:pPr>
      <w:r>
        <w:rPr>
          <w:b/>
          <w:sz w:val="22"/>
        </w:rPr>
        <w:fldChar w:fldCharType="end"/>
      </w:r>
    </w:p>
    <w:sectPr w:rsidR="000C2553" w:rsidRPr="00FD2B8B" w:rsidSect="0094629D">
      <w:headerReference w:type="even" r:id="rId8"/>
      <w:headerReference w:type="default" r:id="rId9"/>
      <w:footerReference w:type="even" r:id="rId10"/>
      <w:footerReference w:type="default" r:id="rId11"/>
      <w:headerReference w:type="first" r:id="rId12"/>
      <w:footerReference w:type="first" r:id="rId13"/>
      <w:pgSz w:w="15840" w:h="12240" w:orient="landscape"/>
      <w:pgMar w:top="1417" w:right="1417" w:bottom="1417"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12A57E" w16cid:durableId="1DA2FCFB"/>
  <w16cid:commentId w16cid:paraId="0731B04F" w16cid:durableId="1DA2FE2D"/>
  <w16cid:commentId w16cid:paraId="35D4F273" w16cid:durableId="1DA2FDC1"/>
  <w16cid:commentId w16cid:paraId="758DF9F3" w16cid:durableId="1DA2FDF2"/>
  <w16cid:commentId w16cid:paraId="5862F76E" w16cid:durableId="1DA2FC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30B7C" w14:textId="77777777" w:rsidR="00BB4699" w:rsidRDefault="00BB4699" w:rsidP="005C55E0">
      <w:pPr>
        <w:spacing w:after="0" w:line="240" w:lineRule="auto"/>
      </w:pPr>
      <w:r>
        <w:separator/>
      </w:r>
    </w:p>
  </w:endnote>
  <w:endnote w:type="continuationSeparator" w:id="0">
    <w:p w14:paraId="607B723D" w14:textId="77777777" w:rsidR="00BB4699" w:rsidRDefault="00BB4699" w:rsidP="005C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F9767" w14:textId="77777777" w:rsidR="009A5AF7" w:rsidRDefault="009A5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479243"/>
      <w:docPartObj>
        <w:docPartGallery w:val="Page Numbers (Bottom of Page)"/>
        <w:docPartUnique/>
      </w:docPartObj>
    </w:sdtPr>
    <w:sdtEndPr/>
    <w:sdtContent>
      <w:p w14:paraId="6099CED8" w14:textId="413560F7" w:rsidR="0000670D" w:rsidRDefault="0000670D">
        <w:pPr>
          <w:pStyle w:val="Footer"/>
          <w:jc w:val="right"/>
        </w:pPr>
        <w:r>
          <w:fldChar w:fldCharType="begin"/>
        </w:r>
        <w:r>
          <w:instrText>PAGE   \* MERGEFORMAT</w:instrText>
        </w:r>
        <w:r>
          <w:fldChar w:fldCharType="separate"/>
        </w:r>
        <w:r w:rsidR="0099415F" w:rsidRPr="0099415F">
          <w:rPr>
            <w:noProof/>
            <w:lang w:val="de-DE"/>
          </w:rPr>
          <w:t>2</w:t>
        </w:r>
        <w:r>
          <w:fldChar w:fldCharType="end"/>
        </w:r>
      </w:p>
    </w:sdtContent>
  </w:sdt>
  <w:p w14:paraId="26D9F7F2" w14:textId="77777777" w:rsidR="0000670D" w:rsidRDefault="000067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BE068" w14:textId="77777777" w:rsidR="009A5AF7" w:rsidRDefault="009A5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94330" w14:textId="77777777" w:rsidR="00BB4699" w:rsidRDefault="00BB4699" w:rsidP="005C55E0">
      <w:pPr>
        <w:spacing w:after="0" w:line="240" w:lineRule="auto"/>
      </w:pPr>
      <w:r>
        <w:separator/>
      </w:r>
    </w:p>
  </w:footnote>
  <w:footnote w:type="continuationSeparator" w:id="0">
    <w:p w14:paraId="4003F050" w14:textId="77777777" w:rsidR="00BB4699" w:rsidRDefault="00BB4699" w:rsidP="005C5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281DC" w14:textId="77777777" w:rsidR="009A5AF7" w:rsidRDefault="009A5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F5B87" w14:textId="77777777" w:rsidR="009A5AF7" w:rsidRDefault="009A5A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B2C7" w14:textId="77777777" w:rsidR="009A5AF7" w:rsidRDefault="009A5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A1EAB"/>
    <w:multiLevelType w:val="hybridMultilevel"/>
    <w:tmpl w:val="AE628710"/>
    <w:lvl w:ilvl="0" w:tplc="0407000F">
      <w:start w:val="1"/>
      <w:numFmt w:val="decimal"/>
      <w:lvlText w:val="%1."/>
      <w:lvlJc w:val="left"/>
      <w:pPr>
        <w:ind w:left="360" w:hanging="360"/>
      </w:pPr>
    </w:lvl>
    <w:lvl w:ilvl="1" w:tplc="04070013">
      <w:start w:val="1"/>
      <w:numFmt w:val="upp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9239A9"/>
    <w:multiLevelType w:val="hybridMultilevel"/>
    <w:tmpl w:val="E8D23CF6"/>
    <w:lvl w:ilvl="0" w:tplc="0407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012CC3"/>
    <w:multiLevelType w:val="hybridMultilevel"/>
    <w:tmpl w:val="DCC86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57416"/>
    <w:multiLevelType w:val="hybridMultilevel"/>
    <w:tmpl w:val="D4B6E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C39B0"/>
    <w:multiLevelType w:val="hybridMultilevel"/>
    <w:tmpl w:val="B008A9DE"/>
    <w:lvl w:ilvl="0" w:tplc="0407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9160F"/>
    <w:multiLevelType w:val="hybridMultilevel"/>
    <w:tmpl w:val="AD948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34832"/>
    <w:multiLevelType w:val="hybridMultilevel"/>
    <w:tmpl w:val="D85269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E63DC"/>
    <w:multiLevelType w:val="hybridMultilevel"/>
    <w:tmpl w:val="9A3C9E2E"/>
    <w:lvl w:ilvl="0" w:tplc="0407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635E04"/>
    <w:multiLevelType w:val="hybridMultilevel"/>
    <w:tmpl w:val="245423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40461C"/>
    <w:multiLevelType w:val="hybridMultilevel"/>
    <w:tmpl w:val="66367EE6"/>
    <w:lvl w:ilvl="0" w:tplc="4224A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5609B7"/>
    <w:multiLevelType w:val="hybridMultilevel"/>
    <w:tmpl w:val="E2D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A053D3C"/>
    <w:multiLevelType w:val="hybridMultilevel"/>
    <w:tmpl w:val="DBACF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A48C8"/>
    <w:multiLevelType w:val="hybridMultilevel"/>
    <w:tmpl w:val="1D72F27E"/>
    <w:lvl w:ilvl="0" w:tplc="45CAC7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272D0B"/>
    <w:multiLevelType w:val="hybridMultilevel"/>
    <w:tmpl w:val="958A424C"/>
    <w:lvl w:ilvl="0" w:tplc="0407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4D7D67"/>
    <w:multiLevelType w:val="hybridMultilevel"/>
    <w:tmpl w:val="3BE42146"/>
    <w:lvl w:ilvl="0" w:tplc="0407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663A4"/>
    <w:multiLevelType w:val="hybridMultilevel"/>
    <w:tmpl w:val="9FE45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C665DA8"/>
    <w:multiLevelType w:val="hybridMultilevel"/>
    <w:tmpl w:val="6BDA0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64379"/>
    <w:multiLevelType w:val="hybridMultilevel"/>
    <w:tmpl w:val="30CC7F00"/>
    <w:lvl w:ilvl="0" w:tplc="0407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7"/>
  </w:num>
  <w:num w:numId="3">
    <w:abstractNumId w:val="15"/>
  </w:num>
  <w:num w:numId="4">
    <w:abstractNumId w:val="13"/>
  </w:num>
  <w:num w:numId="5">
    <w:abstractNumId w:val="4"/>
  </w:num>
  <w:num w:numId="6">
    <w:abstractNumId w:val="7"/>
  </w:num>
  <w:num w:numId="7">
    <w:abstractNumId w:val="14"/>
  </w:num>
  <w:num w:numId="8">
    <w:abstractNumId w:val="9"/>
  </w:num>
  <w:num w:numId="9">
    <w:abstractNumId w:val="11"/>
  </w:num>
  <w:num w:numId="10">
    <w:abstractNumId w:val="2"/>
  </w:num>
  <w:num w:numId="11">
    <w:abstractNumId w:val="6"/>
  </w:num>
  <w:num w:numId="12">
    <w:abstractNumId w:val="8"/>
  </w:num>
  <w:num w:numId="13">
    <w:abstractNumId w:val="0"/>
  </w:num>
  <w:num w:numId="14">
    <w:abstractNumId w:val="1"/>
  </w:num>
  <w:num w:numId="15">
    <w:abstractNumId w:val="16"/>
  </w:num>
  <w:num w:numId="16">
    <w:abstractNumId w:val="3"/>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55A"/>
    <w:rsid w:val="0000670D"/>
    <w:rsid w:val="00020CC0"/>
    <w:rsid w:val="000262E3"/>
    <w:rsid w:val="00026DE1"/>
    <w:rsid w:val="000406E4"/>
    <w:rsid w:val="0004639A"/>
    <w:rsid w:val="00056730"/>
    <w:rsid w:val="000713A9"/>
    <w:rsid w:val="00075789"/>
    <w:rsid w:val="00081588"/>
    <w:rsid w:val="00084546"/>
    <w:rsid w:val="00086FB7"/>
    <w:rsid w:val="000872C8"/>
    <w:rsid w:val="00090817"/>
    <w:rsid w:val="000938D9"/>
    <w:rsid w:val="00094714"/>
    <w:rsid w:val="0009581D"/>
    <w:rsid w:val="000968FE"/>
    <w:rsid w:val="000A054B"/>
    <w:rsid w:val="000A11B2"/>
    <w:rsid w:val="000A6F7B"/>
    <w:rsid w:val="000B12F5"/>
    <w:rsid w:val="000C2553"/>
    <w:rsid w:val="000C39AE"/>
    <w:rsid w:val="000C4966"/>
    <w:rsid w:val="000D10AD"/>
    <w:rsid w:val="000D6282"/>
    <w:rsid w:val="000E212E"/>
    <w:rsid w:val="000E4EF8"/>
    <w:rsid w:val="000E5DE0"/>
    <w:rsid w:val="000F488B"/>
    <w:rsid w:val="000F7C9D"/>
    <w:rsid w:val="00102A88"/>
    <w:rsid w:val="00106C1F"/>
    <w:rsid w:val="00112A7D"/>
    <w:rsid w:val="00112B10"/>
    <w:rsid w:val="00112EA0"/>
    <w:rsid w:val="001211CD"/>
    <w:rsid w:val="00123C34"/>
    <w:rsid w:val="001277A2"/>
    <w:rsid w:val="00133029"/>
    <w:rsid w:val="00134C9C"/>
    <w:rsid w:val="00146B21"/>
    <w:rsid w:val="00161354"/>
    <w:rsid w:val="00172871"/>
    <w:rsid w:val="00175797"/>
    <w:rsid w:val="00175974"/>
    <w:rsid w:val="001771A0"/>
    <w:rsid w:val="00183FD4"/>
    <w:rsid w:val="00184F40"/>
    <w:rsid w:val="00185364"/>
    <w:rsid w:val="0018583D"/>
    <w:rsid w:val="00187191"/>
    <w:rsid w:val="001909B3"/>
    <w:rsid w:val="00194477"/>
    <w:rsid w:val="00197C1F"/>
    <w:rsid w:val="001A0734"/>
    <w:rsid w:val="001A1834"/>
    <w:rsid w:val="001A678A"/>
    <w:rsid w:val="001B0054"/>
    <w:rsid w:val="001B36AC"/>
    <w:rsid w:val="001B5767"/>
    <w:rsid w:val="001B7F40"/>
    <w:rsid w:val="001C0D4A"/>
    <w:rsid w:val="001C392B"/>
    <w:rsid w:val="001D1A3E"/>
    <w:rsid w:val="001D4532"/>
    <w:rsid w:val="001D5AD5"/>
    <w:rsid w:val="001E2C64"/>
    <w:rsid w:val="001F352A"/>
    <w:rsid w:val="00202154"/>
    <w:rsid w:val="00205E67"/>
    <w:rsid w:val="002106D8"/>
    <w:rsid w:val="00210754"/>
    <w:rsid w:val="00211ABB"/>
    <w:rsid w:val="00212041"/>
    <w:rsid w:val="002126E0"/>
    <w:rsid w:val="00221F10"/>
    <w:rsid w:val="002277C6"/>
    <w:rsid w:val="002301BF"/>
    <w:rsid w:val="002320B0"/>
    <w:rsid w:val="00232173"/>
    <w:rsid w:val="00233A44"/>
    <w:rsid w:val="002344CC"/>
    <w:rsid w:val="00240D56"/>
    <w:rsid w:val="00250750"/>
    <w:rsid w:val="002604F0"/>
    <w:rsid w:val="00260613"/>
    <w:rsid w:val="00261BED"/>
    <w:rsid w:val="002635EE"/>
    <w:rsid w:val="0026582B"/>
    <w:rsid w:val="00270BF3"/>
    <w:rsid w:val="0027373A"/>
    <w:rsid w:val="00282D11"/>
    <w:rsid w:val="00287348"/>
    <w:rsid w:val="002918D3"/>
    <w:rsid w:val="00292CCC"/>
    <w:rsid w:val="002968A3"/>
    <w:rsid w:val="002A16D4"/>
    <w:rsid w:val="002B0618"/>
    <w:rsid w:val="002B4F80"/>
    <w:rsid w:val="002C2B58"/>
    <w:rsid w:val="002C3F32"/>
    <w:rsid w:val="002C5034"/>
    <w:rsid w:val="002C6428"/>
    <w:rsid w:val="002D203C"/>
    <w:rsid w:val="002D4A82"/>
    <w:rsid w:val="002D5A9C"/>
    <w:rsid w:val="002D6BDA"/>
    <w:rsid w:val="002F01A0"/>
    <w:rsid w:val="00301F6B"/>
    <w:rsid w:val="00305F09"/>
    <w:rsid w:val="003104B7"/>
    <w:rsid w:val="0031296A"/>
    <w:rsid w:val="00316680"/>
    <w:rsid w:val="00316F40"/>
    <w:rsid w:val="003218AF"/>
    <w:rsid w:val="00322A56"/>
    <w:rsid w:val="00327158"/>
    <w:rsid w:val="00333AB6"/>
    <w:rsid w:val="00334FBB"/>
    <w:rsid w:val="0034272E"/>
    <w:rsid w:val="00347120"/>
    <w:rsid w:val="003501A8"/>
    <w:rsid w:val="00357C7B"/>
    <w:rsid w:val="003613B4"/>
    <w:rsid w:val="00362817"/>
    <w:rsid w:val="00364110"/>
    <w:rsid w:val="00364224"/>
    <w:rsid w:val="003753EC"/>
    <w:rsid w:val="00383275"/>
    <w:rsid w:val="00386902"/>
    <w:rsid w:val="00386B54"/>
    <w:rsid w:val="00391A84"/>
    <w:rsid w:val="00391DBD"/>
    <w:rsid w:val="00395B82"/>
    <w:rsid w:val="003A07A9"/>
    <w:rsid w:val="003A1D04"/>
    <w:rsid w:val="003A22AE"/>
    <w:rsid w:val="003A5ACB"/>
    <w:rsid w:val="003A5E2A"/>
    <w:rsid w:val="003B2E73"/>
    <w:rsid w:val="003B621B"/>
    <w:rsid w:val="003C2009"/>
    <w:rsid w:val="003C4AC1"/>
    <w:rsid w:val="003C67B0"/>
    <w:rsid w:val="003D2520"/>
    <w:rsid w:val="003D6A52"/>
    <w:rsid w:val="003E2F3B"/>
    <w:rsid w:val="003E3E49"/>
    <w:rsid w:val="003E6879"/>
    <w:rsid w:val="003E729A"/>
    <w:rsid w:val="003F0F01"/>
    <w:rsid w:val="003F6073"/>
    <w:rsid w:val="003F6472"/>
    <w:rsid w:val="00406819"/>
    <w:rsid w:val="00411244"/>
    <w:rsid w:val="004126EE"/>
    <w:rsid w:val="00417F5A"/>
    <w:rsid w:val="00420A16"/>
    <w:rsid w:val="0042207A"/>
    <w:rsid w:val="00426240"/>
    <w:rsid w:val="00440A9E"/>
    <w:rsid w:val="004416C2"/>
    <w:rsid w:val="004430BE"/>
    <w:rsid w:val="0044336E"/>
    <w:rsid w:val="00451AE4"/>
    <w:rsid w:val="00455F10"/>
    <w:rsid w:val="004568B7"/>
    <w:rsid w:val="0046308A"/>
    <w:rsid w:val="00464A80"/>
    <w:rsid w:val="00465AA1"/>
    <w:rsid w:val="0047762A"/>
    <w:rsid w:val="00480272"/>
    <w:rsid w:val="004818CB"/>
    <w:rsid w:val="00481973"/>
    <w:rsid w:val="004852B4"/>
    <w:rsid w:val="00487CD6"/>
    <w:rsid w:val="00495833"/>
    <w:rsid w:val="004A0454"/>
    <w:rsid w:val="004A0A40"/>
    <w:rsid w:val="004A357B"/>
    <w:rsid w:val="004A4906"/>
    <w:rsid w:val="004A76FB"/>
    <w:rsid w:val="004B169A"/>
    <w:rsid w:val="004B4BAE"/>
    <w:rsid w:val="004C6611"/>
    <w:rsid w:val="004C73C3"/>
    <w:rsid w:val="004D1157"/>
    <w:rsid w:val="004D66A4"/>
    <w:rsid w:val="004E0A16"/>
    <w:rsid w:val="004E770E"/>
    <w:rsid w:val="004F2BA5"/>
    <w:rsid w:val="004F5939"/>
    <w:rsid w:val="0050179F"/>
    <w:rsid w:val="00501991"/>
    <w:rsid w:val="0050582C"/>
    <w:rsid w:val="00510C42"/>
    <w:rsid w:val="00512E6D"/>
    <w:rsid w:val="00513FB0"/>
    <w:rsid w:val="00516BC8"/>
    <w:rsid w:val="00517AE6"/>
    <w:rsid w:val="00522F6D"/>
    <w:rsid w:val="00526D41"/>
    <w:rsid w:val="00527802"/>
    <w:rsid w:val="00531C00"/>
    <w:rsid w:val="005400DC"/>
    <w:rsid w:val="00541805"/>
    <w:rsid w:val="0054521E"/>
    <w:rsid w:val="00550E6C"/>
    <w:rsid w:val="00555115"/>
    <w:rsid w:val="0055568B"/>
    <w:rsid w:val="005570C5"/>
    <w:rsid w:val="005571A0"/>
    <w:rsid w:val="0056028C"/>
    <w:rsid w:val="00561A4A"/>
    <w:rsid w:val="00565E20"/>
    <w:rsid w:val="00566EEF"/>
    <w:rsid w:val="00567DE4"/>
    <w:rsid w:val="005723C5"/>
    <w:rsid w:val="00575D9B"/>
    <w:rsid w:val="00580B68"/>
    <w:rsid w:val="00583725"/>
    <w:rsid w:val="00583E86"/>
    <w:rsid w:val="00587186"/>
    <w:rsid w:val="0059041C"/>
    <w:rsid w:val="00591FF1"/>
    <w:rsid w:val="00593222"/>
    <w:rsid w:val="005933EF"/>
    <w:rsid w:val="00595909"/>
    <w:rsid w:val="00595BBB"/>
    <w:rsid w:val="00596BF9"/>
    <w:rsid w:val="005A0924"/>
    <w:rsid w:val="005A10A4"/>
    <w:rsid w:val="005A2148"/>
    <w:rsid w:val="005A6DA2"/>
    <w:rsid w:val="005B1498"/>
    <w:rsid w:val="005B784D"/>
    <w:rsid w:val="005C0774"/>
    <w:rsid w:val="005C1E14"/>
    <w:rsid w:val="005C2A89"/>
    <w:rsid w:val="005C55E0"/>
    <w:rsid w:val="005C6192"/>
    <w:rsid w:val="005D1BA9"/>
    <w:rsid w:val="005D2B69"/>
    <w:rsid w:val="005D43F9"/>
    <w:rsid w:val="005D55A2"/>
    <w:rsid w:val="005D6ADE"/>
    <w:rsid w:val="005E1227"/>
    <w:rsid w:val="005E1EB1"/>
    <w:rsid w:val="005E278F"/>
    <w:rsid w:val="005E64C2"/>
    <w:rsid w:val="005F6AC9"/>
    <w:rsid w:val="005F6E86"/>
    <w:rsid w:val="006000D9"/>
    <w:rsid w:val="0060177A"/>
    <w:rsid w:val="00602618"/>
    <w:rsid w:val="00610DE7"/>
    <w:rsid w:val="006121AB"/>
    <w:rsid w:val="00612CEA"/>
    <w:rsid w:val="00615C48"/>
    <w:rsid w:val="0062243E"/>
    <w:rsid w:val="0062286F"/>
    <w:rsid w:val="006243BC"/>
    <w:rsid w:val="00632986"/>
    <w:rsid w:val="006502FA"/>
    <w:rsid w:val="006527E5"/>
    <w:rsid w:val="00654527"/>
    <w:rsid w:val="006655F4"/>
    <w:rsid w:val="006669AF"/>
    <w:rsid w:val="006704F3"/>
    <w:rsid w:val="00677B63"/>
    <w:rsid w:val="00681CA9"/>
    <w:rsid w:val="00682101"/>
    <w:rsid w:val="006835C1"/>
    <w:rsid w:val="006841CB"/>
    <w:rsid w:val="00686D74"/>
    <w:rsid w:val="00690302"/>
    <w:rsid w:val="00691B3C"/>
    <w:rsid w:val="0069252C"/>
    <w:rsid w:val="00692A2E"/>
    <w:rsid w:val="006A46D8"/>
    <w:rsid w:val="006A59A5"/>
    <w:rsid w:val="006B4D89"/>
    <w:rsid w:val="006C2E28"/>
    <w:rsid w:val="006C7F61"/>
    <w:rsid w:val="006D22EE"/>
    <w:rsid w:val="006D2A44"/>
    <w:rsid w:val="006D7CEF"/>
    <w:rsid w:val="006E1FE5"/>
    <w:rsid w:val="006E4756"/>
    <w:rsid w:val="006E729D"/>
    <w:rsid w:val="006F11CF"/>
    <w:rsid w:val="006F3B5A"/>
    <w:rsid w:val="006F4465"/>
    <w:rsid w:val="006F49E0"/>
    <w:rsid w:val="006F4E46"/>
    <w:rsid w:val="006F61D2"/>
    <w:rsid w:val="00703718"/>
    <w:rsid w:val="00706C04"/>
    <w:rsid w:val="00707DF0"/>
    <w:rsid w:val="0071511B"/>
    <w:rsid w:val="00717A41"/>
    <w:rsid w:val="00720801"/>
    <w:rsid w:val="00727518"/>
    <w:rsid w:val="00733B3E"/>
    <w:rsid w:val="00742A99"/>
    <w:rsid w:val="00747658"/>
    <w:rsid w:val="00750FD8"/>
    <w:rsid w:val="00761264"/>
    <w:rsid w:val="007652F5"/>
    <w:rsid w:val="00765511"/>
    <w:rsid w:val="007657D9"/>
    <w:rsid w:val="00784DA9"/>
    <w:rsid w:val="00787288"/>
    <w:rsid w:val="00790899"/>
    <w:rsid w:val="007911FB"/>
    <w:rsid w:val="00791462"/>
    <w:rsid w:val="007921CF"/>
    <w:rsid w:val="0079264F"/>
    <w:rsid w:val="00793ABA"/>
    <w:rsid w:val="00796597"/>
    <w:rsid w:val="007A1EE4"/>
    <w:rsid w:val="007A2303"/>
    <w:rsid w:val="007A6A4A"/>
    <w:rsid w:val="007B11D8"/>
    <w:rsid w:val="007B7D11"/>
    <w:rsid w:val="007C071E"/>
    <w:rsid w:val="007C78F9"/>
    <w:rsid w:val="007D060E"/>
    <w:rsid w:val="007E074B"/>
    <w:rsid w:val="007E2106"/>
    <w:rsid w:val="007E69F9"/>
    <w:rsid w:val="007F4688"/>
    <w:rsid w:val="00800453"/>
    <w:rsid w:val="00800603"/>
    <w:rsid w:val="00800C63"/>
    <w:rsid w:val="008174A8"/>
    <w:rsid w:val="0082227A"/>
    <w:rsid w:val="00827FCD"/>
    <w:rsid w:val="00830080"/>
    <w:rsid w:val="00830FA7"/>
    <w:rsid w:val="008365FD"/>
    <w:rsid w:val="00837764"/>
    <w:rsid w:val="008476D3"/>
    <w:rsid w:val="00854CA2"/>
    <w:rsid w:val="008560DD"/>
    <w:rsid w:val="0086763F"/>
    <w:rsid w:val="00870525"/>
    <w:rsid w:val="0087335D"/>
    <w:rsid w:val="00875A8B"/>
    <w:rsid w:val="008779D8"/>
    <w:rsid w:val="00882127"/>
    <w:rsid w:val="008864CA"/>
    <w:rsid w:val="00886BCA"/>
    <w:rsid w:val="00890ED6"/>
    <w:rsid w:val="0089162E"/>
    <w:rsid w:val="00893A66"/>
    <w:rsid w:val="00893D69"/>
    <w:rsid w:val="00895009"/>
    <w:rsid w:val="0089572C"/>
    <w:rsid w:val="00897CE5"/>
    <w:rsid w:val="008A0782"/>
    <w:rsid w:val="008B1DC1"/>
    <w:rsid w:val="008B4762"/>
    <w:rsid w:val="008B4BE3"/>
    <w:rsid w:val="008B6954"/>
    <w:rsid w:val="008C5B77"/>
    <w:rsid w:val="008C6588"/>
    <w:rsid w:val="008D1A64"/>
    <w:rsid w:val="008D4E40"/>
    <w:rsid w:val="008D66FC"/>
    <w:rsid w:val="008D6D0E"/>
    <w:rsid w:val="008D72C0"/>
    <w:rsid w:val="008E1647"/>
    <w:rsid w:val="008E1FF9"/>
    <w:rsid w:val="008F35F4"/>
    <w:rsid w:val="00904B31"/>
    <w:rsid w:val="009064DE"/>
    <w:rsid w:val="0091536A"/>
    <w:rsid w:val="00924BD5"/>
    <w:rsid w:val="009256B0"/>
    <w:rsid w:val="0094034D"/>
    <w:rsid w:val="009431EE"/>
    <w:rsid w:val="0094629D"/>
    <w:rsid w:val="00947842"/>
    <w:rsid w:val="0095282C"/>
    <w:rsid w:val="009538AD"/>
    <w:rsid w:val="009551AF"/>
    <w:rsid w:val="00960F11"/>
    <w:rsid w:val="00967A1E"/>
    <w:rsid w:val="00967B31"/>
    <w:rsid w:val="00973632"/>
    <w:rsid w:val="00980C3E"/>
    <w:rsid w:val="009830AA"/>
    <w:rsid w:val="00983A35"/>
    <w:rsid w:val="00987FBC"/>
    <w:rsid w:val="00992350"/>
    <w:rsid w:val="009926CB"/>
    <w:rsid w:val="0099415F"/>
    <w:rsid w:val="00996F52"/>
    <w:rsid w:val="009A0800"/>
    <w:rsid w:val="009A58B7"/>
    <w:rsid w:val="009A5AF7"/>
    <w:rsid w:val="009A6BB4"/>
    <w:rsid w:val="009B43C1"/>
    <w:rsid w:val="009B4F7F"/>
    <w:rsid w:val="009B7D5A"/>
    <w:rsid w:val="009C1E69"/>
    <w:rsid w:val="009C2450"/>
    <w:rsid w:val="009C3599"/>
    <w:rsid w:val="009C3C0B"/>
    <w:rsid w:val="009D064E"/>
    <w:rsid w:val="009D0994"/>
    <w:rsid w:val="009D5B12"/>
    <w:rsid w:val="009E375C"/>
    <w:rsid w:val="009E4C0E"/>
    <w:rsid w:val="009E5D50"/>
    <w:rsid w:val="009E6695"/>
    <w:rsid w:val="009F1228"/>
    <w:rsid w:val="009F3847"/>
    <w:rsid w:val="009F6DB9"/>
    <w:rsid w:val="009F728D"/>
    <w:rsid w:val="00A01C66"/>
    <w:rsid w:val="00A01FAB"/>
    <w:rsid w:val="00A06359"/>
    <w:rsid w:val="00A06FDD"/>
    <w:rsid w:val="00A12C0B"/>
    <w:rsid w:val="00A1480E"/>
    <w:rsid w:val="00A20F5E"/>
    <w:rsid w:val="00A21843"/>
    <w:rsid w:val="00A24642"/>
    <w:rsid w:val="00A266D9"/>
    <w:rsid w:val="00A3057D"/>
    <w:rsid w:val="00A31F0E"/>
    <w:rsid w:val="00A3462C"/>
    <w:rsid w:val="00A37531"/>
    <w:rsid w:val="00A3775B"/>
    <w:rsid w:val="00A40E77"/>
    <w:rsid w:val="00A4300E"/>
    <w:rsid w:val="00A4687A"/>
    <w:rsid w:val="00A539FF"/>
    <w:rsid w:val="00A60393"/>
    <w:rsid w:val="00A716C2"/>
    <w:rsid w:val="00A81516"/>
    <w:rsid w:val="00A92DF1"/>
    <w:rsid w:val="00A94211"/>
    <w:rsid w:val="00AA047E"/>
    <w:rsid w:val="00AB0A8D"/>
    <w:rsid w:val="00AB4BF0"/>
    <w:rsid w:val="00AC7154"/>
    <w:rsid w:val="00AC7DBD"/>
    <w:rsid w:val="00AD1C52"/>
    <w:rsid w:val="00AD2431"/>
    <w:rsid w:val="00AD75D8"/>
    <w:rsid w:val="00AE3F7B"/>
    <w:rsid w:val="00AE4EC7"/>
    <w:rsid w:val="00AF5648"/>
    <w:rsid w:val="00AF5E72"/>
    <w:rsid w:val="00B00A2D"/>
    <w:rsid w:val="00B160C6"/>
    <w:rsid w:val="00B17654"/>
    <w:rsid w:val="00B17DC1"/>
    <w:rsid w:val="00B205DD"/>
    <w:rsid w:val="00B20B8D"/>
    <w:rsid w:val="00B23E97"/>
    <w:rsid w:val="00B2480F"/>
    <w:rsid w:val="00B265C7"/>
    <w:rsid w:val="00B2729F"/>
    <w:rsid w:val="00B365DF"/>
    <w:rsid w:val="00B40646"/>
    <w:rsid w:val="00B4201F"/>
    <w:rsid w:val="00B47A50"/>
    <w:rsid w:val="00B51392"/>
    <w:rsid w:val="00B54473"/>
    <w:rsid w:val="00B6038E"/>
    <w:rsid w:val="00B61223"/>
    <w:rsid w:val="00B71276"/>
    <w:rsid w:val="00B73EB9"/>
    <w:rsid w:val="00B81A33"/>
    <w:rsid w:val="00B81A67"/>
    <w:rsid w:val="00B95F1A"/>
    <w:rsid w:val="00B977E7"/>
    <w:rsid w:val="00BA0711"/>
    <w:rsid w:val="00BA084D"/>
    <w:rsid w:val="00BA64EE"/>
    <w:rsid w:val="00BB02BB"/>
    <w:rsid w:val="00BB3120"/>
    <w:rsid w:val="00BB4699"/>
    <w:rsid w:val="00BB535C"/>
    <w:rsid w:val="00BB5567"/>
    <w:rsid w:val="00BB5AB6"/>
    <w:rsid w:val="00BB5F3A"/>
    <w:rsid w:val="00BB726A"/>
    <w:rsid w:val="00BB7C7C"/>
    <w:rsid w:val="00BC104A"/>
    <w:rsid w:val="00BC1C62"/>
    <w:rsid w:val="00BC3EFE"/>
    <w:rsid w:val="00BC70BE"/>
    <w:rsid w:val="00BC7D85"/>
    <w:rsid w:val="00BD11D5"/>
    <w:rsid w:val="00BD5296"/>
    <w:rsid w:val="00BD5D8F"/>
    <w:rsid w:val="00BD7ADF"/>
    <w:rsid w:val="00BE417C"/>
    <w:rsid w:val="00BE76A3"/>
    <w:rsid w:val="00BF46B1"/>
    <w:rsid w:val="00BF7F73"/>
    <w:rsid w:val="00C07BDE"/>
    <w:rsid w:val="00C1072D"/>
    <w:rsid w:val="00C108AE"/>
    <w:rsid w:val="00C11092"/>
    <w:rsid w:val="00C11FC0"/>
    <w:rsid w:val="00C1356C"/>
    <w:rsid w:val="00C1566A"/>
    <w:rsid w:val="00C2225B"/>
    <w:rsid w:val="00C22CD6"/>
    <w:rsid w:val="00C24565"/>
    <w:rsid w:val="00C31E5A"/>
    <w:rsid w:val="00C32479"/>
    <w:rsid w:val="00C3433F"/>
    <w:rsid w:val="00C40040"/>
    <w:rsid w:val="00C4101A"/>
    <w:rsid w:val="00C42D50"/>
    <w:rsid w:val="00C43F2A"/>
    <w:rsid w:val="00C501A5"/>
    <w:rsid w:val="00C57F76"/>
    <w:rsid w:val="00C62E1F"/>
    <w:rsid w:val="00C7033E"/>
    <w:rsid w:val="00C72B89"/>
    <w:rsid w:val="00C7717F"/>
    <w:rsid w:val="00C80F99"/>
    <w:rsid w:val="00C85381"/>
    <w:rsid w:val="00C9085E"/>
    <w:rsid w:val="00C919F0"/>
    <w:rsid w:val="00C953F8"/>
    <w:rsid w:val="00C960DB"/>
    <w:rsid w:val="00CA6BAD"/>
    <w:rsid w:val="00CB30CE"/>
    <w:rsid w:val="00CB3CE9"/>
    <w:rsid w:val="00CB4B33"/>
    <w:rsid w:val="00CC000E"/>
    <w:rsid w:val="00CC1A23"/>
    <w:rsid w:val="00CC3F51"/>
    <w:rsid w:val="00CC4A2E"/>
    <w:rsid w:val="00CD09B7"/>
    <w:rsid w:val="00CD0D58"/>
    <w:rsid w:val="00CD0EBC"/>
    <w:rsid w:val="00CD57D9"/>
    <w:rsid w:val="00CD7157"/>
    <w:rsid w:val="00CE063A"/>
    <w:rsid w:val="00CE0D4E"/>
    <w:rsid w:val="00D03A7C"/>
    <w:rsid w:val="00D07005"/>
    <w:rsid w:val="00D10237"/>
    <w:rsid w:val="00D24A9F"/>
    <w:rsid w:val="00D32A9D"/>
    <w:rsid w:val="00D32FD4"/>
    <w:rsid w:val="00D35532"/>
    <w:rsid w:val="00D374AC"/>
    <w:rsid w:val="00D4084A"/>
    <w:rsid w:val="00D414A1"/>
    <w:rsid w:val="00D46926"/>
    <w:rsid w:val="00D47551"/>
    <w:rsid w:val="00D54260"/>
    <w:rsid w:val="00D66E63"/>
    <w:rsid w:val="00D72347"/>
    <w:rsid w:val="00D7760F"/>
    <w:rsid w:val="00D84B9E"/>
    <w:rsid w:val="00D86AAD"/>
    <w:rsid w:val="00D91466"/>
    <w:rsid w:val="00D923A5"/>
    <w:rsid w:val="00D92F21"/>
    <w:rsid w:val="00D930AD"/>
    <w:rsid w:val="00DA04FB"/>
    <w:rsid w:val="00DA0CC0"/>
    <w:rsid w:val="00DA17E5"/>
    <w:rsid w:val="00DB3880"/>
    <w:rsid w:val="00DB4BE8"/>
    <w:rsid w:val="00DB7F8F"/>
    <w:rsid w:val="00DC0CD2"/>
    <w:rsid w:val="00DC0CE5"/>
    <w:rsid w:val="00DD04F0"/>
    <w:rsid w:val="00DD10FD"/>
    <w:rsid w:val="00DD1623"/>
    <w:rsid w:val="00DD26DA"/>
    <w:rsid w:val="00DD614B"/>
    <w:rsid w:val="00DD755A"/>
    <w:rsid w:val="00DE05E1"/>
    <w:rsid w:val="00DE3596"/>
    <w:rsid w:val="00DE3720"/>
    <w:rsid w:val="00DE43F1"/>
    <w:rsid w:val="00DE7454"/>
    <w:rsid w:val="00DF0714"/>
    <w:rsid w:val="00DF2B1F"/>
    <w:rsid w:val="00DF2EC1"/>
    <w:rsid w:val="00DF374A"/>
    <w:rsid w:val="00DF3920"/>
    <w:rsid w:val="00DF440B"/>
    <w:rsid w:val="00E1064C"/>
    <w:rsid w:val="00E15DC3"/>
    <w:rsid w:val="00E16878"/>
    <w:rsid w:val="00E174CC"/>
    <w:rsid w:val="00E20A0D"/>
    <w:rsid w:val="00E2504F"/>
    <w:rsid w:val="00E27EB5"/>
    <w:rsid w:val="00E31DF9"/>
    <w:rsid w:val="00E35FA0"/>
    <w:rsid w:val="00E36E69"/>
    <w:rsid w:val="00E42CBB"/>
    <w:rsid w:val="00E52372"/>
    <w:rsid w:val="00E55807"/>
    <w:rsid w:val="00E602CE"/>
    <w:rsid w:val="00E6755D"/>
    <w:rsid w:val="00E725C3"/>
    <w:rsid w:val="00E731BA"/>
    <w:rsid w:val="00E826F0"/>
    <w:rsid w:val="00E8617E"/>
    <w:rsid w:val="00E86E12"/>
    <w:rsid w:val="00E915D6"/>
    <w:rsid w:val="00E94B10"/>
    <w:rsid w:val="00E96DCF"/>
    <w:rsid w:val="00EA0657"/>
    <w:rsid w:val="00EA14FA"/>
    <w:rsid w:val="00EA18DD"/>
    <w:rsid w:val="00EA346A"/>
    <w:rsid w:val="00EA53A7"/>
    <w:rsid w:val="00EA7436"/>
    <w:rsid w:val="00EB40D2"/>
    <w:rsid w:val="00EB5672"/>
    <w:rsid w:val="00EB6A61"/>
    <w:rsid w:val="00EB7CC5"/>
    <w:rsid w:val="00EC18AC"/>
    <w:rsid w:val="00EC2CC3"/>
    <w:rsid w:val="00EC53F0"/>
    <w:rsid w:val="00EC57D9"/>
    <w:rsid w:val="00EC596E"/>
    <w:rsid w:val="00ED3663"/>
    <w:rsid w:val="00ED5793"/>
    <w:rsid w:val="00ED7518"/>
    <w:rsid w:val="00EE512A"/>
    <w:rsid w:val="00EE54A0"/>
    <w:rsid w:val="00EF0A57"/>
    <w:rsid w:val="00EF1371"/>
    <w:rsid w:val="00EF1DFC"/>
    <w:rsid w:val="00EF2AA4"/>
    <w:rsid w:val="00EF333E"/>
    <w:rsid w:val="00EF456E"/>
    <w:rsid w:val="00F007D8"/>
    <w:rsid w:val="00F03943"/>
    <w:rsid w:val="00F0794F"/>
    <w:rsid w:val="00F1020D"/>
    <w:rsid w:val="00F10FB9"/>
    <w:rsid w:val="00F27046"/>
    <w:rsid w:val="00F27064"/>
    <w:rsid w:val="00F321F0"/>
    <w:rsid w:val="00F40776"/>
    <w:rsid w:val="00F42673"/>
    <w:rsid w:val="00F427B1"/>
    <w:rsid w:val="00F54B16"/>
    <w:rsid w:val="00F55813"/>
    <w:rsid w:val="00F61D3B"/>
    <w:rsid w:val="00F73F11"/>
    <w:rsid w:val="00F77A3B"/>
    <w:rsid w:val="00F77E52"/>
    <w:rsid w:val="00F800EE"/>
    <w:rsid w:val="00F91218"/>
    <w:rsid w:val="00F94331"/>
    <w:rsid w:val="00F961A7"/>
    <w:rsid w:val="00FA1651"/>
    <w:rsid w:val="00FA6117"/>
    <w:rsid w:val="00FB72AC"/>
    <w:rsid w:val="00FC25D0"/>
    <w:rsid w:val="00FD144F"/>
    <w:rsid w:val="00FD2B8B"/>
    <w:rsid w:val="00FD2DD8"/>
    <w:rsid w:val="00FD6336"/>
    <w:rsid w:val="00FE232F"/>
    <w:rsid w:val="00FE3FF1"/>
    <w:rsid w:val="00FE65B0"/>
    <w:rsid w:val="00FE6768"/>
    <w:rsid w:val="00FE6B15"/>
    <w:rsid w:val="00FF1A53"/>
    <w:rsid w:val="00FF1FD1"/>
    <w:rsid w:val="00FF4286"/>
    <w:rsid w:val="00FF513D"/>
    <w:rsid w:val="00FF6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7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755A"/>
    <w:rPr>
      <w:color w:val="0000FF" w:themeColor="hyperlink"/>
      <w:u w:val="single"/>
    </w:rPr>
  </w:style>
  <w:style w:type="paragraph" w:styleId="ListParagraph">
    <w:name w:val="List Paragraph"/>
    <w:basedOn w:val="Normal"/>
    <w:uiPriority w:val="34"/>
    <w:qFormat/>
    <w:rsid w:val="00DD755A"/>
    <w:pPr>
      <w:ind w:left="720"/>
      <w:contextualSpacing/>
    </w:pPr>
  </w:style>
  <w:style w:type="paragraph" w:styleId="Caption">
    <w:name w:val="caption"/>
    <w:basedOn w:val="Normal"/>
    <w:next w:val="Normal"/>
    <w:uiPriority w:val="35"/>
    <w:unhideWhenUsed/>
    <w:qFormat/>
    <w:rsid w:val="000E5DE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E5DE0"/>
    <w:pPr>
      <w:spacing w:after="0"/>
    </w:pPr>
  </w:style>
  <w:style w:type="character" w:styleId="CommentReference">
    <w:name w:val="annotation reference"/>
    <w:basedOn w:val="DefaultParagraphFont"/>
    <w:uiPriority w:val="99"/>
    <w:semiHidden/>
    <w:unhideWhenUsed/>
    <w:rsid w:val="000E5DE0"/>
    <w:rPr>
      <w:sz w:val="16"/>
      <w:szCs w:val="16"/>
    </w:rPr>
  </w:style>
  <w:style w:type="paragraph" w:styleId="CommentText">
    <w:name w:val="annotation text"/>
    <w:basedOn w:val="Normal"/>
    <w:link w:val="CommentTextChar"/>
    <w:uiPriority w:val="99"/>
    <w:unhideWhenUsed/>
    <w:rsid w:val="000E5DE0"/>
    <w:pPr>
      <w:spacing w:line="240" w:lineRule="auto"/>
    </w:pPr>
    <w:rPr>
      <w:sz w:val="20"/>
      <w:szCs w:val="20"/>
    </w:rPr>
  </w:style>
  <w:style w:type="character" w:customStyle="1" w:styleId="CommentTextChar">
    <w:name w:val="Comment Text Char"/>
    <w:basedOn w:val="DefaultParagraphFont"/>
    <w:link w:val="CommentText"/>
    <w:uiPriority w:val="99"/>
    <w:rsid w:val="000E5DE0"/>
    <w:rPr>
      <w:sz w:val="20"/>
      <w:szCs w:val="20"/>
    </w:rPr>
  </w:style>
  <w:style w:type="paragraph" w:styleId="CommentSubject">
    <w:name w:val="annotation subject"/>
    <w:basedOn w:val="CommentText"/>
    <w:next w:val="CommentText"/>
    <w:link w:val="CommentSubjectChar"/>
    <w:uiPriority w:val="99"/>
    <w:semiHidden/>
    <w:unhideWhenUsed/>
    <w:rsid w:val="000E5DE0"/>
    <w:rPr>
      <w:b/>
      <w:bCs/>
    </w:rPr>
  </w:style>
  <w:style w:type="character" w:customStyle="1" w:styleId="CommentSubjectChar">
    <w:name w:val="Comment Subject Char"/>
    <w:basedOn w:val="CommentTextChar"/>
    <w:link w:val="CommentSubject"/>
    <w:uiPriority w:val="99"/>
    <w:semiHidden/>
    <w:rsid w:val="000E5DE0"/>
    <w:rPr>
      <w:b/>
      <w:bCs/>
      <w:sz w:val="20"/>
      <w:szCs w:val="20"/>
    </w:rPr>
  </w:style>
  <w:style w:type="paragraph" w:styleId="BalloonText">
    <w:name w:val="Balloon Text"/>
    <w:basedOn w:val="Normal"/>
    <w:link w:val="BalloonTextChar"/>
    <w:uiPriority w:val="99"/>
    <w:semiHidden/>
    <w:unhideWhenUsed/>
    <w:rsid w:val="000E5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DE0"/>
    <w:rPr>
      <w:rFonts w:ascii="Tahoma" w:hAnsi="Tahoma" w:cs="Tahoma"/>
      <w:sz w:val="16"/>
      <w:szCs w:val="16"/>
    </w:rPr>
  </w:style>
  <w:style w:type="paragraph" w:styleId="FootnoteText">
    <w:name w:val="footnote text"/>
    <w:basedOn w:val="Normal"/>
    <w:link w:val="FootnoteTextChar"/>
    <w:uiPriority w:val="99"/>
    <w:unhideWhenUsed/>
    <w:rsid w:val="00837764"/>
    <w:pPr>
      <w:spacing w:after="0" w:line="240" w:lineRule="auto"/>
    </w:pPr>
    <w:rPr>
      <w:sz w:val="16"/>
      <w:szCs w:val="20"/>
    </w:rPr>
  </w:style>
  <w:style w:type="character" w:customStyle="1" w:styleId="FootnoteTextChar">
    <w:name w:val="Footnote Text Char"/>
    <w:basedOn w:val="DefaultParagraphFont"/>
    <w:link w:val="FootnoteText"/>
    <w:uiPriority w:val="99"/>
    <w:rsid w:val="00837764"/>
    <w:rPr>
      <w:sz w:val="16"/>
      <w:szCs w:val="20"/>
    </w:rPr>
  </w:style>
  <w:style w:type="character" w:styleId="FootnoteReference">
    <w:name w:val="footnote reference"/>
    <w:basedOn w:val="DefaultParagraphFont"/>
    <w:uiPriority w:val="99"/>
    <w:semiHidden/>
    <w:unhideWhenUsed/>
    <w:rsid w:val="005C55E0"/>
    <w:rPr>
      <w:vertAlign w:val="superscript"/>
    </w:rPr>
  </w:style>
  <w:style w:type="paragraph" w:styleId="Revision">
    <w:name w:val="Revision"/>
    <w:hidden/>
    <w:uiPriority w:val="99"/>
    <w:semiHidden/>
    <w:rsid w:val="004568B7"/>
    <w:pPr>
      <w:spacing w:after="0" w:line="240" w:lineRule="auto"/>
    </w:pPr>
  </w:style>
  <w:style w:type="paragraph" w:styleId="NormalWeb">
    <w:name w:val="Normal (Web)"/>
    <w:basedOn w:val="Normal"/>
    <w:uiPriority w:val="99"/>
    <w:unhideWhenUsed/>
    <w:rsid w:val="00197C1F"/>
    <w:pPr>
      <w:spacing w:before="100" w:beforeAutospacing="1" w:after="100" w:afterAutospacing="1" w:line="240" w:lineRule="auto"/>
    </w:pPr>
    <w:rPr>
      <w:rFonts w:ascii="Times New Roman" w:eastAsia="Times New Roman" w:hAnsi="Times New Roman" w:cs="Times New Roman"/>
    </w:rPr>
  </w:style>
  <w:style w:type="character" w:styleId="LineNumber">
    <w:name w:val="line number"/>
    <w:basedOn w:val="DefaultParagraphFont"/>
    <w:uiPriority w:val="99"/>
    <w:semiHidden/>
    <w:unhideWhenUsed/>
    <w:rsid w:val="0094629D"/>
  </w:style>
  <w:style w:type="paragraph" w:styleId="Header">
    <w:name w:val="header"/>
    <w:basedOn w:val="Normal"/>
    <w:link w:val="HeaderChar"/>
    <w:uiPriority w:val="99"/>
    <w:unhideWhenUsed/>
    <w:rsid w:val="0094629D"/>
    <w:pPr>
      <w:tabs>
        <w:tab w:val="center" w:pos="4703"/>
        <w:tab w:val="right" w:pos="9406"/>
      </w:tabs>
      <w:spacing w:after="0" w:line="240" w:lineRule="auto"/>
    </w:pPr>
  </w:style>
  <w:style w:type="character" w:customStyle="1" w:styleId="HeaderChar">
    <w:name w:val="Header Char"/>
    <w:basedOn w:val="DefaultParagraphFont"/>
    <w:link w:val="Header"/>
    <w:uiPriority w:val="99"/>
    <w:rsid w:val="0094629D"/>
  </w:style>
  <w:style w:type="paragraph" w:styleId="Footer">
    <w:name w:val="footer"/>
    <w:basedOn w:val="Normal"/>
    <w:link w:val="FooterChar"/>
    <w:uiPriority w:val="99"/>
    <w:unhideWhenUsed/>
    <w:rsid w:val="0094629D"/>
    <w:pPr>
      <w:tabs>
        <w:tab w:val="center" w:pos="4703"/>
        <w:tab w:val="right" w:pos="9406"/>
      </w:tabs>
      <w:spacing w:after="0" w:line="240" w:lineRule="auto"/>
    </w:pPr>
  </w:style>
  <w:style w:type="character" w:customStyle="1" w:styleId="FooterChar">
    <w:name w:val="Footer Char"/>
    <w:basedOn w:val="DefaultParagraphFont"/>
    <w:link w:val="Footer"/>
    <w:uiPriority w:val="99"/>
    <w:rsid w:val="0094629D"/>
  </w:style>
  <w:style w:type="character" w:styleId="EndnoteReference">
    <w:name w:val="endnote reference"/>
    <w:basedOn w:val="DefaultParagraphFont"/>
    <w:uiPriority w:val="99"/>
    <w:semiHidden/>
    <w:unhideWhenUsed/>
    <w:rsid w:val="000C25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02850">
      <w:bodyDiv w:val="1"/>
      <w:marLeft w:val="0"/>
      <w:marRight w:val="0"/>
      <w:marTop w:val="0"/>
      <w:marBottom w:val="0"/>
      <w:divBdr>
        <w:top w:val="none" w:sz="0" w:space="0" w:color="auto"/>
        <w:left w:val="none" w:sz="0" w:space="0" w:color="auto"/>
        <w:bottom w:val="none" w:sz="0" w:space="0" w:color="auto"/>
        <w:right w:val="none" w:sz="0" w:space="0" w:color="auto"/>
      </w:divBdr>
    </w:div>
    <w:div w:id="300043326">
      <w:bodyDiv w:val="1"/>
      <w:marLeft w:val="0"/>
      <w:marRight w:val="0"/>
      <w:marTop w:val="0"/>
      <w:marBottom w:val="0"/>
      <w:divBdr>
        <w:top w:val="none" w:sz="0" w:space="0" w:color="auto"/>
        <w:left w:val="none" w:sz="0" w:space="0" w:color="auto"/>
        <w:bottom w:val="none" w:sz="0" w:space="0" w:color="auto"/>
        <w:right w:val="none" w:sz="0" w:space="0" w:color="auto"/>
      </w:divBdr>
    </w:div>
    <w:div w:id="307323533">
      <w:bodyDiv w:val="1"/>
      <w:marLeft w:val="0"/>
      <w:marRight w:val="0"/>
      <w:marTop w:val="0"/>
      <w:marBottom w:val="0"/>
      <w:divBdr>
        <w:top w:val="none" w:sz="0" w:space="0" w:color="auto"/>
        <w:left w:val="none" w:sz="0" w:space="0" w:color="auto"/>
        <w:bottom w:val="none" w:sz="0" w:space="0" w:color="auto"/>
        <w:right w:val="none" w:sz="0" w:space="0" w:color="auto"/>
      </w:divBdr>
    </w:div>
    <w:div w:id="435563402">
      <w:bodyDiv w:val="1"/>
      <w:marLeft w:val="0"/>
      <w:marRight w:val="0"/>
      <w:marTop w:val="0"/>
      <w:marBottom w:val="0"/>
      <w:divBdr>
        <w:top w:val="none" w:sz="0" w:space="0" w:color="auto"/>
        <w:left w:val="none" w:sz="0" w:space="0" w:color="auto"/>
        <w:bottom w:val="none" w:sz="0" w:space="0" w:color="auto"/>
        <w:right w:val="none" w:sz="0" w:space="0" w:color="auto"/>
      </w:divBdr>
    </w:div>
    <w:div w:id="971982942">
      <w:bodyDiv w:val="1"/>
      <w:marLeft w:val="0"/>
      <w:marRight w:val="0"/>
      <w:marTop w:val="0"/>
      <w:marBottom w:val="0"/>
      <w:divBdr>
        <w:top w:val="none" w:sz="0" w:space="0" w:color="auto"/>
        <w:left w:val="none" w:sz="0" w:space="0" w:color="auto"/>
        <w:bottom w:val="none" w:sz="0" w:space="0" w:color="auto"/>
        <w:right w:val="none" w:sz="0" w:space="0" w:color="auto"/>
      </w:divBdr>
    </w:div>
    <w:div w:id="1436749778">
      <w:bodyDiv w:val="1"/>
      <w:marLeft w:val="0"/>
      <w:marRight w:val="0"/>
      <w:marTop w:val="0"/>
      <w:marBottom w:val="0"/>
      <w:divBdr>
        <w:top w:val="none" w:sz="0" w:space="0" w:color="auto"/>
        <w:left w:val="none" w:sz="0" w:space="0" w:color="auto"/>
        <w:bottom w:val="none" w:sz="0" w:space="0" w:color="auto"/>
        <w:right w:val="none" w:sz="0" w:space="0" w:color="auto"/>
      </w:divBdr>
    </w:div>
    <w:div w:id="1724598283">
      <w:bodyDiv w:val="1"/>
      <w:marLeft w:val="0"/>
      <w:marRight w:val="0"/>
      <w:marTop w:val="0"/>
      <w:marBottom w:val="0"/>
      <w:divBdr>
        <w:top w:val="none" w:sz="0" w:space="0" w:color="auto"/>
        <w:left w:val="none" w:sz="0" w:space="0" w:color="auto"/>
        <w:bottom w:val="none" w:sz="0" w:space="0" w:color="auto"/>
        <w:right w:val="none" w:sz="0" w:space="0" w:color="auto"/>
      </w:divBdr>
      <w:divsChild>
        <w:div w:id="675807276">
          <w:marLeft w:val="0"/>
          <w:marRight w:val="0"/>
          <w:marTop w:val="0"/>
          <w:marBottom w:val="0"/>
          <w:divBdr>
            <w:top w:val="none" w:sz="0" w:space="0" w:color="auto"/>
            <w:left w:val="none" w:sz="0" w:space="0" w:color="auto"/>
            <w:bottom w:val="none" w:sz="0" w:space="0" w:color="auto"/>
            <w:right w:val="none" w:sz="0" w:space="0" w:color="auto"/>
          </w:divBdr>
        </w:div>
        <w:div w:id="680014983">
          <w:marLeft w:val="0"/>
          <w:marRight w:val="0"/>
          <w:marTop w:val="0"/>
          <w:marBottom w:val="0"/>
          <w:divBdr>
            <w:top w:val="none" w:sz="0" w:space="0" w:color="auto"/>
            <w:left w:val="none" w:sz="0" w:space="0" w:color="auto"/>
            <w:bottom w:val="none" w:sz="0" w:space="0" w:color="auto"/>
            <w:right w:val="none" w:sz="0" w:space="0" w:color="auto"/>
          </w:divBdr>
        </w:div>
        <w:div w:id="750392627">
          <w:marLeft w:val="0"/>
          <w:marRight w:val="0"/>
          <w:marTop w:val="0"/>
          <w:marBottom w:val="0"/>
          <w:divBdr>
            <w:top w:val="none" w:sz="0" w:space="0" w:color="auto"/>
            <w:left w:val="none" w:sz="0" w:space="0" w:color="auto"/>
            <w:bottom w:val="none" w:sz="0" w:space="0" w:color="auto"/>
            <w:right w:val="none" w:sz="0" w:space="0" w:color="auto"/>
          </w:divBdr>
        </w:div>
        <w:div w:id="1197545167">
          <w:marLeft w:val="0"/>
          <w:marRight w:val="0"/>
          <w:marTop w:val="0"/>
          <w:marBottom w:val="0"/>
          <w:divBdr>
            <w:top w:val="none" w:sz="0" w:space="0" w:color="auto"/>
            <w:left w:val="none" w:sz="0" w:space="0" w:color="auto"/>
            <w:bottom w:val="none" w:sz="0" w:space="0" w:color="auto"/>
            <w:right w:val="none" w:sz="0" w:space="0" w:color="auto"/>
          </w:divBdr>
        </w:div>
        <w:div w:id="334185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3830C-3BA4-4D52-B649-014625BE0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11388</Words>
  <Characters>64917</Characters>
  <Application>Microsoft Office Word</Application>
  <DocSecurity>0</DocSecurity>
  <Lines>540</Lines>
  <Paragraphs>152</Paragraphs>
  <ScaleCrop>false</ScaleCrop>
  <Company/>
  <LinksUpToDate>false</LinksUpToDate>
  <CharactersWithSpaces>76153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2019-07-23T13:28:00Z</dcterms:created>
  <dcterms:modified xsi:type="dcterms:W3CDTF">2020-03-13T16:13:00Z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http://www.zotero.org/styles/springer-basic-author-date-no-et-al</vt:lpwstr>
  </property>
  <property fmtid="{D5CDD505-2E9C-101B-9397-08002B2CF9AE}" pid="4" name="Mendeley Unique User Id_1">
    <vt:lpwstr>9e176e0e-48b6-32c0-bba7-6705f6ac1b7c</vt:lpwstr>
  </property>
  <property fmtid="{D5CDD505-2E9C-101B-9397-08002B2CF9AE}" pid="5" name="Mendeley Recent Style Id 0_1">
    <vt:lpwstr>http://www.zotero.org/styles/ambio</vt:lpwstr>
  </property>
  <property fmtid="{D5CDD505-2E9C-101B-9397-08002B2CF9AE}" pid="6" name="Mendeley Recent Style Name 0_1">
    <vt:lpwstr>AMBIO</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http://www.zotero.org/styles/ecology-and-society</vt:lpwstr>
  </property>
  <property fmtid="{D5CDD505-2E9C-101B-9397-08002B2CF9AE}" pid="10" name="Mendeley Recent Style Name 2_1">
    <vt:lpwstr>Ecology and Society</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http://www.zotero.org/styles/springer-basic-author-date</vt:lpwstr>
  </property>
  <property fmtid="{D5CDD505-2E9C-101B-9397-08002B2CF9AE}" pid="14" name="Mendeley Recent Style Name 4_1">
    <vt:lpwstr>Springer - Basic (author-date)</vt:lpwstr>
  </property>
  <property fmtid="{D5CDD505-2E9C-101B-9397-08002B2CF9AE}" pid="15" name="Mendeley Recent Style Id 5_1">
    <vt:lpwstr>http://www.zotero.org/styles/springer-basic-author-date-no-et-al</vt:lpwstr>
  </property>
  <property fmtid="{D5CDD505-2E9C-101B-9397-08002B2CF9AE}" pid="16" name="Mendeley Recent Style Name 5_1">
    <vt:lpwstr>Springer - Basic (author-date, no "et al.")</vt:lpwstr>
  </property>
  <property fmtid="{D5CDD505-2E9C-101B-9397-08002B2CF9AE}" pid="17" name="Mendeley Recent Style Id 6_1">
    <vt:lpwstr>http://www.zotero.org/styles/springer-basic-note</vt:lpwstr>
  </property>
  <property fmtid="{D5CDD505-2E9C-101B-9397-08002B2CF9AE}" pid="18" name="Mendeley Recent Style Name 6_1">
    <vt:lpwstr>Springer - Basic (note)</vt:lpwstr>
  </property>
  <property fmtid="{D5CDD505-2E9C-101B-9397-08002B2CF9AE}" pid="19" name="Mendeley Recent Style Id 7_1">
    <vt:lpwstr>http://www.zotero.org/styles/springer-basic-brackets-no-et-al</vt:lpwstr>
  </property>
  <property fmtid="{D5CDD505-2E9C-101B-9397-08002B2CF9AE}" pid="20" name="Mendeley Recent Style Name 7_1">
    <vt:lpwstr>Springer - Basic (numeric, brackets, no "et al.")</vt:lpwstr>
  </property>
  <property fmtid="{D5CDD505-2E9C-101B-9397-08002B2CF9AE}" pid="21" name="Mendeley Recent Style Id 8_1">
    <vt:lpwstr>http://www.zotero.org/styles/springer-humanities-brackets</vt:lpwstr>
  </property>
  <property fmtid="{D5CDD505-2E9C-101B-9397-08002B2CF9AE}" pid="22" name="Mendeley Recent Style Name 8_1">
    <vt:lpwstr>Springer - Humanities (numeric, brackets)</vt:lpwstr>
  </property>
  <property fmtid="{D5CDD505-2E9C-101B-9397-08002B2CF9AE}" pid="23" name="Mendeley Recent Style Id 9_1">
    <vt:lpwstr>http://www.zotero.org/styles/sustainability-science</vt:lpwstr>
  </property>
  <property fmtid="{D5CDD505-2E9C-101B-9397-08002B2CF9AE}" pid="24" name="Mendeley Recent Style Name 9_1">
    <vt:lpwstr>Sustainability Science</vt:lpwstr>
  </property>
</Properties>
</file>