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34BF8" w14:textId="1C053709" w:rsidR="00B306CF" w:rsidRPr="00FA0AF7" w:rsidRDefault="00B306CF" w:rsidP="00B306CF">
      <w:pPr>
        <w:pStyle w:val="Heading1"/>
        <w:rPr>
          <w:color w:val="auto"/>
        </w:rPr>
      </w:pPr>
      <w:r w:rsidRPr="00FA0AF7">
        <w:rPr>
          <w:color w:val="auto"/>
        </w:rPr>
        <w:t>Hagestad</w:t>
      </w:r>
      <w:r>
        <w:rPr>
          <w:color w:val="auto"/>
        </w:rPr>
        <w:t xml:space="preserve"> </w:t>
      </w:r>
      <w:r w:rsidRPr="00FA0AF7">
        <w:rPr>
          <w:color w:val="auto"/>
        </w:rPr>
        <w:t>et</w:t>
      </w:r>
      <w:r>
        <w:rPr>
          <w:color w:val="auto"/>
        </w:rPr>
        <w:t xml:space="preserve"> </w:t>
      </w:r>
      <w:r w:rsidRPr="00FA0AF7">
        <w:rPr>
          <w:color w:val="auto"/>
        </w:rPr>
        <w:t>al.</w:t>
      </w:r>
      <w:r>
        <w:rPr>
          <w:color w:val="auto"/>
        </w:rPr>
        <w:t xml:space="preserve"> </w:t>
      </w:r>
      <w:r w:rsidRPr="00FA0AF7">
        <w:rPr>
          <w:color w:val="auto"/>
        </w:rPr>
        <w:t>2021,</w:t>
      </w:r>
      <w:r>
        <w:rPr>
          <w:color w:val="auto"/>
        </w:rPr>
        <w:t xml:space="preserve"> </w:t>
      </w:r>
      <w:r w:rsidR="00800B46" w:rsidRPr="00800B46">
        <w:rPr>
          <w:color w:val="auto"/>
        </w:rPr>
        <w:t xml:space="preserve">Genomic characterization of three marine fungi, including </w:t>
      </w:r>
      <w:r w:rsidR="00800B46" w:rsidRPr="0043746B">
        <w:rPr>
          <w:i/>
          <w:color w:val="auto"/>
        </w:rPr>
        <w:t>Emericellopsis atlantica</w:t>
      </w:r>
      <w:r w:rsidR="00800B46" w:rsidRPr="00800B46">
        <w:rPr>
          <w:color w:val="auto"/>
        </w:rPr>
        <w:t xml:space="preserve"> sp. nov. with signatures of a generalist lifestyle and marine biomass degradation</w:t>
      </w:r>
    </w:p>
    <w:p w14:paraId="1BB62989" w14:textId="00353D61" w:rsidR="00B306CF" w:rsidRDefault="00B306CF" w:rsidP="00B306CF">
      <w:pPr>
        <w:pStyle w:val="Heading1"/>
        <w:rPr>
          <w:color w:val="auto"/>
        </w:rPr>
      </w:pPr>
      <w:r w:rsidRPr="00FA0AF7">
        <w:rPr>
          <w:color w:val="auto"/>
        </w:rPr>
        <w:t>S</w:t>
      </w:r>
      <w:r>
        <w:rPr>
          <w:color w:val="auto"/>
        </w:rPr>
        <w:t xml:space="preserve">upplementary data </w:t>
      </w:r>
      <w:r w:rsidR="00800B46">
        <w:rPr>
          <w:color w:val="auto"/>
        </w:rPr>
        <w:t>7</w:t>
      </w:r>
      <w:r>
        <w:rPr>
          <w:color w:val="auto"/>
        </w:rPr>
        <w:t xml:space="preserve"> – </w:t>
      </w:r>
      <w:r w:rsidR="00800B46">
        <w:rPr>
          <w:color w:val="auto"/>
        </w:rPr>
        <w:t>B</w:t>
      </w:r>
      <w:r>
        <w:rPr>
          <w:color w:val="auto"/>
        </w:rPr>
        <w:t>ioactivity</w:t>
      </w:r>
    </w:p>
    <w:p w14:paraId="36642857" w14:textId="77777777" w:rsidR="00B306CF" w:rsidRPr="00B306CF" w:rsidRDefault="00B306CF" w:rsidP="00B306CF"/>
    <w:p w14:paraId="3B6C5498" w14:textId="77777777" w:rsidR="00B306CF" w:rsidRDefault="00B306CF" w:rsidP="00B306CF">
      <w:pPr>
        <w:pStyle w:val="Heading2"/>
      </w:pPr>
      <w:r>
        <w:t xml:space="preserve">Bioactivity and dereplication of extracts from </w:t>
      </w:r>
      <w:r w:rsidRPr="0043746B">
        <w:rPr>
          <w:i/>
        </w:rPr>
        <w:t xml:space="preserve">Emericellopsis </w:t>
      </w:r>
      <w:r>
        <w:t>TS7</w:t>
      </w:r>
    </w:p>
    <w:p w14:paraId="45F60D88" w14:textId="7D13FC41" w:rsidR="00B306CF" w:rsidRDefault="00B306CF" w:rsidP="00B306CF">
      <w:pPr>
        <w:pStyle w:val="Paragraph"/>
      </w:pPr>
      <w:r w:rsidRPr="00735ECD">
        <w:rPr>
          <w:i/>
        </w:rPr>
        <w:t>Emericellopsis</w:t>
      </w:r>
      <w:r>
        <w:t xml:space="preserve"> </w:t>
      </w:r>
      <w:r w:rsidR="00800B46">
        <w:t xml:space="preserve">sp. </w:t>
      </w:r>
      <w:r>
        <w:t>TS7 cultures were grown for 3-6 weeks before being extracted using liquid-liquid or liquid-solid extraction with ethyl acetate, or SPE of liquid cultures with HP-20 resin followed by methanol elu</w:t>
      </w:r>
      <w:bookmarkStart w:id="0" w:name="_GoBack"/>
      <w:bookmarkEnd w:id="0"/>
      <w:r>
        <w:t xml:space="preserve">tion of the extracted metabolites. The extracts were fractioned into eight fractions using flash chromatography. The bioactivity in the fractions from different cultures varied, indicating the likelihood of expression of potentially different active compounds. A total of 11 different extracts and eight different fractions from each extract (except F1, Verm and MWM) were tested. Fractions from fermentations in MPM-ASW, DMB and SAPM-ASW-media were active against biofilm formation (25 </w:t>
      </w:r>
      <w:r w:rsidRPr="00C906AB">
        <w:t>µ</w:t>
      </w:r>
      <w:r>
        <w:t xml:space="preserve">g/mL) while fermentations in F1, AF, DPY, BRFT, Verm and MWM showed anti-bacterial activity to varying </w:t>
      </w:r>
      <w:r w:rsidRPr="00AA3D66">
        <w:t>degree</w:t>
      </w:r>
      <w:r>
        <w:t xml:space="preserve">, </w:t>
      </w:r>
      <w:r w:rsidRPr="00AA3D66">
        <w:t>T</w:t>
      </w:r>
      <w:r>
        <w:t>able</w:t>
      </w:r>
      <w:r w:rsidRPr="00AA3D66">
        <w:t xml:space="preserve"> </w:t>
      </w:r>
      <w:r w:rsidR="00800B46">
        <w:t>1</w:t>
      </w:r>
      <w:r w:rsidRPr="00AA3D66">
        <w:t xml:space="preserve">. </w:t>
      </w:r>
      <w:r>
        <w:t xml:space="preserve">The highest antibacterial activity was observed in fermentations using AF and DPY. Fermentation in media containing both yeast extract and peptone such as DPY and AF showed activity against </w:t>
      </w:r>
      <w:r w:rsidRPr="0058441B">
        <w:rPr>
          <w:i/>
        </w:rPr>
        <w:t>E. faecium</w:t>
      </w:r>
      <w:r>
        <w:t>. None of the fractions showed toxic activity against A2058 melanoma cells. Fractions from the DMB-fermentation displayed an immunostimulatory effect down to a level of 10 µg/mL in a dose dependent manner.</w:t>
      </w:r>
    </w:p>
    <w:p w14:paraId="0B71EABC" w14:textId="77777777" w:rsidR="00B306CF" w:rsidRDefault="00B306CF" w:rsidP="00B306CF">
      <w:pPr>
        <w:pStyle w:val="Newparagraph"/>
        <w:ind w:firstLine="0"/>
      </w:pPr>
    </w:p>
    <w:p w14:paraId="2C46D6FC" w14:textId="77777777" w:rsidR="00B306CF" w:rsidRPr="00B306CF" w:rsidRDefault="00B306CF" w:rsidP="00B306CF">
      <w:pPr>
        <w:pStyle w:val="Newparagraph"/>
        <w:ind w:firstLine="0"/>
      </w:pPr>
    </w:p>
    <w:p w14:paraId="34B24D3A" w14:textId="4DAC77EA" w:rsidR="00B306CF" w:rsidRDefault="00B306CF" w:rsidP="00B306CF">
      <w:pPr>
        <w:pStyle w:val="Tabletitle"/>
      </w:pPr>
      <w:r>
        <w:lastRenderedPageBreak/>
        <w:t xml:space="preserve">Table </w:t>
      </w:r>
      <w:r w:rsidR="00800B46">
        <w:t>1</w:t>
      </w:r>
      <w:r>
        <w:t xml:space="preserve"> - B</w:t>
      </w:r>
      <w:r w:rsidRPr="00563284">
        <w:t xml:space="preserve">ioactivity from the fractions of the </w:t>
      </w:r>
      <w:r w:rsidRPr="00F913D3">
        <w:rPr>
          <w:i/>
        </w:rPr>
        <w:t>Emericellopsis</w:t>
      </w:r>
      <w:r>
        <w:t xml:space="preserve"> </w:t>
      </w:r>
      <w:r w:rsidRPr="00563284">
        <w:t xml:space="preserve">TS7 fermentations. </w:t>
      </w:r>
    </w:p>
    <w:tbl>
      <w:tblPr>
        <w:tblW w:w="10220" w:type="dxa"/>
        <w:tblLook w:val="04A0" w:firstRow="1" w:lastRow="0" w:firstColumn="1" w:lastColumn="0" w:noHBand="0" w:noVBand="1"/>
      </w:tblPr>
      <w:tblGrid>
        <w:gridCol w:w="960"/>
        <w:gridCol w:w="989"/>
        <w:gridCol w:w="655"/>
        <w:gridCol w:w="764"/>
        <w:gridCol w:w="880"/>
        <w:gridCol w:w="750"/>
        <w:gridCol w:w="750"/>
        <w:gridCol w:w="752"/>
        <w:gridCol w:w="773"/>
        <w:gridCol w:w="1244"/>
        <w:gridCol w:w="607"/>
        <w:gridCol w:w="440"/>
        <w:gridCol w:w="467"/>
        <w:gridCol w:w="454"/>
        <w:gridCol w:w="657"/>
      </w:tblGrid>
      <w:tr w:rsidR="00B306CF" w:rsidRPr="00B306CF" w14:paraId="58B2C629" w14:textId="77777777" w:rsidTr="002652BF">
        <w:trPr>
          <w:trHeight w:val="300"/>
        </w:trPr>
        <w:tc>
          <w:tcPr>
            <w:tcW w:w="960" w:type="dxa"/>
            <w:tcBorders>
              <w:top w:val="nil"/>
              <w:left w:val="nil"/>
              <w:bottom w:val="nil"/>
              <w:right w:val="nil"/>
            </w:tcBorders>
            <w:shd w:val="clear" w:color="000000" w:fill="FFFFFF"/>
            <w:noWrap/>
            <w:vAlign w:val="bottom"/>
            <w:hideMark/>
          </w:tcPr>
          <w:p w14:paraId="37496F15"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 </w:t>
            </w:r>
          </w:p>
        </w:tc>
        <w:tc>
          <w:tcPr>
            <w:tcW w:w="900" w:type="dxa"/>
            <w:tcBorders>
              <w:top w:val="single" w:sz="4" w:space="0" w:color="auto"/>
              <w:left w:val="single" w:sz="4" w:space="0" w:color="auto"/>
              <w:bottom w:val="nil"/>
              <w:right w:val="nil"/>
            </w:tcBorders>
            <w:shd w:val="clear" w:color="000000" w:fill="FFFFFF"/>
            <w:noWrap/>
            <w:vAlign w:val="bottom"/>
            <w:hideMark/>
          </w:tcPr>
          <w:p w14:paraId="17373746"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 </w:t>
            </w:r>
          </w:p>
        </w:tc>
        <w:tc>
          <w:tcPr>
            <w:tcW w:w="640" w:type="dxa"/>
            <w:vMerge w:val="restart"/>
            <w:tcBorders>
              <w:top w:val="single" w:sz="4" w:space="0" w:color="auto"/>
              <w:left w:val="nil"/>
              <w:bottom w:val="single" w:sz="8" w:space="0" w:color="000000"/>
              <w:right w:val="single" w:sz="4" w:space="0" w:color="auto"/>
            </w:tcBorders>
            <w:shd w:val="clear" w:color="000000" w:fill="FFFFFF"/>
            <w:vAlign w:val="bottom"/>
            <w:hideMark/>
          </w:tcPr>
          <w:p w14:paraId="3C502636" w14:textId="77777777" w:rsidR="00B306CF" w:rsidRPr="00B306CF" w:rsidRDefault="00B306CF" w:rsidP="00B306CF">
            <w:pPr>
              <w:spacing w:after="0" w:line="240" w:lineRule="auto"/>
              <w:jc w:val="center"/>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Frac. no.</w:t>
            </w:r>
          </w:p>
        </w:tc>
        <w:tc>
          <w:tcPr>
            <w:tcW w:w="640" w:type="dxa"/>
            <w:vMerge w:val="restart"/>
            <w:tcBorders>
              <w:top w:val="single" w:sz="4" w:space="0" w:color="auto"/>
              <w:left w:val="single" w:sz="4" w:space="0" w:color="auto"/>
              <w:bottom w:val="single" w:sz="8" w:space="0" w:color="000000"/>
              <w:right w:val="single" w:sz="4" w:space="0" w:color="auto"/>
            </w:tcBorders>
            <w:shd w:val="clear" w:color="000000" w:fill="FFFFFF"/>
            <w:vAlign w:val="bottom"/>
            <w:hideMark/>
          </w:tcPr>
          <w:p w14:paraId="69D6BEC8" w14:textId="77777777" w:rsidR="00B306CF" w:rsidRPr="00B306CF" w:rsidRDefault="00B306CF" w:rsidP="00B306CF">
            <w:pPr>
              <w:spacing w:after="0" w:line="240" w:lineRule="auto"/>
              <w:jc w:val="center"/>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Ext. met.</w:t>
            </w:r>
          </w:p>
        </w:tc>
        <w:tc>
          <w:tcPr>
            <w:tcW w:w="880" w:type="dxa"/>
            <w:vMerge w:val="restart"/>
            <w:tcBorders>
              <w:top w:val="single" w:sz="4" w:space="0" w:color="auto"/>
              <w:left w:val="single" w:sz="4" w:space="0" w:color="auto"/>
              <w:bottom w:val="single" w:sz="8" w:space="0" w:color="000000"/>
              <w:right w:val="single" w:sz="4" w:space="0" w:color="auto"/>
            </w:tcBorders>
            <w:shd w:val="clear" w:color="000000" w:fill="FFFFFF"/>
            <w:vAlign w:val="bottom"/>
            <w:hideMark/>
          </w:tcPr>
          <w:p w14:paraId="6E61DE56" w14:textId="77777777" w:rsidR="00B306CF" w:rsidRPr="00B306CF" w:rsidRDefault="00B306CF" w:rsidP="00B306CF">
            <w:pPr>
              <w:spacing w:after="0" w:line="240" w:lineRule="auto"/>
              <w:jc w:val="center"/>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Cell prolif.</w:t>
            </w:r>
          </w:p>
        </w:tc>
        <w:tc>
          <w:tcPr>
            <w:tcW w:w="1500" w:type="dxa"/>
            <w:gridSpan w:val="2"/>
            <w:tcBorders>
              <w:top w:val="single" w:sz="4" w:space="0" w:color="auto"/>
              <w:left w:val="nil"/>
              <w:bottom w:val="nil"/>
              <w:right w:val="single" w:sz="4" w:space="0" w:color="000000"/>
            </w:tcBorders>
            <w:shd w:val="clear" w:color="000000" w:fill="FFFFFF"/>
            <w:noWrap/>
            <w:vAlign w:val="bottom"/>
            <w:hideMark/>
          </w:tcPr>
          <w:p w14:paraId="3B9B87B9" w14:textId="77777777" w:rsidR="00B306CF" w:rsidRPr="00B306CF" w:rsidRDefault="00B306CF" w:rsidP="00B306CF">
            <w:pPr>
              <w:spacing w:after="0" w:line="240" w:lineRule="auto"/>
              <w:jc w:val="center"/>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Immuno</w:t>
            </w:r>
          </w:p>
        </w:tc>
        <w:tc>
          <w:tcPr>
            <w:tcW w:w="2520" w:type="dxa"/>
            <w:gridSpan w:val="3"/>
            <w:tcBorders>
              <w:top w:val="single" w:sz="4" w:space="0" w:color="auto"/>
              <w:left w:val="nil"/>
              <w:bottom w:val="nil"/>
              <w:right w:val="single" w:sz="4" w:space="0" w:color="000000"/>
            </w:tcBorders>
            <w:shd w:val="clear" w:color="000000" w:fill="FFFFFF"/>
            <w:noWrap/>
            <w:vAlign w:val="bottom"/>
            <w:hideMark/>
          </w:tcPr>
          <w:p w14:paraId="58B28F0F" w14:textId="77777777" w:rsidR="00B306CF" w:rsidRPr="00B306CF" w:rsidRDefault="00B306CF" w:rsidP="00B306CF">
            <w:pPr>
              <w:spacing w:after="0" w:line="240" w:lineRule="auto"/>
              <w:jc w:val="center"/>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Biofilm inhibition</w:t>
            </w:r>
          </w:p>
        </w:tc>
        <w:tc>
          <w:tcPr>
            <w:tcW w:w="2180" w:type="dxa"/>
            <w:gridSpan w:val="5"/>
            <w:tcBorders>
              <w:top w:val="single" w:sz="4" w:space="0" w:color="auto"/>
              <w:left w:val="nil"/>
              <w:bottom w:val="nil"/>
              <w:right w:val="single" w:sz="4" w:space="0" w:color="000000"/>
            </w:tcBorders>
            <w:shd w:val="clear" w:color="000000" w:fill="FFFFFF"/>
            <w:noWrap/>
            <w:vAlign w:val="bottom"/>
            <w:hideMark/>
          </w:tcPr>
          <w:p w14:paraId="55271DE5" w14:textId="77777777" w:rsidR="00B306CF" w:rsidRPr="00B306CF" w:rsidRDefault="00B306CF" w:rsidP="00B306CF">
            <w:pPr>
              <w:spacing w:after="0" w:line="240" w:lineRule="auto"/>
              <w:jc w:val="center"/>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Growth inhib. assay</w:t>
            </w:r>
          </w:p>
        </w:tc>
      </w:tr>
      <w:tr w:rsidR="00B306CF" w:rsidRPr="00B306CF" w14:paraId="43DDBF7E" w14:textId="77777777" w:rsidTr="002652BF">
        <w:trPr>
          <w:trHeight w:val="315"/>
        </w:trPr>
        <w:tc>
          <w:tcPr>
            <w:tcW w:w="960" w:type="dxa"/>
            <w:tcBorders>
              <w:top w:val="nil"/>
              <w:left w:val="nil"/>
              <w:bottom w:val="single" w:sz="8" w:space="0" w:color="auto"/>
              <w:right w:val="nil"/>
            </w:tcBorders>
            <w:shd w:val="clear" w:color="000000" w:fill="FFFFFF"/>
            <w:noWrap/>
            <w:vAlign w:val="bottom"/>
            <w:hideMark/>
          </w:tcPr>
          <w:p w14:paraId="5D690948"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State</w:t>
            </w:r>
          </w:p>
        </w:tc>
        <w:tc>
          <w:tcPr>
            <w:tcW w:w="900" w:type="dxa"/>
            <w:tcBorders>
              <w:top w:val="nil"/>
              <w:left w:val="single" w:sz="4" w:space="0" w:color="auto"/>
              <w:bottom w:val="single" w:sz="8" w:space="0" w:color="auto"/>
              <w:right w:val="nil"/>
            </w:tcBorders>
            <w:shd w:val="clear" w:color="000000" w:fill="FFFFFF"/>
            <w:noWrap/>
            <w:vAlign w:val="bottom"/>
            <w:hideMark/>
          </w:tcPr>
          <w:p w14:paraId="2195E8B3" w14:textId="77777777" w:rsidR="00B306CF" w:rsidRPr="00B306CF" w:rsidRDefault="00B306CF" w:rsidP="00B306CF">
            <w:pPr>
              <w:spacing w:after="0" w:line="240" w:lineRule="auto"/>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Medium</w:t>
            </w:r>
          </w:p>
        </w:tc>
        <w:tc>
          <w:tcPr>
            <w:tcW w:w="640" w:type="dxa"/>
            <w:vMerge/>
            <w:tcBorders>
              <w:top w:val="single" w:sz="4" w:space="0" w:color="auto"/>
              <w:left w:val="nil"/>
              <w:bottom w:val="single" w:sz="8" w:space="0" w:color="000000"/>
              <w:right w:val="single" w:sz="4" w:space="0" w:color="auto"/>
            </w:tcBorders>
            <w:vAlign w:val="center"/>
            <w:hideMark/>
          </w:tcPr>
          <w:p w14:paraId="0F0CD0D4" w14:textId="77777777" w:rsidR="00B306CF" w:rsidRPr="00B306CF" w:rsidRDefault="00B306CF" w:rsidP="00B306CF">
            <w:pPr>
              <w:spacing w:after="0" w:line="240" w:lineRule="auto"/>
              <w:rPr>
                <w:rFonts w:ascii="Calibri" w:eastAsia="Times New Roman" w:hAnsi="Calibri" w:cs="Calibri"/>
                <w:b/>
                <w:bCs/>
                <w:color w:val="000000"/>
                <w:lang w:val="en-GB" w:eastAsia="en-GB"/>
              </w:rPr>
            </w:pPr>
          </w:p>
        </w:tc>
        <w:tc>
          <w:tcPr>
            <w:tcW w:w="640" w:type="dxa"/>
            <w:vMerge/>
            <w:tcBorders>
              <w:top w:val="single" w:sz="4" w:space="0" w:color="auto"/>
              <w:left w:val="single" w:sz="4" w:space="0" w:color="auto"/>
              <w:bottom w:val="single" w:sz="8" w:space="0" w:color="000000"/>
              <w:right w:val="single" w:sz="4" w:space="0" w:color="auto"/>
            </w:tcBorders>
            <w:vAlign w:val="center"/>
            <w:hideMark/>
          </w:tcPr>
          <w:p w14:paraId="79B41886" w14:textId="77777777" w:rsidR="00B306CF" w:rsidRPr="00B306CF" w:rsidRDefault="00B306CF" w:rsidP="00B306CF">
            <w:pPr>
              <w:spacing w:after="0" w:line="240" w:lineRule="auto"/>
              <w:rPr>
                <w:rFonts w:ascii="Calibri" w:eastAsia="Times New Roman" w:hAnsi="Calibri" w:cs="Calibri"/>
                <w:b/>
                <w:bCs/>
                <w:color w:val="000000"/>
                <w:lang w:val="en-GB" w:eastAsia="en-GB"/>
              </w:rPr>
            </w:pPr>
          </w:p>
        </w:tc>
        <w:tc>
          <w:tcPr>
            <w:tcW w:w="880" w:type="dxa"/>
            <w:vMerge/>
            <w:tcBorders>
              <w:top w:val="single" w:sz="4" w:space="0" w:color="auto"/>
              <w:left w:val="single" w:sz="4" w:space="0" w:color="auto"/>
              <w:bottom w:val="single" w:sz="8" w:space="0" w:color="000000"/>
              <w:right w:val="single" w:sz="4" w:space="0" w:color="auto"/>
            </w:tcBorders>
            <w:vAlign w:val="center"/>
            <w:hideMark/>
          </w:tcPr>
          <w:p w14:paraId="0D1DBFC6" w14:textId="77777777" w:rsidR="00B306CF" w:rsidRPr="00B306CF" w:rsidRDefault="00B306CF" w:rsidP="00B306CF">
            <w:pPr>
              <w:spacing w:after="0" w:line="240" w:lineRule="auto"/>
              <w:rPr>
                <w:rFonts w:ascii="Calibri" w:eastAsia="Times New Roman" w:hAnsi="Calibri" w:cs="Calibri"/>
                <w:b/>
                <w:bCs/>
                <w:color w:val="000000"/>
                <w:lang w:val="en-GB" w:eastAsia="en-GB"/>
              </w:rPr>
            </w:pPr>
          </w:p>
        </w:tc>
        <w:tc>
          <w:tcPr>
            <w:tcW w:w="750" w:type="dxa"/>
            <w:tcBorders>
              <w:top w:val="nil"/>
              <w:left w:val="nil"/>
              <w:bottom w:val="single" w:sz="8" w:space="0" w:color="auto"/>
              <w:right w:val="nil"/>
            </w:tcBorders>
            <w:shd w:val="clear" w:color="000000" w:fill="FFFFFF"/>
            <w:noWrap/>
            <w:vAlign w:val="bottom"/>
            <w:hideMark/>
          </w:tcPr>
          <w:p w14:paraId="4952C268" w14:textId="77777777" w:rsidR="00B306CF" w:rsidRPr="00B306CF" w:rsidRDefault="00B306CF" w:rsidP="00B306CF">
            <w:pPr>
              <w:spacing w:after="0" w:line="240" w:lineRule="auto"/>
              <w:jc w:val="right"/>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IS</w:t>
            </w:r>
          </w:p>
        </w:tc>
        <w:tc>
          <w:tcPr>
            <w:tcW w:w="750" w:type="dxa"/>
            <w:tcBorders>
              <w:top w:val="nil"/>
              <w:left w:val="nil"/>
              <w:bottom w:val="single" w:sz="8" w:space="0" w:color="auto"/>
              <w:right w:val="single" w:sz="4" w:space="0" w:color="auto"/>
            </w:tcBorders>
            <w:shd w:val="clear" w:color="000000" w:fill="FFFFFF"/>
            <w:noWrap/>
            <w:vAlign w:val="bottom"/>
            <w:hideMark/>
          </w:tcPr>
          <w:p w14:paraId="06F8E175" w14:textId="77777777" w:rsidR="00B306CF" w:rsidRPr="00B306CF" w:rsidRDefault="00B306CF" w:rsidP="00B306CF">
            <w:pPr>
              <w:spacing w:after="0" w:line="240" w:lineRule="auto"/>
              <w:jc w:val="right"/>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AIF</w:t>
            </w:r>
          </w:p>
        </w:tc>
        <w:tc>
          <w:tcPr>
            <w:tcW w:w="626" w:type="dxa"/>
            <w:tcBorders>
              <w:top w:val="nil"/>
              <w:left w:val="nil"/>
              <w:bottom w:val="single" w:sz="8" w:space="0" w:color="auto"/>
              <w:right w:val="nil"/>
            </w:tcBorders>
            <w:shd w:val="clear" w:color="000000" w:fill="FFFFFF"/>
            <w:noWrap/>
            <w:vAlign w:val="bottom"/>
            <w:hideMark/>
          </w:tcPr>
          <w:p w14:paraId="14EDF888" w14:textId="77777777" w:rsidR="00B306CF" w:rsidRPr="00B306CF" w:rsidRDefault="00B306CF" w:rsidP="00B306CF">
            <w:pPr>
              <w:spacing w:after="0" w:line="240" w:lineRule="auto"/>
              <w:jc w:val="right"/>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Form.</w:t>
            </w:r>
          </w:p>
        </w:tc>
        <w:tc>
          <w:tcPr>
            <w:tcW w:w="650" w:type="dxa"/>
            <w:tcBorders>
              <w:top w:val="nil"/>
              <w:left w:val="nil"/>
              <w:bottom w:val="single" w:sz="8" w:space="0" w:color="auto"/>
              <w:right w:val="nil"/>
            </w:tcBorders>
            <w:shd w:val="clear" w:color="000000" w:fill="FFFFFF"/>
            <w:noWrap/>
            <w:vAlign w:val="bottom"/>
            <w:hideMark/>
          </w:tcPr>
          <w:p w14:paraId="086447A3" w14:textId="77777777" w:rsidR="00B306CF" w:rsidRPr="00B306CF" w:rsidRDefault="00B306CF" w:rsidP="00B306CF">
            <w:pPr>
              <w:spacing w:after="0" w:line="240" w:lineRule="auto"/>
              <w:jc w:val="right"/>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Estab.</w:t>
            </w:r>
          </w:p>
        </w:tc>
        <w:tc>
          <w:tcPr>
            <w:tcW w:w="1244" w:type="dxa"/>
            <w:tcBorders>
              <w:top w:val="nil"/>
              <w:left w:val="nil"/>
              <w:bottom w:val="single" w:sz="8" w:space="0" w:color="auto"/>
              <w:right w:val="single" w:sz="4" w:space="0" w:color="auto"/>
            </w:tcBorders>
            <w:shd w:val="clear" w:color="000000" w:fill="FFFFFF"/>
            <w:noWrap/>
            <w:vAlign w:val="bottom"/>
            <w:hideMark/>
          </w:tcPr>
          <w:p w14:paraId="0A1CDD9C" w14:textId="77777777" w:rsidR="00B306CF" w:rsidRPr="00B306CF" w:rsidRDefault="00B306CF" w:rsidP="00B306CF">
            <w:pPr>
              <w:spacing w:after="0" w:line="240" w:lineRule="auto"/>
              <w:jc w:val="right"/>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Growth inh.</w:t>
            </w:r>
          </w:p>
        </w:tc>
        <w:tc>
          <w:tcPr>
            <w:tcW w:w="541" w:type="dxa"/>
            <w:tcBorders>
              <w:top w:val="nil"/>
              <w:left w:val="nil"/>
              <w:bottom w:val="single" w:sz="8" w:space="0" w:color="auto"/>
              <w:right w:val="nil"/>
            </w:tcBorders>
            <w:shd w:val="clear" w:color="000000" w:fill="FFFFFF"/>
            <w:noWrap/>
            <w:vAlign w:val="bottom"/>
            <w:hideMark/>
          </w:tcPr>
          <w:p w14:paraId="106E4F4A" w14:textId="77777777" w:rsidR="00B306CF" w:rsidRPr="00B306CF" w:rsidRDefault="00B306CF" w:rsidP="00B306CF">
            <w:pPr>
              <w:spacing w:after="0" w:line="240" w:lineRule="auto"/>
              <w:jc w:val="right"/>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EF</w:t>
            </w:r>
          </w:p>
        </w:tc>
        <w:tc>
          <w:tcPr>
            <w:tcW w:w="327" w:type="dxa"/>
            <w:tcBorders>
              <w:top w:val="nil"/>
              <w:left w:val="nil"/>
              <w:bottom w:val="single" w:sz="8" w:space="0" w:color="auto"/>
              <w:right w:val="nil"/>
            </w:tcBorders>
            <w:shd w:val="clear" w:color="000000" w:fill="FFFFFF"/>
            <w:noWrap/>
            <w:vAlign w:val="bottom"/>
            <w:hideMark/>
          </w:tcPr>
          <w:p w14:paraId="72E48466" w14:textId="77777777" w:rsidR="00B306CF" w:rsidRPr="00B306CF" w:rsidRDefault="00B306CF" w:rsidP="00B306CF">
            <w:pPr>
              <w:spacing w:after="0" w:line="240" w:lineRule="auto"/>
              <w:jc w:val="right"/>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EC</w:t>
            </w:r>
          </w:p>
        </w:tc>
        <w:tc>
          <w:tcPr>
            <w:tcW w:w="361" w:type="dxa"/>
            <w:tcBorders>
              <w:top w:val="nil"/>
              <w:left w:val="nil"/>
              <w:bottom w:val="single" w:sz="8" w:space="0" w:color="auto"/>
              <w:right w:val="nil"/>
            </w:tcBorders>
            <w:shd w:val="clear" w:color="000000" w:fill="FFFFFF"/>
            <w:noWrap/>
            <w:vAlign w:val="bottom"/>
            <w:hideMark/>
          </w:tcPr>
          <w:p w14:paraId="43B837F0" w14:textId="77777777" w:rsidR="00B306CF" w:rsidRPr="00B306CF" w:rsidRDefault="00B306CF" w:rsidP="00B306CF">
            <w:pPr>
              <w:spacing w:after="0" w:line="240" w:lineRule="auto"/>
              <w:jc w:val="right"/>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PA</w:t>
            </w:r>
          </w:p>
        </w:tc>
        <w:tc>
          <w:tcPr>
            <w:tcW w:w="345" w:type="dxa"/>
            <w:tcBorders>
              <w:top w:val="nil"/>
              <w:left w:val="nil"/>
              <w:bottom w:val="single" w:sz="8" w:space="0" w:color="auto"/>
              <w:right w:val="nil"/>
            </w:tcBorders>
            <w:shd w:val="clear" w:color="000000" w:fill="FFFFFF"/>
            <w:noWrap/>
            <w:vAlign w:val="bottom"/>
            <w:hideMark/>
          </w:tcPr>
          <w:p w14:paraId="0D46C7D5" w14:textId="77777777" w:rsidR="00B306CF" w:rsidRPr="00B306CF" w:rsidRDefault="00B306CF" w:rsidP="00B306CF">
            <w:pPr>
              <w:spacing w:after="0" w:line="240" w:lineRule="auto"/>
              <w:jc w:val="right"/>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SA</w:t>
            </w:r>
          </w:p>
        </w:tc>
        <w:tc>
          <w:tcPr>
            <w:tcW w:w="606" w:type="dxa"/>
            <w:tcBorders>
              <w:top w:val="nil"/>
              <w:left w:val="nil"/>
              <w:bottom w:val="single" w:sz="8" w:space="0" w:color="auto"/>
              <w:right w:val="single" w:sz="4" w:space="0" w:color="auto"/>
            </w:tcBorders>
            <w:shd w:val="clear" w:color="000000" w:fill="FFFFFF"/>
            <w:noWrap/>
            <w:vAlign w:val="bottom"/>
            <w:hideMark/>
          </w:tcPr>
          <w:p w14:paraId="6F6D0174" w14:textId="77777777" w:rsidR="00B306CF" w:rsidRPr="00B306CF" w:rsidRDefault="00B306CF" w:rsidP="00B306CF">
            <w:pPr>
              <w:spacing w:after="0" w:line="240" w:lineRule="auto"/>
              <w:jc w:val="right"/>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Str.B</w:t>
            </w:r>
          </w:p>
        </w:tc>
      </w:tr>
      <w:tr w:rsidR="00B306CF" w:rsidRPr="00B306CF" w14:paraId="1C306B80" w14:textId="77777777" w:rsidTr="002652BF">
        <w:trPr>
          <w:trHeight w:val="300"/>
        </w:trPr>
        <w:tc>
          <w:tcPr>
            <w:tcW w:w="960" w:type="dxa"/>
            <w:tcBorders>
              <w:top w:val="nil"/>
              <w:left w:val="single" w:sz="4" w:space="0" w:color="auto"/>
              <w:bottom w:val="nil"/>
              <w:right w:val="single" w:sz="4" w:space="0" w:color="auto"/>
            </w:tcBorders>
            <w:shd w:val="clear" w:color="000000" w:fill="EDEDED"/>
            <w:noWrap/>
            <w:vAlign w:val="bottom"/>
            <w:hideMark/>
          </w:tcPr>
          <w:p w14:paraId="2D082475"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Liquid</w:t>
            </w:r>
          </w:p>
        </w:tc>
        <w:tc>
          <w:tcPr>
            <w:tcW w:w="900" w:type="dxa"/>
            <w:tcBorders>
              <w:top w:val="nil"/>
              <w:left w:val="nil"/>
              <w:bottom w:val="nil"/>
              <w:right w:val="nil"/>
            </w:tcBorders>
            <w:shd w:val="clear" w:color="000000" w:fill="EDEDED"/>
            <w:noWrap/>
            <w:vAlign w:val="bottom"/>
            <w:hideMark/>
          </w:tcPr>
          <w:p w14:paraId="2C6B749F" w14:textId="77777777" w:rsidR="00B306CF" w:rsidRPr="00B306CF" w:rsidRDefault="00B306CF" w:rsidP="00B306CF">
            <w:pPr>
              <w:spacing w:after="0" w:line="240" w:lineRule="auto"/>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YES</w:t>
            </w:r>
          </w:p>
        </w:tc>
        <w:tc>
          <w:tcPr>
            <w:tcW w:w="640" w:type="dxa"/>
            <w:tcBorders>
              <w:top w:val="nil"/>
              <w:left w:val="nil"/>
              <w:bottom w:val="nil"/>
              <w:right w:val="single" w:sz="4" w:space="0" w:color="auto"/>
            </w:tcBorders>
            <w:shd w:val="clear" w:color="000000" w:fill="EDEDED"/>
            <w:noWrap/>
            <w:vAlign w:val="bottom"/>
            <w:hideMark/>
          </w:tcPr>
          <w:p w14:paraId="3165C29E"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5</w:t>
            </w:r>
          </w:p>
        </w:tc>
        <w:tc>
          <w:tcPr>
            <w:tcW w:w="640" w:type="dxa"/>
            <w:tcBorders>
              <w:top w:val="nil"/>
              <w:left w:val="nil"/>
              <w:bottom w:val="nil"/>
              <w:right w:val="single" w:sz="4" w:space="0" w:color="auto"/>
            </w:tcBorders>
            <w:shd w:val="clear" w:color="000000" w:fill="EDEDED"/>
            <w:noWrap/>
            <w:vAlign w:val="bottom"/>
            <w:hideMark/>
          </w:tcPr>
          <w:p w14:paraId="27E7EC7C"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SPE</w:t>
            </w:r>
          </w:p>
        </w:tc>
        <w:tc>
          <w:tcPr>
            <w:tcW w:w="880" w:type="dxa"/>
            <w:tcBorders>
              <w:top w:val="nil"/>
              <w:left w:val="nil"/>
              <w:bottom w:val="nil"/>
              <w:right w:val="single" w:sz="4" w:space="0" w:color="auto"/>
            </w:tcBorders>
            <w:shd w:val="clear" w:color="000000" w:fill="EDEDED"/>
            <w:noWrap/>
            <w:vAlign w:val="bottom"/>
            <w:hideMark/>
          </w:tcPr>
          <w:p w14:paraId="076816A9"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nil"/>
            </w:tcBorders>
            <w:shd w:val="clear" w:color="000000" w:fill="EDEDED"/>
            <w:noWrap/>
            <w:vAlign w:val="bottom"/>
            <w:hideMark/>
          </w:tcPr>
          <w:p w14:paraId="3F39FB0E"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single" w:sz="4" w:space="0" w:color="auto"/>
            </w:tcBorders>
            <w:shd w:val="clear" w:color="000000" w:fill="EDEDED"/>
            <w:noWrap/>
            <w:vAlign w:val="bottom"/>
            <w:hideMark/>
          </w:tcPr>
          <w:p w14:paraId="2E6121A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26" w:type="dxa"/>
            <w:tcBorders>
              <w:top w:val="nil"/>
              <w:left w:val="nil"/>
              <w:bottom w:val="nil"/>
              <w:right w:val="nil"/>
            </w:tcBorders>
            <w:shd w:val="clear" w:color="000000" w:fill="EDEDED"/>
            <w:noWrap/>
            <w:vAlign w:val="bottom"/>
            <w:hideMark/>
          </w:tcPr>
          <w:p w14:paraId="5F53D349"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50" w:type="dxa"/>
            <w:tcBorders>
              <w:top w:val="nil"/>
              <w:left w:val="nil"/>
              <w:bottom w:val="nil"/>
              <w:right w:val="nil"/>
            </w:tcBorders>
            <w:shd w:val="clear" w:color="000000" w:fill="EDEDED"/>
            <w:noWrap/>
            <w:vAlign w:val="bottom"/>
            <w:hideMark/>
          </w:tcPr>
          <w:p w14:paraId="2DDD8165"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1244" w:type="dxa"/>
            <w:tcBorders>
              <w:top w:val="nil"/>
              <w:left w:val="nil"/>
              <w:bottom w:val="nil"/>
              <w:right w:val="single" w:sz="4" w:space="0" w:color="auto"/>
            </w:tcBorders>
            <w:shd w:val="clear" w:color="000000" w:fill="EDEDED"/>
            <w:noWrap/>
            <w:vAlign w:val="bottom"/>
            <w:hideMark/>
          </w:tcPr>
          <w:p w14:paraId="25B9CC6B"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541" w:type="dxa"/>
            <w:tcBorders>
              <w:top w:val="nil"/>
              <w:left w:val="nil"/>
              <w:bottom w:val="nil"/>
              <w:right w:val="nil"/>
            </w:tcBorders>
            <w:shd w:val="clear" w:color="000000" w:fill="EDEDED"/>
            <w:noWrap/>
            <w:vAlign w:val="bottom"/>
            <w:hideMark/>
          </w:tcPr>
          <w:p w14:paraId="63E3FEB5"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27" w:type="dxa"/>
            <w:tcBorders>
              <w:top w:val="nil"/>
              <w:left w:val="nil"/>
              <w:bottom w:val="nil"/>
              <w:right w:val="nil"/>
            </w:tcBorders>
            <w:shd w:val="clear" w:color="000000" w:fill="EDEDED"/>
            <w:noWrap/>
            <w:vAlign w:val="bottom"/>
            <w:hideMark/>
          </w:tcPr>
          <w:p w14:paraId="3CAF5DCA"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61" w:type="dxa"/>
            <w:tcBorders>
              <w:top w:val="nil"/>
              <w:left w:val="nil"/>
              <w:bottom w:val="nil"/>
              <w:right w:val="nil"/>
            </w:tcBorders>
            <w:shd w:val="clear" w:color="000000" w:fill="EDEDED"/>
            <w:noWrap/>
            <w:vAlign w:val="bottom"/>
            <w:hideMark/>
          </w:tcPr>
          <w:p w14:paraId="2EADE7C6"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45" w:type="dxa"/>
            <w:tcBorders>
              <w:top w:val="nil"/>
              <w:left w:val="nil"/>
              <w:bottom w:val="nil"/>
              <w:right w:val="nil"/>
            </w:tcBorders>
            <w:shd w:val="clear" w:color="000000" w:fill="EDEDED"/>
            <w:noWrap/>
            <w:vAlign w:val="bottom"/>
            <w:hideMark/>
          </w:tcPr>
          <w:p w14:paraId="60A16527"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06" w:type="dxa"/>
            <w:tcBorders>
              <w:top w:val="nil"/>
              <w:left w:val="nil"/>
              <w:bottom w:val="nil"/>
              <w:right w:val="single" w:sz="4" w:space="0" w:color="auto"/>
            </w:tcBorders>
            <w:shd w:val="clear" w:color="000000" w:fill="EDEDED"/>
            <w:noWrap/>
            <w:vAlign w:val="bottom"/>
            <w:hideMark/>
          </w:tcPr>
          <w:p w14:paraId="2AB27B49"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r>
      <w:tr w:rsidR="00B306CF" w:rsidRPr="00B306CF" w14:paraId="3C63E891" w14:textId="77777777" w:rsidTr="002652BF">
        <w:trPr>
          <w:trHeight w:val="300"/>
        </w:trPr>
        <w:tc>
          <w:tcPr>
            <w:tcW w:w="960" w:type="dxa"/>
            <w:tcBorders>
              <w:top w:val="nil"/>
              <w:left w:val="single" w:sz="4" w:space="0" w:color="auto"/>
              <w:bottom w:val="nil"/>
              <w:right w:val="single" w:sz="4" w:space="0" w:color="auto"/>
            </w:tcBorders>
            <w:shd w:val="clear" w:color="000000" w:fill="FFFFFF"/>
            <w:noWrap/>
            <w:vAlign w:val="bottom"/>
            <w:hideMark/>
          </w:tcPr>
          <w:p w14:paraId="0898C806"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Liquid</w:t>
            </w:r>
          </w:p>
        </w:tc>
        <w:tc>
          <w:tcPr>
            <w:tcW w:w="900" w:type="dxa"/>
            <w:tcBorders>
              <w:top w:val="nil"/>
              <w:left w:val="nil"/>
              <w:bottom w:val="nil"/>
              <w:right w:val="nil"/>
            </w:tcBorders>
            <w:shd w:val="clear" w:color="000000" w:fill="FFFFFF"/>
            <w:noWrap/>
            <w:vAlign w:val="bottom"/>
            <w:hideMark/>
          </w:tcPr>
          <w:p w14:paraId="683E3C55" w14:textId="77777777" w:rsidR="00B306CF" w:rsidRPr="00B306CF" w:rsidRDefault="00B306CF" w:rsidP="00B306CF">
            <w:pPr>
              <w:spacing w:after="0" w:line="240" w:lineRule="auto"/>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MPM</w:t>
            </w:r>
          </w:p>
        </w:tc>
        <w:tc>
          <w:tcPr>
            <w:tcW w:w="640" w:type="dxa"/>
            <w:tcBorders>
              <w:top w:val="nil"/>
              <w:left w:val="nil"/>
              <w:bottom w:val="nil"/>
              <w:right w:val="single" w:sz="4" w:space="0" w:color="auto"/>
            </w:tcBorders>
            <w:shd w:val="clear" w:color="000000" w:fill="FFFFFF"/>
            <w:noWrap/>
            <w:vAlign w:val="bottom"/>
            <w:hideMark/>
          </w:tcPr>
          <w:p w14:paraId="369D84E3"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5</w:t>
            </w:r>
          </w:p>
        </w:tc>
        <w:tc>
          <w:tcPr>
            <w:tcW w:w="640" w:type="dxa"/>
            <w:tcBorders>
              <w:top w:val="nil"/>
              <w:left w:val="nil"/>
              <w:bottom w:val="nil"/>
              <w:right w:val="single" w:sz="4" w:space="0" w:color="auto"/>
            </w:tcBorders>
            <w:shd w:val="clear" w:color="000000" w:fill="FFFFFF"/>
            <w:noWrap/>
            <w:vAlign w:val="bottom"/>
            <w:hideMark/>
          </w:tcPr>
          <w:p w14:paraId="53FFC38B"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SPE</w:t>
            </w:r>
          </w:p>
        </w:tc>
        <w:tc>
          <w:tcPr>
            <w:tcW w:w="880" w:type="dxa"/>
            <w:tcBorders>
              <w:top w:val="nil"/>
              <w:left w:val="nil"/>
              <w:bottom w:val="nil"/>
              <w:right w:val="single" w:sz="4" w:space="0" w:color="auto"/>
            </w:tcBorders>
            <w:shd w:val="clear" w:color="000000" w:fill="FFFFFF"/>
            <w:noWrap/>
            <w:vAlign w:val="bottom"/>
            <w:hideMark/>
          </w:tcPr>
          <w:p w14:paraId="15FD857D"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nil"/>
            </w:tcBorders>
            <w:shd w:val="clear" w:color="000000" w:fill="FFFFFF"/>
            <w:noWrap/>
            <w:vAlign w:val="bottom"/>
            <w:hideMark/>
          </w:tcPr>
          <w:p w14:paraId="39F6C5A8"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single" w:sz="4" w:space="0" w:color="auto"/>
            </w:tcBorders>
            <w:shd w:val="clear" w:color="000000" w:fill="FFFFFF"/>
            <w:noWrap/>
            <w:vAlign w:val="bottom"/>
            <w:hideMark/>
          </w:tcPr>
          <w:p w14:paraId="4B098F2E"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26" w:type="dxa"/>
            <w:tcBorders>
              <w:top w:val="nil"/>
              <w:left w:val="nil"/>
              <w:bottom w:val="nil"/>
              <w:right w:val="nil"/>
            </w:tcBorders>
            <w:shd w:val="clear" w:color="000000" w:fill="FFFFFF"/>
            <w:noWrap/>
            <w:vAlign w:val="bottom"/>
            <w:hideMark/>
          </w:tcPr>
          <w:p w14:paraId="48C6A6AF"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25</w:t>
            </w:r>
          </w:p>
        </w:tc>
        <w:tc>
          <w:tcPr>
            <w:tcW w:w="650" w:type="dxa"/>
            <w:tcBorders>
              <w:top w:val="nil"/>
              <w:left w:val="nil"/>
              <w:bottom w:val="nil"/>
              <w:right w:val="nil"/>
            </w:tcBorders>
            <w:shd w:val="clear" w:color="000000" w:fill="FFFFFF"/>
            <w:noWrap/>
            <w:vAlign w:val="bottom"/>
            <w:hideMark/>
          </w:tcPr>
          <w:p w14:paraId="07F572A7"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1244" w:type="dxa"/>
            <w:tcBorders>
              <w:top w:val="nil"/>
              <w:left w:val="nil"/>
              <w:bottom w:val="nil"/>
              <w:right w:val="single" w:sz="4" w:space="0" w:color="auto"/>
            </w:tcBorders>
            <w:shd w:val="clear" w:color="000000" w:fill="FFFFFF"/>
            <w:noWrap/>
            <w:vAlign w:val="bottom"/>
            <w:hideMark/>
          </w:tcPr>
          <w:p w14:paraId="6E3C136F"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541" w:type="dxa"/>
            <w:tcBorders>
              <w:top w:val="nil"/>
              <w:left w:val="nil"/>
              <w:bottom w:val="nil"/>
              <w:right w:val="nil"/>
            </w:tcBorders>
            <w:shd w:val="clear" w:color="000000" w:fill="FFFFFF"/>
            <w:noWrap/>
            <w:vAlign w:val="bottom"/>
            <w:hideMark/>
          </w:tcPr>
          <w:p w14:paraId="11C26DF5"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27" w:type="dxa"/>
            <w:tcBorders>
              <w:top w:val="nil"/>
              <w:left w:val="nil"/>
              <w:bottom w:val="nil"/>
              <w:right w:val="nil"/>
            </w:tcBorders>
            <w:shd w:val="clear" w:color="000000" w:fill="FFFFFF"/>
            <w:noWrap/>
            <w:vAlign w:val="bottom"/>
            <w:hideMark/>
          </w:tcPr>
          <w:p w14:paraId="6B010161"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61" w:type="dxa"/>
            <w:tcBorders>
              <w:top w:val="nil"/>
              <w:left w:val="nil"/>
              <w:bottom w:val="nil"/>
              <w:right w:val="nil"/>
            </w:tcBorders>
            <w:shd w:val="clear" w:color="000000" w:fill="FFFFFF"/>
            <w:noWrap/>
            <w:vAlign w:val="bottom"/>
            <w:hideMark/>
          </w:tcPr>
          <w:p w14:paraId="209EDAFB"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45" w:type="dxa"/>
            <w:tcBorders>
              <w:top w:val="nil"/>
              <w:left w:val="nil"/>
              <w:bottom w:val="nil"/>
              <w:right w:val="nil"/>
            </w:tcBorders>
            <w:shd w:val="clear" w:color="000000" w:fill="FFFFFF"/>
            <w:noWrap/>
            <w:vAlign w:val="bottom"/>
            <w:hideMark/>
          </w:tcPr>
          <w:p w14:paraId="094382AA"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06" w:type="dxa"/>
            <w:tcBorders>
              <w:top w:val="nil"/>
              <w:left w:val="nil"/>
              <w:bottom w:val="nil"/>
              <w:right w:val="single" w:sz="4" w:space="0" w:color="auto"/>
            </w:tcBorders>
            <w:shd w:val="clear" w:color="000000" w:fill="FFFFFF"/>
            <w:noWrap/>
            <w:vAlign w:val="bottom"/>
            <w:hideMark/>
          </w:tcPr>
          <w:p w14:paraId="7DF85F1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r>
      <w:tr w:rsidR="00B306CF" w:rsidRPr="00B306CF" w14:paraId="429A167C" w14:textId="77777777" w:rsidTr="002652BF">
        <w:trPr>
          <w:trHeight w:val="300"/>
        </w:trPr>
        <w:tc>
          <w:tcPr>
            <w:tcW w:w="960" w:type="dxa"/>
            <w:tcBorders>
              <w:top w:val="nil"/>
              <w:left w:val="single" w:sz="4" w:space="0" w:color="auto"/>
              <w:bottom w:val="nil"/>
              <w:right w:val="single" w:sz="4" w:space="0" w:color="auto"/>
            </w:tcBorders>
            <w:shd w:val="clear" w:color="000000" w:fill="EDEDED"/>
            <w:noWrap/>
            <w:vAlign w:val="bottom"/>
            <w:hideMark/>
          </w:tcPr>
          <w:p w14:paraId="5FDDD0F9"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Liquid</w:t>
            </w:r>
          </w:p>
        </w:tc>
        <w:tc>
          <w:tcPr>
            <w:tcW w:w="900" w:type="dxa"/>
            <w:tcBorders>
              <w:top w:val="nil"/>
              <w:left w:val="nil"/>
              <w:bottom w:val="nil"/>
              <w:right w:val="nil"/>
            </w:tcBorders>
            <w:shd w:val="clear" w:color="000000" w:fill="EDEDED"/>
            <w:noWrap/>
            <w:vAlign w:val="bottom"/>
            <w:hideMark/>
          </w:tcPr>
          <w:p w14:paraId="5BA6D98A" w14:textId="77777777" w:rsidR="00B306CF" w:rsidRPr="00B306CF" w:rsidRDefault="00B306CF" w:rsidP="00B306CF">
            <w:pPr>
              <w:spacing w:after="0" w:line="240" w:lineRule="auto"/>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DMB</w:t>
            </w:r>
          </w:p>
        </w:tc>
        <w:tc>
          <w:tcPr>
            <w:tcW w:w="640" w:type="dxa"/>
            <w:tcBorders>
              <w:top w:val="nil"/>
              <w:left w:val="nil"/>
              <w:bottom w:val="nil"/>
              <w:right w:val="single" w:sz="4" w:space="0" w:color="auto"/>
            </w:tcBorders>
            <w:shd w:val="clear" w:color="000000" w:fill="EDEDED"/>
            <w:noWrap/>
            <w:vAlign w:val="bottom"/>
            <w:hideMark/>
          </w:tcPr>
          <w:p w14:paraId="2AF4715B"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5</w:t>
            </w:r>
          </w:p>
        </w:tc>
        <w:tc>
          <w:tcPr>
            <w:tcW w:w="640" w:type="dxa"/>
            <w:tcBorders>
              <w:top w:val="nil"/>
              <w:left w:val="nil"/>
              <w:bottom w:val="nil"/>
              <w:right w:val="single" w:sz="4" w:space="0" w:color="auto"/>
            </w:tcBorders>
            <w:shd w:val="clear" w:color="000000" w:fill="EDEDED"/>
            <w:noWrap/>
            <w:vAlign w:val="bottom"/>
            <w:hideMark/>
          </w:tcPr>
          <w:p w14:paraId="7EAD6AF3"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SPE</w:t>
            </w:r>
          </w:p>
        </w:tc>
        <w:tc>
          <w:tcPr>
            <w:tcW w:w="880" w:type="dxa"/>
            <w:tcBorders>
              <w:top w:val="nil"/>
              <w:left w:val="nil"/>
              <w:bottom w:val="nil"/>
              <w:right w:val="single" w:sz="4" w:space="0" w:color="auto"/>
            </w:tcBorders>
            <w:shd w:val="clear" w:color="000000" w:fill="EDEDED"/>
            <w:noWrap/>
            <w:vAlign w:val="bottom"/>
            <w:hideMark/>
          </w:tcPr>
          <w:p w14:paraId="5DECE3A3"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nil"/>
            </w:tcBorders>
            <w:shd w:val="clear" w:color="000000" w:fill="EDEDED"/>
            <w:noWrap/>
            <w:vAlign w:val="bottom"/>
            <w:hideMark/>
          </w:tcPr>
          <w:p w14:paraId="63E5CBB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10</w:t>
            </w:r>
          </w:p>
        </w:tc>
        <w:tc>
          <w:tcPr>
            <w:tcW w:w="750" w:type="dxa"/>
            <w:tcBorders>
              <w:top w:val="nil"/>
              <w:left w:val="nil"/>
              <w:bottom w:val="nil"/>
              <w:right w:val="single" w:sz="4" w:space="0" w:color="auto"/>
            </w:tcBorders>
            <w:shd w:val="clear" w:color="000000" w:fill="EDEDED"/>
            <w:noWrap/>
            <w:vAlign w:val="bottom"/>
            <w:hideMark/>
          </w:tcPr>
          <w:p w14:paraId="01C41939"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26" w:type="dxa"/>
            <w:tcBorders>
              <w:top w:val="nil"/>
              <w:left w:val="nil"/>
              <w:bottom w:val="nil"/>
              <w:right w:val="nil"/>
            </w:tcBorders>
            <w:shd w:val="clear" w:color="000000" w:fill="EDEDED"/>
            <w:noWrap/>
            <w:vAlign w:val="bottom"/>
            <w:hideMark/>
          </w:tcPr>
          <w:p w14:paraId="5B0863F7"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25</w:t>
            </w:r>
          </w:p>
        </w:tc>
        <w:tc>
          <w:tcPr>
            <w:tcW w:w="650" w:type="dxa"/>
            <w:tcBorders>
              <w:top w:val="nil"/>
              <w:left w:val="nil"/>
              <w:bottom w:val="nil"/>
              <w:right w:val="nil"/>
            </w:tcBorders>
            <w:shd w:val="clear" w:color="000000" w:fill="EDEDED"/>
            <w:noWrap/>
            <w:vAlign w:val="bottom"/>
            <w:hideMark/>
          </w:tcPr>
          <w:p w14:paraId="6BEFE6C7"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1244" w:type="dxa"/>
            <w:tcBorders>
              <w:top w:val="nil"/>
              <w:left w:val="nil"/>
              <w:bottom w:val="nil"/>
              <w:right w:val="single" w:sz="4" w:space="0" w:color="auto"/>
            </w:tcBorders>
            <w:shd w:val="clear" w:color="000000" w:fill="EDEDED"/>
            <w:noWrap/>
            <w:vAlign w:val="bottom"/>
            <w:hideMark/>
          </w:tcPr>
          <w:p w14:paraId="6D754E49"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541" w:type="dxa"/>
            <w:tcBorders>
              <w:top w:val="nil"/>
              <w:left w:val="nil"/>
              <w:bottom w:val="nil"/>
              <w:right w:val="nil"/>
            </w:tcBorders>
            <w:shd w:val="clear" w:color="000000" w:fill="EDEDED"/>
            <w:noWrap/>
            <w:vAlign w:val="bottom"/>
            <w:hideMark/>
          </w:tcPr>
          <w:p w14:paraId="4849393C"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27" w:type="dxa"/>
            <w:tcBorders>
              <w:top w:val="nil"/>
              <w:left w:val="nil"/>
              <w:bottom w:val="nil"/>
              <w:right w:val="nil"/>
            </w:tcBorders>
            <w:shd w:val="clear" w:color="000000" w:fill="EDEDED"/>
            <w:noWrap/>
            <w:vAlign w:val="bottom"/>
            <w:hideMark/>
          </w:tcPr>
          <w:p w14:paraId="3C25903C"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61" w:type="dxa"/>
            <w:tcBorders>
              <w:top w:val="nil"/>
              <w:left w:val="nil"/>
              <w:bottom w:val="nil"/>
              <w:right w:val="nil"/>
            </w:tcBorders>
            <w:shd w:val="clear" w:color="000000" w:fill="EDEDED"/>
            <w:noWrap/>
            <w:vAlign w:val="bottom"/>
            <w:hideMark/>
          </w:tcPr>
          <w:p w14:paraId="081B14AF"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45" w:type="dxa"/>
            <w:tcBorders>
              <w:top w:val="nil"/>
              <w:left w:val="nil"/>
              <w:bottom w:val="nil"/>
              <w:right w:val="nil"/>
            </w:tcBorders>
            <w:shd w:val="clear" w:color="000000" w:fill="EDEDED"/>
            <w:noWrap/>
            <w:vAlign w:val="bottom"/>
            <w:hideMark/>
          </w:tcPr>
          <w:p w14:paraId="11F52A9C"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06" w:type="dxa"/>
            <w:tcBorders>
              <w:top w:val="nil"/>
              <w:left w:val="nil"/>
              <w:bottom w:val="nil"/>
              <w:right w:val="single" w:sz="4" w:space="0" w:color="auto"/>
            </w:tcBorders>
            <w:shd w:val="clear" w:color="000000" w:fill="EDEDED"/>
            <w:noWrap/>
            <w:vAlign w:val="bottom"/>
            <w:hideMark/>
          </w:tcPr>
          <w:p w14:paraId="05705C85"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r>
      <w:tr w:rsidR="00B306CF" w:rsidRPr="00B306CF" w14:paraId="7C4E6ABD" w14:textId="77777777" w:rsidTr="002652BF">
        <w:trPr>
          <w:trHeight w:val="300"/>
        </w:trPr>
        <w:tc>
          <w:tcPr>
            <w:tcW w:w="960" w:type="dxa"/>
            <w:tcBorders>
              <w:top w:val="nil"/>
              <w:left w:val="single" w:sz="4" w:space="0" w:color="auto"/>
              <w:bottom w:val="nil"/>
              <w:right w:val="single" w:sz="4" w:space="0" w:color="auto"/>
            </w:tcBorders>
            <w:shd w:val="clear" w:color="000000" w:fill="FFFFFF"/>
            <w:noWrap/>
            <w:vAlign w:val="bottom"/>
            <w:hideMark/>
          </w:tcPr>
          <w:p w14:paraId="2C5D676B"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Liquid</w:t>
            </w:r>
          </w:p>
        </w:tc>
        <w:tc>
          <w:tcPr>
            <w:tcW w:w="900" w:type="dxa"/>
            <w:tcBorders>
              <w:top w:val="nil"/>
              <w:left w:val="nil"/>
              <w:bottom w:val="nil"/>
              <w:right w:val="nil"/>
            </w:tcBorders>
            <w:shd w:val="clear" w:color="000000" w:fill="FFFFFF"/>
            <w:noWrap/>
            <w:vAlign w:val="bottom"/>
            <w:hideMark/>
          </w:tcPr>
          <w:p w14:paraId="16553B95" w14:textId="77777777" w:rsidR="00B306CF" w:rsidRPr="00B306CF" w:rsidRDefault="00B306CF" w:rsidP="00B306CF">
            <w:pPr>
              <w:spacing w:after="0" w:line="240" w:lineRule="auto"/>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SAPM</w:t>
            </w:r>
          </w:p>
        </w:tc>
        <w:tc>
          <w:tcPr>
            <w:tcW w:w="640" w:type="dxa"/>
            <w:tcBorders>
              <w:top w:val="nil"/>
              <w:left w:val="nil"/>
              <w:bottom w:val="nil"/>
              <w:right w:val="single" w:sz="4" w:space="0" w:color="auto"/>
            </w:tcBorders>
            <w:shd w:val="clear" w:color="000000" w:fill="FFFFFF"/>
            <w:noWrap/>
            <w:vAlign w:val="bottom"/>
            <w:hideMark/>
          </w:tcPr>
          <w:p w14:paraId="5EDB7016"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5</w:t>
            </w:r>
          </w:p>
        </w:tc>
        <w:tc>
          <w:tcPr>
            <w:tcW w:w="640" w:type="dxa"/>
            <w:tcBorders>
              <w:top w:val="nil"/>
              <w:left w:val="nil"/>
              <w:bottom w:val="nil"/>
              <w:right w:val="single" w:sz="4" w:space="0" w:color="auto"/>
            </w:tcBorders>
            <w:shd w:val="clear" w:color="000000" w:fill="FFFFFF"/>
            <w:noWrap/>
            <w:vAlign w:val="bottom"/>
            <w:hideMark/>
          </w:tcPr>
          <w:p w14:paraId="2367D53C"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SPE</w:t>
            </w:r>
          </w:p>
        </w:tc>
        <w:tc>
          <w:tcPr>
            <w:tcW w:w="880" w:type="dxa"/>
            <w:tcBorders>
              <w:top w:val="nil"/>
              <w:left w:val="nil"/>
              <w:bottom w:val="nil"/>
              <w:right w:val="single" w:sz="4" w:space="0" w:color="auto"/>
            </w:tcBorders>
            <w:shd w:val="clear" w:color="000000" w:fill="FFFFFF"/>
            <w:noWrap/>
            <w:vAlign w:val="bottom"/>
            <w:hideMark/>
          </w:tcPr>
          <w:p w14:paraId="616C1F15"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nil"/>
            </w:tcBorders>
            <w:shd w:val="clear" w:color="000000" w:fill="FFFFFF"/>
            <w:noWrap/>
            <w:vAlign w:val="bottom"/>
            <w:hideMark/>
          </w:tcPr>
          <w:p w14:paraId="0BF162FE"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single" w:sz="4" w:space="0" w:color="auto"/>
            </w:tcBorders>
            <w:shd w:val="clear" w:color="000000" w:fill="FFFFFF"/>
            <w:noWrap/>
            <w:vAlign w:val="bottom"/>
            <w:hideMark/>
          </w:tcPr>
          <w:p w14:paraId="466F4F23"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26" w:type="dxa"/>
            <w:tcBorders>
              <w:top w:val="nil"/>
              <w:left w:val="nil"/>
              <w:bottom w:val="nil"/>
              <w:right w:val="nil"/>
            </w:tcBorders>
            <w:shd w:val="clear" w:color="000000" w:fill="FFFFFF"/>
            <w:noWrap/>
            <w:vAlign w:val="bottom"/>
            <w:hideMark/>
          </w:tcPr>
          <w:p w14:paraId="373BD9A4"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25</w:t>
            </w:r>
          </w:p>
        </w:tc>
        <w:tc>
          <w:tcPr>
            <w:tcW w:w="650" w:type="dxa"/>
            <w:tcBorders>
              <w:top w:val="nil"/>
              <w:left w:val="nil"/>
              <w:bottom w:val="nil"/>
              <w:right w:val="nil"/>
            </w:tcBorders>
            <w:shd w:val="clear" w:color="000000" w:fill="FFFFFF"/>
            <w:noWrap/>
            <w:vAlign w:val="bottom"/>
            <w:hideMark/>
          </w:tcPr>
          <w:p w14:paraId="0E193FF3"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1244" w:type="dxa"/>
            <w:tcBorders>
              <w:top w:val="nil"/>
              <w:left w:val="nil"/>
              <w:bottom w:val="nil"/>
              <w:right w:val="single" w:sz="4" w:space="0" w:color="auto"/>
            </w:tcBorders>
            <w:shd w:val="clear" w:color="000000" w:fill="FFFFFF"/>
            <w:noWrap/>
            <w:vAlign w:val="bottom"/>
            <w:hideMark/>
          </w:tcPr>
          <w:p w14:paraId="79B6F8CF"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541" w:type="dxa"/>
            <w:tcBorders>
              <w:top w:val="nil"/>
              <w:left w:val="nil"/>
              <w:bottom w:val="nil"/>
              <w:right w:val="nil"/>
            </w:tcBorders>
            <w:shd w:val="clear" w:color="000000" w:fill="FFFFFF"/>
            <w:noWrap/>
            <w:vAlign w:val="bottom"/>
            <w:hideMark/>
          </w:tcPr>
          <w:p w14:paraId="7B740B7E"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27" w:type="dxa"/>
            <w:tcBorders>
              <w:top w:val="nil"/>
              <w:left w:val="nil"/>
              <w:bottom w:val="nil"/>
              <w:right w:val="nil"/>
            </w:tcBorders>
            <w:shd w:val="clear" w:color="000000" w:fill="FFFFFF"/>
            <w:noWrap/>
            <w:vAlign w:val="bottom"/>
            <w:hideMark/>
          </w:tcPr>
          <w:p w14:paraId="2DE9C90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61" w:type="dxa"/>
            <w:tcBorders>
              <w:top w:val="nil"/>
              <w:left w:val="nil"/>
              <w:bottom w:val="nil"/>
              <w:right w:val="nil"/>
            </w:tcBorders>
            <w:shd w:val="clear" w:color="000000" w:fill="FFFFFF"/>
            <w:noWrap/>
            <w:vAlign w:val="bottom"/>
            <w:hideMark/>
          </w:tcPr>
          <w:p w14:paraId="7CD0D1F3"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45" w:type="dxa"/>
            <w:tcBorders>
              <w:top w:val="nil"/>
              <w:left w:val="nil"/>
              <w:bottom w:val="nil"/>
              <w:right w:val="nil"/>
            </w:tcBorders>
            <w:shd w:val="clear" w:color="000000" w:fill="FFFFFF"/>
            <w:noWrap/>
            <w:vAlign w:val="bottom"/>
            <w:hideMark/>
          </w:tcPr>
          <w:p w14:paraId="72134605"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06" w:type="dxa"/>
            <w:tcBorders>
              <w:top w:val="nil"/>
              <w:left w:val="nil"/>
              <w:bottom w:val="nil"/>
              <w:right w:val="single" w:sz="4" w:space="0" w:color="auto"/>
            </w:tcBorders>
            <w:shd w:val="clear" w:color="000000" w:fill="FFFFFF"/>
            <w:noWrap/>
            <w:vAlign w:val="bottom"/>
            <w:hideMark/>
          </w:tcPr>
          <w:p w14:paraId="687219A3"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r>
      <w:tr w:rsidR="00B306CF" w:rsidRPr="00B306CF" w14:paraId="0F24C7D8" w14:textId="77777777" w:rsidTr="002652BF">
        <w:trPr>
          <w:trHeight w:val="300"/>
        </w:trPr>
        <w:tc>
          <w:tcPr>
            <w:tcW w:w="960" w:type="dxa"/>
            <w:tcBorders>
              <w:top w:val="nil"/>
              <w:left w:val="single" w:sz="4" w:space="0" w:color="auto"/>
              <w:bottom w:val="nil"/>
              <w:right w:val="single" w:sz="4" w:space="0" w:color="auto"/>
            </w:tcBorders>
            <w:shd w:val="clear" w:color="000000" w:fill="EDEDED"/>
            <w:noWrap/>
            <w:vAlign w:val="bottom"/>
            <w:hideMark/>
          </w:tcPr>
          <w:p w14:paraId="6761BD68"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Liquid</w:t>
            </w:r>
          </w:p>
        </w:tc>
        <w:tc>
          <w:tcPr>
            <w:tcW w:w="900" w:type="dxa"/>
            <w:tcBorders>
              <w:top w:val="nil"/>
              <w:left w:val="nil"/>
              <w:bottom w:val="nil"/>
              <w:right w:val="nil"/>
            </w:tcBorders>
            <w:shd w:val="clear" w:color="000000" w:fill="EDEDED"/>
            <w:noWrap/>
            <w:vAlign w:val="bottom"/>
            <w:hideMark/>
          </w:tcPr>
          <w:p w14:paraId="2BAC3C96" w14:textId="77777777" w:rsidR="00B306CF" w:rsidRPr="00B306CF" w:rsidRDefault="00B306CF" w:rsidP="00B306CF">
            <w:pPr>
              <w:spacing w:after="0" w:line="240" w:lineRule="auto"/>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SDPM</w:t>
            </w:r>
          </w:p>
        </w:tc>
        <w:tc>
          <w:tcPr>
            <w:tcW w:w="640" w:type="dxa"/>
            <w:tcBorders>
              <w:top w:val="nil"/>
              <w:left w:val="nil"/>
              <w:bottom w:val="nil"/>
              <w:right w:val="single" w:sz="4" w:space="0" w:color="auto"/>
            </w:tcBorders>
            <w:shd w:val="clear" w:color="000000" w:fill="EDEDED"/>
            <w:noWrap/>
            <w:vAlign w:val="bottom"/>
            <w:hideMark/>
          </w:tcPr>
          <w:p w14:paraId="099D1F5C"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5</w:t>
            </w:r>
          </w:p>
        </w:tc>
        <w:tc>
          <w:tcPr>
            <w:tcW w:w="640" w:type="dxa"/>
            <w:tcBorders>
              <w:top w:val="nil"/>
              <w:left w:val="nil"/>
              <w:bottom w:val="nil"/>
              <w:right w:val="single" w:sz="4" w:space="0" w:color="auto"/>
            </w:tcBorders>
            <w:shd w:val="clear" w:color="000000" w:fill="EDEDED"/>
            <w:noWrap/>
            <w:vAlign w:val="bottom"/>
            <w:hideMark/>
          </w:tcPr>
          <w:p w14:paraId="6BC8D03B"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SPE</w:t>
            </w:r>
          </w:p>
        </w:tc>
        <w:tc>
          <w:tcPr>
            <w:tcW w:w="880" w:type="dxa"/>
            <w:tcBorders>
              <w:top w:val="nil"/>
              <w:left w:val="nil"/>
              <w:bottom w:val="nil"/>
              <w:right w:val="single" w:sz="4" w:space="0" w:color="auto"/>
            </w:tcBorders>
            <w:shd w:val="clear" w:color="000000" w:fill="EDEDED"/>
            <w:noWrap/>
            <w:vAlign w:val="bottom"/>
            <w:hideMark/>
          </w:tcPr>
          <w:p w14:paraId="11E95009"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nil"/>
            </w:tcBorders>
            <w:shd w:val="clear" w:color="000000" w:fill="EDEDED"/>
            <w:noWrap/>
            <w:vAlign w:val="bottom"/>
            <w:hideMark/>
          </w:tcPr>
          <w:p w14:paraId="3EB032A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single" w:sz="4" w:space="0" w:color="auto"/>
            </w:tcBorders>
            <w:shd w:val="clear" w:color="000000" w:fill="EDEDED"/>
            <w:noWrap/>
            <w:vAlign w:val="bottom"/>
            <w:hideMark/>
          </w:tcPr>
          <w:p w14:paraId="0892F74D"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26" w:type="dxa"/>
            <w:tcBorders>
              <w:top w:val="nil"/>
              <w:left w:val="nil"/>
              <w:bottom w:val="nil"/>
              <w:right w:val="nil"/>
            </w:tcBorders>
            <w:shd w:val="clear" w:color="000000" w:fill="EDEDED"/>
            <w:noWrap/>
            <w:vAlign w:val="bottom"/>
            <w:hideMark/>
          </w:tcPr>
          <w:p w14:paraId="0925E9EA"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50" w:type="dxa"/>
            <w:tcBorders>
              <w:top w:val="nil"/>
              <w:left w:val="nil"/>
              <w:bottom w:val="nil"/>
              <w:right w:val="nil"/>
            </w:tcBorders>
            <w:shd w:val="clear" w:color="000000" w:fill="EDEDED"/>
            <w:noWrap/>
            <w:vAlign w:val="bottom"/>
            <w:hideMark/>
          </w:tcPr>
          <w:p w14:paraId="0E8B7E8B"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1244" w:type="dxa"/>
            <w:tcBorders>
              <w:top w:val="nil"/>
              <w:left w:val="nil"/>
              <w:bottom w:val="nil"/>
              <w:right w:val="single" w:sz="4" w:space="0" w:color="auto"/>
            </w:tcBorders>
            <w:shd w:val="clear" w:color="000000" w:fill="EDEDED"/>
            <w:noWrap/>
            <w:vAlign w:val="bottom"/>
            <w:hideMark/>
          </w:tcPr>
          <w:p w14:paraId="18824762"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541" w:type="dxa"/>
            <w:tcBorders>
              <w:top w:val="nil"/>
              <w:left w:val="nil"/>
              <w:bottom w:val="nil"/>
              <w:right w:val="nil"/>
            </w:tcBorders>
            <w:shd w:val="clear" w:color="000000" w:fill="EDEDED"/>
            <w:noWrap/>
            <w:vAlign w:val="bottom"/>
            <w:hideMark/>
          </w:tcPr>
          <w:p w14:paraId="58F92682"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27" w:type="dxa"/>
            <w:tcBorders>
              <w:top w:val="nil"/>
              <w:left w:val="nil"/>
              <w:bottom w:val="nil"/>
              <w:right w:val="nil"/>
            </w:tcBorders>
            <w:shd w:val="clear" w:color="000000" w:fill="EDEDED"/>
            <w:noWrap/>
            <w:vAlign w:val="bottom"/>
            <w:hideMark/>
          </w:tcPr>
          <w:p w14:paraId="694733FF"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61" w:type="dxa"/>
            <w:tcBorders>
              <w:top w:val="nil"/>
              <w:left w:val="nil"/>
              <w:bottom w:val="nil"/>
              <w:right w:val="nil"/>
            </w:tcBorders>
            <w:shd w:val="clear" w:color="000000" w:fill="EDEDED"/>
            <w:noWrap/>
            <w:vAlign w:val="bottom"/>
            <w:hideMark/>
          </w:tcPr>
          <w:p w14:paraId="6BA2B79E"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45" w:type="dxa"/>
            <w:tcBorders>
              <w:top w:val="nil"/>
              <w:left w:val="nil"/>
              <w:bottom w:val="nil"/>
              <w:right w:val="nil"/>
            </w:tcBorders>
            <w:shd w:val="clear" w:color="000000" w:fill="EDEDED"/>
            <w:noWrap/>
            <w:vAlign w:val="bottom"/>
            <w:hideMark/>
          </w:tcPr>
          <w:p w14:paraId="5C6B1D83"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06" w:type="dxa"/>
            <w:tcBorders>
              <w:top w:val="nil"/>
              <w:left w:val="nil"/>
              <w:bottom w:val="nil"/>
              <w:right w:val="single" w:sz="4" w:space="0" w:color="auto"/>
            </w:tcBorders>
            <w:shd w:val="clear" w:color="000000" w:fill="EDEDED"/>
            <w:noWrap/>
            <w:vAlign w:val="bottom"/>
            <w:hideMark/>
          </w:tcPr>
          <w:p w14:paraId="145800D6"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r>
      <w:tr w:rsidR="00B306CF" w:rsidRPr="00B306CF" w14:paraId="498A0A19" w14:textId="77777777" w:rsidTr="002652BF">
        <w:trPr>
          <w:trHeight w:val="300"/>
        </w:trPr>
        <w:tc>
          <w:tcPr>
            <w:tcW w:w="960" w:type="dxa"/>
            <w:tcBorders>
              <w:top w:val="nil"/>
              <w:left w:val="single" w:sz="4" w:space="0" w:color="auto"/>
              <w:bottom w:val="nil"/>
              <w:right w:val="single" w:sz="4" w:space="0" w:color="auto"/>
            </w:tcBorders>
            <w:shd w:val="clear" w:color="000000" w:fill="FFFFFF"/>
            <w:noWrap/>
            <w:vAlign w:val="bottom"/>
            <w:hideMark/>
          </w:tcPr>
          <w:p w14:paraId="1113627E"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Liquid</w:t>
            </w:r>
          </w:p>
        </w:tc>
        <w:tc>
          <w:tcPr>
            <w:tcW w:w="900" w:type="dxa"/>
            <w:tcBorders>
              <w:top w:val="nil"/>
              <w:left w:val="nil"/>
              <w:bottom w:val="nil"/>
              <w:right w:val="nil"/>
            </w:tcBorders>
            <w:shd w:val="clear" w:color="000000" w:fill="FFFFFF"/>
            <w:noWrap/>
            <w:vAlign w:val="bottom"/>
            <w:hideMark/>
          </w:tcPr>
          <w:p w14:paraId="2FB63804" w14:textId="77777777" w:rsidR="00B306CF" w:rsidRPr="00B306CF" w:rsidRDefault="00B306CF" w:rsidP="00B306CF">
            <w:pPr>
              <w:spacing w:after="0" w:line="240" w:lineRule="auto"/>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F1</w:t>
            </w:r>
          </w:p>
        </w:tc>
        <w:tc>
          <w:tcPr>
            <w:tcW w:w="640" w:type="dxa"/>
            <w:tcBorders>
              <w:top w:val="nil"/>
              <w:left w:val="nil"/>
              <w:bottom w:val="nil"/>
              <w:right w:val="single" w:sz="4" w:space="0" w:color="auto"/>
            </w:tcBorders>
            <w:shd w:val="clear" w:color="000000" w:fill="FFFFFF"/>
            <w:noWrap/>
            <w:vAlign w:val="bottom"/>
            <w:hideMark/>
          </w:tcPr>
          <w:p w14:paraId="7C8FCCCA"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40" w:type="dxa"/>
            <w:tcBorders>
              <w:top w:val="nil"/>
              <w:left w:val="nil"/>
              <w:bottom w:val="nil"/>
              <w:right w:val="single" w:sz="4" w:space="0" w:color="auto"/>
            </w:tcBorders>
            <w:shd w:val="clear" w:color="000000" w:fill="FFFFFF"/>
            <w:noWrap/>
            <w:vAlign w:val="bottom"/>
            <w:hideMark/>
          </w:tcPr>
          <w:p w14:paraId="33B04B55"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EtOAc</w:t>
            </w:r>
          </w:p>
        </w:tc>
        <w:tc>
          <w:tcPr>
            <w:tcW w:w="880" w:type="dxa"/>
            <w:tcBorders>
              <w:top w:val="nil"/>
              <w:left w:val="nil"/>
              <w:bottom w:val="nil"/>
              <w:right w:val="single" w:sz="4" w:space="0" w:color="auto"/>
            </w:tcBorders>
            <w:shd w:val="clear" w:color="000000" w:fill="FFFFFF"/>
            <w:noWrap/>
            <w:vAlign w:val="bottom"/>
            <w:hideMark/>
          </w:tcPr>
          <w:p w14:paraId="0D46CFBA"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nil"/>
            </w:tcBorders>
            <w:shd w:val="clear" w:color="000000" w:fill="FFFFFF"/>
            <w:noWrap/>
            <w:vAlign w:val="bottom"/>
            <w:hideMark/>
          </w:tcPr>
          <w:p w14:paraId="709BCFDC"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 </w:t>
            </w:r>
          </w:p>
        </w:tc>
        <w:tc>
          <w:tcPr>
            <w:tcW w:w="750" w:type="dxa"/>
            <w:tcBorders>
              <w:top w:val="nil"/>
              <w:left w:val="nil"/>
              <w:bottom w:val="nil"/>
              <w:right w:val="single" w:sz="4" w:space="0" w:color="auto"/>
            </w:tcBorders>
            <w:shd w:val="clear" w:color="000000" w:fill="FFFFFF"/>
            <w:noWrap/>
            <w:vAlign w:val="bottom"/>
            <w:hideMark/>
          </w:tcPr>
          <w:p w14:paraId="24821B17"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 </w:t>
            </w:r>
          </w:p>
        </w:tc>
        <w:tc>
          <w:tcPr>
            <w:tcW w:w="626" w:type="dxa"/>
            <w:tcBorders>
              <w:top w:val="nil"/>
              <w:left w:val="nil"/>
              <w:bottom w:val="nil"/>
              <w:right w:val="nil"/>
            </w:tcBorders>
            <w:shd w:val="clear" w:color="000000" w:fill="FFFFFF"/>
            <w:noWrap/>
            <w:vAlign w:val="bottom"/>
            <w:hideMark/>
          </w:tcPr>
          <w:p w14:paraId="2E56180D"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50" w:type="dxa"/>
            <w:tcBorders>
              <w:top w:val="nil"/>
              <w:left w:val="nil"/>
              <w:bottom w:val="nil"/>
              <w:right w:val="nil"/>
            </w:tcBorders>
            <w:shd w:val="clear" w:color="000000" w:fill="FFFFFF"/>
            <w:noWrap/>
            <w:vAlign w:val="bottom"/>
            <w:hideMark/>
          </w:tcPr>
          <w:p w14:paraId="37E56445"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n.t.</w:t>
            </w:r>
          </w:p>
        </w:tc>
        <w:tc>
          <w:tcPr>
            <w:tcW w:w="1244" w:type="dxa"/>
            <w:tcBorders>
              <w:top w:val="nil"/>
              <w:left w:val="nil"/>
              <w:bottom w:val="nil"/>
              <w:right w:val="single" w:sz="4" w:space="0" w:color="auto"/>
            </w:tcBorders>
            <w:shd w:val="clear" w:color="000000" w:fill="FFFFFF"/>
            <w:noWrap/>
            <w:vAlign w:val="bottom"/>
            <w:hideMark/>
          </w:tcPr>
          <w:p w14:paraId="764471B9"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541" w:type="dxa"/>
            <w:tcBorders>
              <w:top w:val="nil"/>
              <w:left w:val="nil"/>
              <w:bottom w:val="nil"/>
              <w:right w:val="nil"/>
            </w:tcBorders>
            <w:shd w:val="clear" w:color="000000" w:fill="FFFFFF"/>
            <w:noWrap/>
            <w:vAlign w:val="bottom"/>
            <w:hideMark/>
          </w:tcPr>
          <w:p w14:paraId="3ACBAB1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27" w:type="dxa"/>
            <w:tcBorders>
              <w:top w:val="nil"/>
              <w:left w:val="nil"/>
              <w:bottom w:val="nil"/>
              <w:right w:val="nil"/>
            </w:tcBorders>
            <w:shd w:val="clear" w:color="000000" w:fill="FFFFFF"/>
            <w:noWrap/>
            <w:vAlign w:val="bottom"/>
            <w:hideMark/>
          </w:tcPr>
          <w:p w14:paraId="326E4B2C"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61" w:type="dxa"/>
            <w:tcBorders>
              <w:top w:val="nil"/>
              <w:left w:val="nil"/>
              <w:bottom w:val="nil"/>
              <w:right w:val="nil"/>
            </w:tcBorders>
            <w:shd w:val="clear" w:color="000000" w:fill="FFFFFF"/>
            <w:noWrap/>
            <w:vAlign w:val="bottom"/>
            <w:hideMark/>
          </w:tcPr>
          <w:p w14:paraId="4C469FF7"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45" w:type="dxa"/>
            <w:tcBorders>
              <w:top w:val="nil"/>
              <w:left w:val="nil"/>
              <w:bottom w:val="nil"/>
              <w:right w:val="nil"/>
            </w:tcBorders>
            <w:shd w:val="clear" w:color="000000" w:fill="FFFFFF"/>
            <w:noWrap/>
            <w:vAlign w:val="bottom"/>
            <w:hideMark/>
          </w:tcPr>
          <w:p w14:paraId="4C739D6C"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06" w:type="dxa"/>
            <w:tcBorders>
              <w:top w:val="nil"/>
              <w:left w:val="nil"/>
              <w:bottom w:val="nil"/>
              <w:right w:val="single" w:sz="4" w:space="0" w:color="auto"/>
            </w:tcBorders>
            <w:shd w:val="clear" w:color="000000" w:fill="FFFFFF"/>
            <w:noWrap/>
            <w:vAlign w:val="bottom"/>
            <w:hideMark/>
          </w:tcPr>
          <w:p w14:paraId="0A6B1825"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25</w:t>
            </w:r>
          </w:p>
        </w:tc>
      </w:tr>
      <w:tr w:rsidR="00B306CF" w:rsidRPr="00B306CF" w14:paraId="2FAE2884" w14:textId="77777777" w:rsidTr="002652BF">
        <w:trPr>
          <w:trHeight w:val="300"/>
        </w:trPr>
        <w:tc>
          <w:tcPr>
            <w:tcW w:w="960" w:type="dxa"/>
            <w:tcBorders>
              <w:top w:val="nil"/>
              <w:left w:val="single" w:sz="4" w:space="0" w:color="auto"/>
              <w:bottom w:val="nil"/>
              <w:right w:val="single" w:sz="4" w:space="0" w:color="auto"/>
            </w:tcBorders>
            <w:shd w:val="clear" w:color="000000" w:fill="F2F2F2"/>
            <w:noWrap/>
            <w:vAlign w:val="bottom"/>
            <w:hideMark/>
          </w:tcPr>
          <w:p w14:paraId="4FB245EF"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Liquid</w:t>
            </w:r>
          </w:p>
        </w:tc>
        <w:tc>
          <w:tcPr>
            <w:tcW w:w="900" w:type="dxa"/>
            <w:tcBorders>
              <w:top w:val="nil"/>
              <w:left w:val="nil"/>
              <w:bottom w:val="nil"/>
              <w:right w:val="nil"/>
            </w:tcBorders>
            <w:shd w:val="clear" w:color="000000" w:fill="F2F2F2"/>
            <w:noWrap/>
            <w:vAlign w:val="bottom"/>
            <w:hideMark/>
          </w:tcPr>
          <w:p w14:paraId="0531CE66" w14:textId="77777777" w:rsidR="00B306CF" w:rsidRPr="00B306CF" w:rsidRDefault="00B306CF" w:rsidP="00B306CF">
            <w:pPr>
              <w:spacing w:after="0" w:line="240" w:lineRule="auto"/>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AF</w:t>
            </w:r>
          </w:p>
        </w:tc>
        <w:tc>
          <w:tcPr>
            <w:tcW w:w="640" w:type="dxa"/>
            <w:tcBorders>
              <w:top w:val="nil"/>
              <w:left w:val="nil"/>
              <w:bottom w:val="nil"/>
              <w:right w:val="single" w:sz="4" w:space="0" w:color="auto"/>
            </w:tcBorders>
            <w:shd w:val="clear" w:color="000000" w:fill="F2F2F2"/>
            <w:noWrap/>
            <w:vAlign w:val="bottom"/>
            <w:hideMark/>
          </w:tcPr>
          <w:p w14:paraId="62C7DA19"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5</w:t>
            </w:r>
          </w:p>
        </w:tc>
        <w:tc>
          <w:tcPr>
            <w:tcW w:w="640" w:type="dxa"/>
            <w:tcBorders>
              <w:top w:val="nil"/>
              <w:left w:val="nil"/>
              <w:bottom w:val="nil"/>
              <w:right w:val="single" w:sz="4" w:space="0" w:color="auto"/>
            </w:tcBorders>
            <w:shd w:val="clear" w:color="000000" w:fill="F2F2F2"/>
            <w:noWrap/>
            <w:vAlign w:val="bottom"/>
            <w:hideMark/>
          </w:tcPr>
          <w:p w14:paraId="2806D005"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EtOAc</w:t>
            </w:r>
          </w:p>
        </w:tc>
        <w:tc>
          <w:tcPr>
            <w:tcW w:w="880" w:type="dxa"/>
            <w:tcBorders>
              <w:top w:val="nil"/>
              <w:left w:val="nil"/>
              <w:bottom w:val="nil"/>
              <w:right w:val="single" w:sz="4" w:space="0" w:color="auto"/>
            </w:tcBorders>
            <w:shd w:val="clear" w:color="000000" w:fill="F2F2F2"/>
            <w:noWrap/>
            <w:vAlign w:val="bottom"/>
            <w:hideMark/>
          </w:tcPr>
          <w:p w14:paraId="2867089D"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nil"/>
            </w:tcBorders>
            <w:shd w:val="clear" w:color="000000" w:fill="F2F2F2"/>
            <w:noWrap/>
            <w:vAlign w:val="bottom"/>
            <w:hideMark/>
          </w:tcPr>
          <w:p w14:paraId="13C23CBD"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single" w:sz="4" w:space="0" w:color="auto"/>
            </w:tcBorders>
            <w:shd w:val="clear" w:color="000000" w:fill="F2F2F2"/>
            <w:noWrap/>
            <w:vAlign w:val="bottom"/>
            <w:hideMark/>
          </w:tcPr>
          <w:p w14:paraId="1DA0E00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26" w:type="dxa"/>
            <w:tcBorders>
              <w:top w:val="nil"/>
              <w:left w:val="nil"/>
              <w:bottom w:val="nil"/>
              <w:right w:val="nil"/>
            </w:tcBorders>
            <w:shd w:val="clear" w:color="000000" w:fill="F2F2F2"/>
            <w:noWrap/>
            <w:vAlign w:val="bottom"/>
            <w:hideMark/>
          </w:tcPr>
          <w:p w14:paraId="3FBE2276"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50" w:type="dxa"/>
            <w:tcBorders>
              <w:top w:val="nil"/>
              <w:left w:val="nil"/>
              <w:bottom w:val="nil"/>
              <w:right w:val="nil"/>
            </w:tcBorders>
            <w:shd w:val="clear" w:color="000000" w:fill="F2F2F2"/>
            <w:noWrap/>
            <w:vAlign w:val="bottom"/>
            <w:hideMark/>
          </w:tcPr>
          <w:p w14:paraId="7C3CE72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1244" w:type="dxa"/>
            <w:tcBorders>
              <w:top w:val="nil"/>
              <w:left w:val="nil"/>
              <w:bottom w:val="nil"/>
              <w:right w:val="single" w:sz="4" w:space="0" w:color="auto"/>
            </w:tcBorders>
            <w:shd w:val="clear" w:color="000000" w:fill="F2F2F2"/>
            <w:noWrap/>
            <w:vAlign w:val="bottom"/>
            <w:hideMark/>
          </w:tcPr>
          <w:p w14:paraId="477BA3CC"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50</w:t>
            </w:r>
          </w:p>
        </w:tc>
        <w:tc>
          <w:tcPr>
            <w:tcW w:w="541" w:type="dxa"/>
            <w:tcBorders>
              <w:top w:val="nil"/>
              <w:left w:val="nil"/>
              <w:bottom w:val="nil"/>
              <w:right w:val="nil"/>
            </w:tcBorders>
            <w:shd w:val="clear" w:color="000000" w:fill="F2F2F2"/>
            <w:noWrap/>
            <w:vAlign w:val="bottom"/>
            <w:hideMark/>
          </w:tcPr>
          <w:p w14:paraId="6D47959C"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12.5</w:t>
            </w:r>
          </w:p>
        </w:tc>
        <w:tc>
          <w:tcPr>
            <w:tcW w:w="327" w:type="dxa"/>
            <w:tcBorders>
              <w:top w:val="nil"/>
              <w:left w:val="nil"/>
              <w:bottom w:val="nil"/>
              <w:right w:val="nil"/>
            </w:tcBorders>
            <w:shd w:val="clear" w:color="000000" w:fill="F2F2F2"/>
            <w:noWrap/>
            <w:vAlign w:val="bottom"/>
            <w:hideMark/>
          </w:tcPr>
          <w:p w14:paraId="6E436CF7"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61" w:type="dxa"/>
            <w:tcBorders>
              <w:top w:val="nil"/>
              <w:left w:val="nil"/>
              <w:bottom w:val="nil"/>
              <w:right w:val="nil"/>
            </w:tcBorders>
            <w:shd w:val="clear" w:color="000000" w:fill="F2F2F2"/>
            <w:noWrap/>
            <w:vAlign w:val="bottom"/>
            <w:hideMark/>
          </w:tcPr>
          <w:p w14:paraId="2BB84421"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45" w:type="dxa"/>
            <w:tcBorders>
              <w:top w:val="nil"/>
              <w:left w:val="nil"/>
              <w:bottom w:val="nil"/>
              <w:right w:val="nil"/>
            </w:tcBorders>
            <w:shd w:val="clear" w:color="000000" w:fill="F2F2F2"/>
            <w:noWrap/>
            <w:vAlign w:val="bottom"/>
            <w:hideMark/>
          </w:tcPr>
          <w:p w14:paraId="571A7E54"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06" w:type="dxa"/>
            <w:tcBorders>
              <w:top w:val="nil"/>
              <w:left w:val="nil"/>
              <w:bottom w:val="nil"/>
              <w:right w:val="single" w:sz="4" w:space="0" w:color="auto"/>
            </w:tcBorders>
            <w:shd w:val="clear" w:color="000000" w:fill="F2F2F2"/>
            <w:noWrap/>
            <w:vAlign w:val="bottom"/>
            <w:hideMark/>
          </w:tcPr>
          <w:p w14:paraId="2E6D3C46"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6.3</w:t>
            </w:r>
          </w:p>
        </w:tc>
      </w:tr>
      <w:tr w:rsidR="00B306CF" w:rsidRPr="00B306CF" w14:paraId="7FB75C1A" w14:textId="77777777" w:rsidTr="002652BF">
        <w:trPr>
          <w:trHeight w:val="300"/>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14:paraId="475516AF"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Liquid</w:t>
            </w:r>
          </w:p>
        </w:tc>
        <w:tc>
          <w:tcPr>
            <w:tcW w:w="900" w:type="dxa"/>
            <w:tcBorders>
              <w:top w:val="nil"/>
              <w:left w:val="nil"/>
              <w:bottom w:val="single" w:sz="4" w:space="0" w:color="auto"/>
              <w:right w:val="nil"/>
            </w:tcBorders>
            <w:shd w:val="clear" w:color="000000" w:fill="FFFFFF"/>
            <w:noWrap/>
            <w:vAlign w:val="bottom"/>
            <w:hideMark/>
          </w:tcPr>
          <w:p w14:paraId="26542366" w14:textId="77777777" w:rsidR="00B306CF" w:rsidRPr="00B306CF" w:rsidRDefault="00B306CF" w:rsidP="00B306CF">
            <w:pPr>
              <w:spacing w:after="0" w:line="240" w:lineRule="auto"/>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DPY</w:t>
            </w:r>
          </w:p>
        </w:tc>
        <w:tc>
          <w:tcPr>
            <w:tcW w:w="640" w:type="dxa"/>
            <w:tcBorders>
              <w:top w:val="nil"/>
              <w:left w:val="nil"/>
              <w:bottom w:val="single" w:sz="4" w:space="0" w:color="auto"/>
              <w:right w:val="single" w:sz="4" w:space="0" w:color="auto"/>
            </w:tcBorders>
            <w:shd w:val="clear" w:color="000000" w:fill="FFFFFF"/>
            <w:noWrap/>
            <w:vAlign w:val="bottom"/>
            <w:hideMark/>
          </w:tcPr>
          <w:p w14:paraId="04DEC225"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5</w:t>
            </w:r>
          </w:p>
        </w:tc>
        <w:tc>
          <w:tcPr>
            <w:tcW w:w="640" w:type="dxa"/>
            <w:tcBorders>
              <w:top w:val="nil"/>
              <w:left w:val="nil"/>
              <w:bottom w:val="single" w:sz="4" w:space="0" w:color="auto"/>
              <w:right w:val="single" w:sz="4" w:space="0" w:color="auto"/>
            </w:tcBorders>
            <w:shd w:val="clear" w:color="000000" w:fill="FFFFFF"/>
            <w:noWrap/>
            <w:vAlign w:val="bottom"/>
            <w:hideMark/>
          </w:tcPr>
          <w:p w14:paraId="70CAC0DB"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EtOAc</w:t>
            </w:r>
          </w:p>
        </w:tc>
        <w:tc>
          <w:tcPr>
            <w:tcW w:w="880" w:type="dxa"/>
            <w:tcBorders>
              <w:top w:val="nil"/>
              <w:left w:val="nil"/>
              <w:bottom w:val="single" w:sz="4" w:space="0" w:color="auto"/>
              <w:right w:val="single" w:sz="4" w:space="0" w:color="auto"/>
            </w:tcBorders>
            <w:shd w:val="clear" w:color="000000" w:fill="FFFFFF"/>
            <w:noWrap/>
            <w:vAlign w:val="bottom"/>
            <w:hideMark/>
          </w:tcPr>
          <w:p w14:paraId="2D559356"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single" w:sz="4" w:space="0" w:color="auto"/>
              <w:right w:val="nil"/>
            </w:tcBorders>
            <w:shd w:val="clear" w:color="000000" w:fill="FFFFFF"/>
            <w:noWrap/>
            <w:vAlign w:val="bottom"/>
            <w:hideMark/>
          </w:tcPr>
          <w:p w14:paraId="470214CC"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single" w:sz="4" w:space="0" w:color="auto"/>
              <w:right w:val="single" w:sz="4" w:space="0" w:color="auto"/>
            </w:tcBorders>
            <w:shd w:val="clear" w:color="000000" w:fill="FFFFFF"/>
            <w:noWrap/>
            <w:vAlign w:val="bottom"/>
            <w:hideMark/>
          </w:tcPr>
          <w:p w14:paraId="35E4A5AF"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26" w:type="dxa"/>
            <w:tcBorders>
              <w:top w:val="nil"/>
              <w:left w:val="nil"/>
              <w:bottom w:val="single" w:sz="4" w:space="0" w:color="auto"/>
              <w:right w:val="nil"/>
            </w:tcBorders>
            <w:shd w:val="clear" w:color="000000" w:fill="FFFFFF"/>
            <w:noWrap/>
            <w:vAlign w:val="bottom"/>
            <w:hideMark/>
          </w:tcPr>
          <w:p w14:paraId="1FB500AB"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50" w:type="dxa"/>
            <w:tcBorders>
              <w:top w:val="nil"/>
              <w:left w:val="nil"/>
              <w:bottom w:val="single" w:sz="4" w:space="0" w:color="auto"/>
              <w:right w:val="nil"/>
            </w:tcBorders>
            <w:shd w:val="clear" w:color="000000" w:fill="FFFFFF"/>
            <w:noWrap/>
            <w:vAlign w:val="bottom"/>
            <w:hideMark/>
          </w:tcPr>
          <w:p w14:paraId="7DE76EA4"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1244" w:type="dxa"/>
            <w:tcBorders>
              <w:top w:val="nil"/>
              <w:left w:val="nil"/>
              <w:bottom w:val="single" w:sz="4" w:space="0" w:color="auto"/>
              <w:right w:val="single" w:sz="4" w:space="0" w:color="auto"/>
            </w:tcBorders>
            <w:shd w:val="clear" w:color="000000" w:fill="FFFFFF"/>
            <w:noWrap/>
            <w:vAlign w:val="bottom"/>
            <w:hideMark/>
          </w:tcPr>
          <w:p w14:paraId="328C9792"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50</w:t>
            </w:r>
          </w:p>
        </w:tc>
        <w:tc>
          <w:tcPr>
            <w:tcW w:w="541" w:type="dxa"/>
            <w:tcBorders>
              <w:top w:val="nil"/>
              <w:left w:val="nil"/>
              <w:bottom w:val="single" w:sz="4" w:space="0" w:color="auto"/>
              <w:right w:val="nil"/>
            </w:tcBorders>
            <w:shd w:val="clear" w:color="000000" w:fill="FFFFFF"/>
            <w:noWrap/>
            <w:vAlign w:val="bottom"/>
            <w:hideMark/>
          </w:tcPr>
          <w:p w14:paraId="569F779B"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25</w:t>
            </w:r>
          </w:p>
        </w:tc>
        <w:tc>
          <w:tcPr>
            <w:tcW w:w="327" w:type="dxa"/>
            <w:tcBorders>
              <w:top w:val="nil"/>
              <w:left w:val="nil"/>
              <w:bottom w:val="single" w:sz="4" w:space="0" w:color="auto"/>
              <w:right w:val="nil"/>
            </w:tcBorders>
            <w:shd w:val="clear" w:color="000000" w:fill="FFFFFF"/>
            <w:noWrap/>
            <w:vAlign w:val="bottom"/>
            <w:hideMark/>
          </w:tcPr>
          <w:p w14:paraId="3EBC5EA8"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61" w:type="dxa"/>
            <w:tcBorders>
              <w:top w:val="nil"/>
              <w:left w:val="nil"/>
              <w:bottom w:val="single" w:sz="4" w:space="0" w:color="auto"/>
              <w:right w:val="nil"/>
            </w:tcBorders>
            <w:shd w:val="clear" w:color="000000" w:fill="FFFFFF"/>
            <w:noWrap/>
            <w:vAlign w:val="bottom"/>
            <w:hideMark/>
          </w:tcPr>
          <w:p w14:paraId="5B883BB4"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45" w:type="dxa"/>
            <w:tcBorders>
              <w:top w:val="nil"/>
              <w:left w:val="nil"/>
              <w:bottom w:val="single" w:sz="4" w:space="0" w:color="auto"/>
              <w:right w:val="nil"/>
            </w:tcBorders>
            <w:shd w:val="clear" w:color="000000" w:fill="FFFFFF"/>
            <w:noWrap/>
            <w:vAlign w:val="bottom"/>
            <w:hideMark/>
          </w:tcPr>
          <w:p w14:paraId="14675F14"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06" w:type="dxa"/>
            <w:tcBorders>
              <w:top w:val="nil"/>
              <w:left w:val="nil"/>
              <w:bottom w:val="single" w:sz="4" w:space="0" w:color="auto"/>
              <w:right w:val="single" w:sz="4" w:space="0" w:color="auto"/>
            </w:tcBorders>
            <w:shd w:val="clear" w:color="000000" w:fill="FFFFFF"/>
            <w:noWrap/>
            <w:vAlign w:val="bottom"/>
            <w:hideMark/>
          </w:tcPr>
          <w:p w14:paraId="5CB7515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6.3</w:t>
            </w:r>
          </w:p>
        </w:tc>
      </w:tr>
      <w:tr w:rsidR="00B306CF" w:rsidRPr="00B306CF" w14:paraId="14AD6280" w14:textId="77777777" w:rsidTr="002652BF">
        <w:trPr>
          <w:trHeight w:val="300"/>
        </w:trPr>
        <w:tc>
          <w:tcPr>
            <w:tcW w:w="960" w:type="dxa"/>
            <w:tcBorders>
              <w:top w:val="nil"/>
              <w:left w:val="single" w:sz="4" w:space="0" w:color="auto"/>
              <w:bottom w:val="nil"/>
              <w:right w:val="single" w:sz="4" w:space="0" w:color="auto"/>
            </w:tcBorders>
            <w:shd w:val="clear" w:color="000000" w:fill="F2F2F2"/>
            <w:noWrap/>
            <w:vAlign w:val="bottom"/>
            <w:hideMark/>
          </w:tcPr>
          <w:p w14:paraId="38553CD1"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Solid</w:t>
            </w:r>
          </w:p>
        </w:tc>
        <w:tc>
          <w:tcPr>
            <w:tcW w:w="900" w:type="dxa"/>
            <w:tcBorders>
              <w:top w:val="nil"/>
              <w:left w:val="nil"/>
              <w:bottom w:val="nil"/>
              <w:right w:val="nil"/>
            </w:tcBorders>
            <w:shd w:val="clear" w:color="000000" w:fill="F2F2F2"/>
            <w:noWrap/>
            <w:vAlign w:val="bottom"/>
            <w:hideMark/>
          </w:tcPr>
          <w:p w14:paraId="390B0301" w14:textId="77777777" w:rsidR="00B306CF" w:rsidRPr="00B306CF" w:rsidRDefault="00B306CF" w:rsidP="00B306CF">
            <w:pPr>
              <w:spacing w:after="0" w:line="240" w:lineRule="auto"/>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BRFT</w:t>
            </w:r>
          </w:p>
        </w:tc>
        <w:tc>
          <w:tcPr>
            <w:tcW w:w="640" w:type="dxa"/>
            <w:tcBorders>
              <w:top w:val="nil"/>
              <w:left w:val="nil"/>
              <w:bottom w:val="nil"/>
              <w:right w:val="single" w:sz="4" w:space="0" w:color="auto"/>
            </w:tcBorders>
            <w:shd w:val="clear" w:color="000000" w:fill="F2F2F2"/>
            <w:noWrap/>
            <w:vAlign w:val="bottom"/>
            <w:hideMark/>
          </w:tcPr>
          <w:p w14:paraId="767F1879"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5</w:t>
            </w:r>
          </w:p>
        </w:tc>
        <w:tc>
          <w:tcPr>
            <w:tcW w:w="640" w:type="dxa"/>
            <w:tcBorders>
              <w:top w:val="nil"/>
              <w:left w:val="nil"/>
              <w:bottom w:val="nil"/>
              <w:right w:val="single" w:sz="4" w:space="0" w:color="auto"/>
            </w:tcBorders>
            <w:shd w:val="clear" w:color="000000" w:fill="F2F2F2"/>
            <w:noWrap/>
            <w:vAlign w:val="bottom"/>
            <w:hideMark/>
          </w:tcPr>
          <w:p w14:paraId="04DAD55E"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EtOAc</w:t>
            </w:r>
          </w:p>
        </w:tc>
        <w:tc>
          <w:tcPr>
            <w:tcW w:w="880" w:type="dxa"/>
            <w:tcBorders>
              <w:top w:val="nil"/>
              <w:left w:val="nil"/>
              <w:bottom w:val="nil"/>
              <w:right w:val="single" w:sz="4" w:space="0" w:color="auto"/>
            </w:tcBorders>
            <w:shd w:val="clear" w:color="000000" w:fill="F2F2F2"/>
            <w:noWrap/>
            <w:vAlign w:val="bottom"/>
            <w:hideMark/>
          </w:tcPr>
          <w:p w14:paraId="5A3830EB"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nil"/>
            </w:tcBorders>
            <w:shd w:val="clear" w:color="000000" w:fill="F2F2F2"/>
            <w:noWrap/>
            <w:vAlign w:val="bottom"/>
            <w:hideMark/>
          </w:tcPr>
          <w:p w14:paraId="38B982EF"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single" w:sz="4" w:space="0" w:color="auto"/>
            </w:tcBorders>
            <w:shd w:val="clear" w:color="000000" w:fill="F2F2F2"/>
            <w:noWrap/>
            <w:vAlign w:val="bottom"/>
            <w:hideMark/>
          </w:tcPr>
          <w:p w14:paraId="3FE0E351"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26" w:type="dxa"/>
            <w:tcBorders>
              <w:top w:val="nil"/>
              <w:left w:val="nil"/>
              <w:bottom w:val="nil"/>
              <w:right w:val="nil"/>
            </w:tcBorders>
            <w:shd w:val="clear" w:color="000000" w:fill="F2F2F2"/>
            <w:noWrap/>
            <w:vAlign w:val="bottom"/>
            <w:hideMark/>
          </w:tcPr>
          <w:p w14:paraId="317D61C2"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50" w:type="dxa"/>
            <w:tcBorders>
              <w:top w:val="nil"/>
              <w:left w:val="nil"/>
              <w:bottom w:val="nil"/>
              <w:right w:val="nil"/>
            </w:tcBorders>
            <w:shd w:val="clear" w:color="000000" w:fill="F2F2F2"/>
            <w:noWrap/>
            <w:vAlign w:val="bottom"/>
            <w:hideMark/>
          </w:tcPr>
          <w:p w14:paraId="321C2652"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1244" w:type="dxa"/>
            <w:tcBorders>
              <w:top w:val="nil"/>
              <w:left w:val="nil"/>
              <w:bottom w:val="nil"/>
              <w:right w:val="single" w:sz="4" w:space="0" w:color="auto"/>
            </w:tcBorders>
            <w:shd w:val="clear" w:color="000000" w:fill="F2F2F2"/>
            <w:noWrap/>
            <w:vAlign w:val="bottom"/>
            <w:hideMark/>
          </w:tcPr>
          <w:p w14:paraId="7CF6DF44"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541" w:type="dxa"/>
            <w:tcBorders>
              <w:top w:val="nil"/>
              <w:left w:val="nil"/>
              <w:bottom w:val="nil"/>
              <w:right w:val="nil"/>
            </w:tcBorders>
            <w:shd w:val="clear" w:color="000000" w:fill="F2F2F2"/>
            <w:noWrap/>
            <w:vAlign w:val="bottom"/>
            <w:hideMark/>
          </w:tcPr>
          <w:p w14:paraId="25E03ED9"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27" w:type="dxa"/>
            <w:tcBorders>
              <w:top w:val="nil"/>
              <w:left w:val="nil"/>
              <w:bottom w:val="nil"/>
              <w:right w:val="nil"/>
            </w:tcBorders>
            <w:shd w:val="clear" w:color="000000" w:fill="F2F2F2"/>
            <w:noWrap/>
            <w:vAlign w:val="bottom"/>
            <w:hideMark/>
          </w:tcPr>
          <w:p w14:paraId="26D7CA26"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61" w:type="dxa"/>
            <w:tcBorders>
              <w:top w:val="nil"/>
              <w:left w:val="nil"/>
              <w:bottom w:val="nil"/>
              <w:right w:val="nil"/>
            </w:tcBorders>
            <w:shd w:val="clear" w:color="000000" w:fill="F2F2F2"/>
            <w:noWrap/>
            <w:vAlign w:val="bottom"/>
            <w:hideMark/>
          </w:tcPr>
          <w:p w14:paraId="3F72D9F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45" w:type="dxa"/>
            <w:tcBorders>
              <w:top w:val="nil"/>
              <w:left w:val="nil"/>
              <w:bottom w:val="nil"/>
              <w:right w:val="nil"/>
            </w:tcBorders>
            <w:shd w:val="clear" w:color="000000" w:fill="F2F2F2"/>
            <w:noWrap/>
            <w:vAlign w:val="bottom"/>
            <w:hideMark/>
          </w:tcPr>
          <w:p w14:paraId="341FA6A1"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06" w:type="dxa"/>
            <w:tcBorders>
              <w:top w:val="nil"/>
              <w:left w:val="nil"/>
              <w:bottom w:val="nil"/>
              <w:right w:val="single" w:sz="4" w:space="0" w:color="auto"/>
            </w:tcBorders>
            <w:shd w:val="clear" w:color="000000" w:fill="F2F2F2"/>
            <w:noWrap/>
            <w:vAlign w:val="bottom"/>
            <w:hideMark/>
          </w:tcPr>
          <w:p w14:paraId="3D482B2E"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r>
      <w:tr w:rsidR="00B306CF" w:rsidRPr="00B306CF" w14:paraId="6EE95AAF" w14:textId="77777777" w:rsidTr="002652BF">
        <w:trPr>
          <w:trHeight w:val="300"/>
        </w:trPr>
        <w:tc>
          <w:tcPr>
            <w:tcW w:w="960" w:type="dxa"/>
            <w:tcBorders>
              <w:top w:val="nil"/>
              <w:left w:val="single" w:sz="4" w:space="0" w:color="auto"/>
              <w:bottom w:val="nil"/>
              <w:right w:val="single" w:sz="4" w:space="0" w:color="auto"/>
            </w:tcBorders>
            <w:shd w:val="clear" w:color="000000" w:fill="FFFFFF"/>
            <w:noWrap/>
            <w:vAlign w:val="bottom"/>
            <w:hideMark/>
          </w:tcPr>
          <w:p w14:paraId="5AA8735C"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Solid</w:t>
            </w:r>
          </w:p>
        </w:tc>
        <w:tc>
          <w:tcPr>
            <w:tcW w:w="900" w:type="dxa"/>
            <w:tcBorders>
              <w:top w:val="nil"/>
              <w:left w:val="nil"/>
              <w:bottom w:val="nil"/>
              <w:right w:val="nil"/>
            </w:tcBorders>
            <w:shd w:val="clear" w:color="000000" w:fill="FFFFFF"/>
            <w:noWrap/>
            <w:vAlign w:val="bottom"/>
            <w:hideMark/>
          </w:tcPr>
          <w:p w14:paraId="0B5E665E" w14:textId="77777777" w:rsidR="00B306CF" w:rsidRPr="00B306CF" w:rsidRDefault="00B306CF" w:rsidP="00B306CF">
            <w:pPr>
              <w:spacing w:after="0" w:line="240" w:lineRule="auto"/>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Verm</w:t>
            </w:r>
          </w:p>
        </w:tc>
        <w:tc>
          <w:tcPr>
            <w:tcW w:w="640" w:type="dxa"/>
            <w:tcBorders>
              <w:top w:val="nil"/>
              <w:left w:val="nil"/>
              <w:bottom w:val="nil"/>
              <w:right w:val="single" w:sz="4" w:space="0" w:color="auto"/>
            </w:tcBorders>
            <w:shd w:val="clear" w:color="000000" w:fill="FFFFFF"/>
            <w:noWrap/>
            <w:vAlign w:val="bottom"/>
            <w:hideMark/>
          </w:tcPr>
          <w:p w14:paraId="3F89E4BD"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40" w:type="dxa"/>
            <w:tcBorders>
              <w:top w:val="nil"/>
              <w:left w:val="nil"/>
              <w:bottom w:val="nil"/>
              <w:right w:val="single" w:sz="4" w:space="0" w:color="auto"/>
            </w:tcBorders>
            <w:shd w:val="clear" w:color="000000" w:fill="FFFFFF"/>
            <w:noWrap/>
            <w:vAlign w:val="bottom"/>
            <w:hideMark/>
          </w:tcPr>
          <w:p w14:paraId="2818F02B"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EtOAc</w:t>
            </w:r>
          </w:p>
        </w:tc>
        <w:tc>
          <w:tcPr>
            <w:tcW w:w="880" w:type="dxa"/>
            <w:tcBorders>
              <w:top w:val="nil"/>
              <w:left w:val="nil"/>
              <w:bottom w:val="nil"/>
              <w:right w:val="single" w:sz="4" w:space="0" w:color="auto"/>
            </w:tcBorders>
            <w:shd w:val="clear" w:color="000000" w:fill="FFFFFF"/>
            <w:noWrap/>
            <w:vAlign w:val="bottom"/>
            <w:hideMark/>
          </w:tcPr>
          <w:p w14:paraId="5FC25C5D"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nil"/>
              <w:right w:val="nil"/>
            </w:tcBorders>
            <w:shd w:val="clear" w:color="000000" w:fill="FFFFFF"/>
            <w:noWrap/>
            <w:vAlign w:val="bottom"/>
            <w:hideMark/>
          </w:tcPr>
          <w:p w14:paraId="3E5E4536"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n.t.</w:t>
            </w:r>
          </w:p>
        </w:tc>
        <w:tc>
          <w:tcPr>
            <w:tcW w:w="750" w:type="dxa"/>
            <w:tcBorders>
              <w:top w:val="nil"/>
              <w:left w:val="nil"/>
              <w:bottom w:val="nil"/>
              <w:right w:val="single" w:sz="4" w:space="0" w:color="auto"/>
            </w:tcBorders>
            <w:shd w:val="clear" w:color="000000" w:fill="FFFFFF"/>
            <w:noWrap/>
            <w:vAlign w:val="bottom"/>
            <w:hideMark/>
          </w:tcPr>
          <w:p w14:paraId="4191F1E6"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n.t.</w:t>
            </w:r>
          </w:p>
        </w:tc>
        <w:tc>
          <w:tcPr>
            <w:tcW w:w="626" w:type="dxa"/>
            <w:tcBorders>
              <w:top w:val="nil"/>
              <w:left w:val="nil"/>
              <w:bottom w:val="nil"/>
              <w:right w:val="nil"/>
            </w:tcBorders>
            <w:shd w:val="clear" w:color="000000" w:fill="FFFFFF"/>
            <w:noWrap/>
            <w:vAlign w:val="bottom"/>
            <w:hideMark/>
          </w:tcPr>
          <w:p w14:paraId="16F9D0C2"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50" w:type="dxa"/>
            <w:tcBorders>
              <w:top w:val="nil"/>
              <w:left w:val="nil"/>
              <w:bottom w:val="nil"/>
              <w:right w:val="nil"/>
            </w:tcBorders>
            <w:shd w:val="clear" w:color="000000" w:fill="FFFFFF"/>
            <w:noWrap/>
            <w:vAlign w:val="bottom"/>
            <w:hideMark/>
          </w:tcPr>
          <w:p w14:paraId="08CA71E7"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1244" w:type="dxa"/>
            <w:tcBorders>
              <w:top w:val="nil"/>
              <w:left w:val="nil"/>
              <w:bottom w:val="nil"/>
              <w:right w:val="single" w:sz="4" w:space="0" w:color="auto"/>
            </w:tcBorders>
            <w:shd w:val="clear" w:color="000000" w:fill="FFFFFF"/>
            <w:noWrap/>
            <w:vAlign w:val="bottom"/>
            <w:hideMark/>
          </w:tcPr>
          <w:p w14:paraId="59807313"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50</w:t>
            </w:r>
          </w:p>
        </w:tc>
        <w:tc>
          <w:tcPr>
            <w:tcW w:w="541" w:type="dxa"/>
            <w:tcBorders>
              <w:top w:val="nil"/>
              <w:left w:val="nil"/>
              <w:bottom w:val="nil"/>
              <w:right w:val="nil"/>
            </w:tcBorders>
            <w:shd w:val="clear" w:color="000000" w:fill="FFFFFF"/>
            <w:noWrap/>
            <w:vAlign w:val="bottom"/>
            <w:hideMark/>
          </w:tcPr>
          <w:p w14:paraId="2FCB76AC"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27" w:type="dxa"/>
            <w:tcBorders>
              <w:top w:val="nil"/>
              <w:left w:val="nil"/>
              <w:bottom w:val="nil"/>
              <w:right w:val="nil"/>
            </w:tcBorders>
            <w:shd w:val="clear" w:color="000000" w:fill="FFFFFF"/>
            <w:noWrap/>
            <w:vAlign w:val="bottom"/>
            <w:hideMark/>
          </w:tcPr>
          <w:p w14:paraId="2B94650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61" w:type="dxa"/>
            <w:tcBorders>
              <w:top w:val="nil"/>
              <w:left w:val="nil"/>
              <w:bottom w:val="nil"/>
              <w:right w:val="nil"/>
            </w:tcBorders>
            <w:shd w:val="clear" w:color="000000" w:fill="FFFFFF"/>
            <w:noWrap/>
            <w:vAlign w:val="bottom"/>
            <w:hideMark/>
          </w:tcPr>
          <w:p w14:paraId="76F37389"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45" w:type="dxa"/>
            <w:tcBorders>
              <w:top w:val="nil"/>
              <w:left w:val="nil"/>
              <w:bottom w:val="nil"/>
              <w:right w:val="nil"/>
            </w:tcBorders>
            <w:shd w:val="clear" w:color="000000" w:fill="FFFFFF"/>
            <w:noWrap/>
            <w:vAlign w:val="bottom"/>
            <w:hideMark/>
          </w:tcPr>
          <w:p w14:paraId="74A433FF"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06" w:type="dxa"/>
            <w:tcBorders>
              <w:top w:val="nil"/>
              <w:left w:val="nil"/>
              <w:bottom w:val="nil"/>
              <w:right w:val="single" w:sz="4" w:space="0" w:color="auto"/>
            </w:tcBorders>
            <w:shd w:val="clear" w:color="000000" w:fill="FFFFFF"/>
            <w:noWrap/>
            <w:vAlign w:val="bottom"/>
            <w:hideMark/>
          </w:tcPr>
          <w:p w14:paraId="5A6BA6C3"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6.3</w:t>
            </w:r>
          </w:p>
        </w:tc>
      </w:tr>
      <w:tr w:rsidR="00B306CF" w:rsidRPr="00B306CF" w14:paraId="5338E797" w14:textId="77777777" w:rsidTr="002652BF">
        <w:trPr>
          <w:trHeight w:val="315"/>
        </w:trPr>
        <w:tc>
          <w:tcPr>
            <w:tcW w:w="960" w:type="dxa"/>
            <w:tcBorders>
              <w:top w:val="nil"/>
              <w:left w:val="single" w:sz="4" w:space="0" w:color="auto"/>
              <w:bottom w:val="single" w:sz="8" w:space="0" w:color="auto"/>
              <w:right w:val="single" w:sz="4" w:space="0" w:color="auto"/>
            </w:tcBorders>
            <w:shd w:val="clear" w:color="000000" w:fill="F2F2F2"/>
            <w:noWrap/>
            <w:vAlign w:val="bottom"/>
            <w:hideMark/>
          </w:tcPr>
          <w:p w14:paraId="0948CF3C"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Solid</w:t>
            </w:r>
          </w:p>
        </w:tc>
        <w:tc>
          <w:tcPr>
            <w:tcW w:w="900" w:type="dxa"/>
            <w:tcBorders>
              <w:top w:val="nil"/>
              <w:left w:val="nil"/>
              <w:bottom w:val="single" w:sz="8" w:space="0" w:color="auto"/>
              <w:right w:val="nil"/>
            </w:tcBorders>
            <w:shd w:val="clear" w:color="000000" w:fill="F2F2F2"/>
            <w:noWrap/>
            <w:vAlign w:val="bottom"/>
            <w:hideMark/>
          </w:tcPr>
          <w:p w14:paraId="4942D463" w14:textId="77777777" w:rsidR="00B306CF" w:rsidRPr="00B306CF" w:rsidRDefault="00B306CF" w:rsidP="00B306CF">
            <w:pPr>
              <w:spacing w:after="0" w:line="240" w:lineRule="auto"/>
              <w:rPr>
                <w:rFonts w:ascii="Calibri" w:eastAsia="Times New Roman" w:hAnsi="Calibri" w:cs="Calibri"/>
                <w:b/>
                <w:bCs/>
                <w:color w:val="000000"/>
                <w:lang w:val="en-GB" w:eastAsia="en-GB"/>
              </w:rPr>
            </w:pPr>
            <w:r w:rsidRPr="00B306CF">
              <w:rPr>
                <w:rFonts w:ascii="Calibri" w:eastAsia="Times New Roman" w:hAnsi="Calibri" w:cs="Calibri"/>
                <w:b/>
                <w:bCs/>
                <w:color w:val="000000"/>
                <w:lang w:val="en-GB" w:eastAsia="en-GB"/>
              </w:rPr>
              <w:t>MWM</w:t>
            </w:r>
          </w:p>
        </w:tc>
        <w:tc>
          <w:tcPr>
            <w:tcW w:w="640" w:type="dxa"/>
            <w:tcBorders>
              <w:top w:val="nil"/>
              <w:left w:val="nil"/>
              <w:bottom w:val="single" w:sz="8" w:space="0" w:color="auto"/>
              <w:right w:val="single" w:sz="4" w:space="0" w:color="auto"/>
            </w:tcBorders>
            <w:shd w:val="clear" w:color="000000" w:fill="F2F2F2"/>
            <w:noWrap/>
            <w:vAlign w:val="bottom"/>
            <w:hideMark/>
          </w:tcPr>
          <w:p w14:paraId="23DABE85"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40" w:type="dxa"/>
            <w:tcBorders>
              <w:top w:val="nil"/>
              <w:left w:val="nil"/>
              <w:bottom w:val="single" w:sz="8" w:space="0" w:color="auto"/>
              <w:right w:val="single" w:sz="4" w:space="0" w:color="auto"/>
            </w:tcBorders>
            <w:shd w:val="clear" w:color="000000" w:fill="F2F2F2"/>
            <w:noWrap/>
            <w:vAlign w:val="bottom"/>
            <w:hideMark/>
          </w:tcPr>
          <w:p w14:paraId="19CBC504" w14:textId="77777777" w:rsidR="00B306CF" w:rsidRPr="00B306CF" w:rsidRDefault="00B306CF" w:rsidP="00B306CF">
            <w:pPr>
              <w:spacing w:after="0" w:line="240" w:lineRule="auto"/>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EtOAc</w:t>
            </w:r>
          </w:p>
        </w:tc>
        <w:tc>
          <w:tcPr>
            <w:tcW w:w="880" w:type="dxa"/>
            <w:tcBorders>
              <w:top w:val="nil"/>
              <w:left w:val="nil"/>
              <w:bottom w:val="single" w:sz="8" w:space="0" w:color="auto"/>
              <w:right w:val="single" w:sz="4" w:space="0" w:color="auto"/>
            </w:tcBorders>
            <w:shd w:val="clear" w:color="000000" w:fill="F2F2F2"/>
            <w:noWrap/>
            <w:vAlign w:val="bottom"/>
            <w:hideMark/>
          </w:tcPr>
          <w:p w14:paraId="3951F5FB"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750" w:type="dxa"/>
            <w:tcBorders>
              <w:top w:val="nil"/>
              <w:left w:val="nil"/>
              <w:bottom w:val="single" w:sz="8" w:space="0" w:color="auto"/>
              <w:right w:val="nil"/>
            </w:tcBorders>
            <w:shd w:val="clear" w:color="000000" w:fill="F2F2F2"/>
            <w:noWrap/>
            <w:vAlign w:val="bottom"/>
            <w:hideMark/>
          </w:tcPr>
          <w:p w14:paraId="18567B9F"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n.t.</w:t>
            </w:r>
          </w:p>
        </w:tc>
        <w:tc>
          <w:tcPr>
            <w:tcW w:w="750" w:type="dxa"/>
            <w:tcBorders>
              <w:top w:val="nil"/>
              <w:left w:val="nil"/>
              <w:bottom w:val="single" w:sz="8" w:space="0" w:color="auto"/>
              <w:right w:val="single" w:sz="4" w:space="0" w:color="auto"/>
            </w:tcBorders>
            <w:shd w:val="clear" w:color="000000" w:fill="F2F2F2"/>
            <w:noWrap/>
            <w:vAlign w:val="bottom"/>
            <w:hideMark/>
          </w:tcPr>
          <w:p w14:paraId="48D149A5"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n.t.</w:t>
            </w:r>
          </w:p>
        </w:tc>
        <w:tc>
          <w:tcPr>
            <w:tcW w:w="626" w:type="dxa"/>
            <w:tcBorders>
              <w:top w:val="nil"/>
              <w:left w:val="nil"/>
              <w:bottom w:val="single" w:sz="8" w:space="0" w:color="auto"/>
              <w:right w:val="nil"/>
            </w:tcBorders>
            <w:shd w:val="clear" w:color="000000" w:fill="F2F2F2"/>
            <w:noWrap/>
            <w:vAlign w:val="bottom"/>
            <w:hideMark/>
          </w:tcPr>
          <w:p w14:paraId="20031257"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50" w:type="dxa"/>
            <w:tcBorders>
              <w:top w:val="nil"/>
              <w:left w:val="nil"/>
              <w:bottom w:val="single" w:sz="8" w:space="0" w:color="auto"/>
              <w:right w:val="nil"/>
            </w:tcBorders>
            <w:shd w:val="clear" w:color="000000" w:fill="F2F2F2"/>
            <w:noWrap/>
            <w:vAlign w:val="bottom"/>
            <w:hideMark/>
          </w:tcPr>
          <w:p w14:paraId="30E34D74"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1244" w:type="dxa"/>
            <w:tcBorders>
              <w:top w:val="nil"/>
              <w:left w:val="nil"/>
              <w:bottom w:val="single" w:sz="8" w:space="0" w:color="auto"/>
              <w:right w:val="single" w:sz="4" w:space="0" w:color="auto"/>
            </w:tcBorders>
            <w:shd w:val="clear" w:color="000000" w:fill="F2F2F2"/>
            <w:noWrap/>
            <w:vAlign w:val="bottom"/>
            <w:hideMark/>
          </w:tcPr>
          <w:p w14:paraId="1B1F175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541" w:type="dxa"/>
            <w:tcBorders>
              <w:top w:val="nil"/>
              <w:left w:val="nil"/>
              <w:bottom w:val="single" w:sz="8" w:space="0" w:color="auto"/>
              <w:right w:val="nil"/>
            </w:tcBorders>
            <w:shd w:val="clear" w:color="000000" w:fill="F2F2F2"/>
            <w:noWrap/>
            <w:vAlign w:val="bottom"/>
            <w:hideMark/>
          </w:tcPr>
          <w:p w14:paraId="12CE0612"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27" w:type="dxa"/>
            <w:tcBorders>
              <w:top w:val="nil"/>
              <w:left w:val="nil"/>
              <w:bottom w:val="single" w:sz="8" w:space="0" w:color="auto"/>
              <w:right w:val="nil"/>
            </w:tcBorders>
            <w:shd w:val="clear" w:color="000000" w:fill="F2F2F2"/>
            <w:noWrap/>
            <w:vAlign w:val="bottom"/>
            <w:hideMark/>
          </w:tcPr>
          <w:p w14:paraId="04CBA840"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61" w:type="dxa"/>
            <w:tcBorders>
              <w:top w:val="nil"/>
              <w:left w:val="nil"/>
              <w:bottom w:val="single" w:sz="8" w:space="0" w:color="auto"/>
              <w:right w:val="nil"/>
            </w:tcBorders>
            <w:shd w:val="clear" w:color="000000" w:fill="F2F2F2"/>
            <w:noWrap/>
            <w:vAlign w:val="bottom"/>
            <w:hideMark/>
          </w:tcPr>
          <w:p w14:paraId="14024C36"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345" w:type="dxa"/>
            <w:tcBorders>
              <w:top w:val="nil"/>
              <w:left w:val="nil"/>
              <w:bottom w:val="single" w:sz="8" w:space="0" w:color="auto"/>
              <w:right w:val="nil"/>
            </w:tcBorders>
            <w:shd w:val="clear" w:color="000000" w:fill="F2F2F2"/>
            <w:noWrap/>
            <w:vAlign w:val="bottom"/>
            <w:hideMark/>
          </w:tcPr>
          <w:p w14:paraId="3732667F"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w:t>
            </w:r>
          </w:p>
        </w:tc>
        <w:tc>
          <w:tcPr>
            <w:tcW w:w="606" w:type="dxa"/>
            <w:tcBorders>
              <w:top w:val="nil"/>
              <w:left w:val="nil"/>
              <w:bottom w:val="single" w:sz="8" w:space="0" w:color="auto"/>
              <w:right w:val="single" w:sz="4" w:space="0" w:color="auto"/>
            </w:tcBorders>
            <w:shd w:val="clear" w:color="000000" w:fill="F2F2F2"/>
            <w:noWrap/>
            <w:vAlign w:val="bottom"/>
            <w:hideMark/>
          </w:tcPr>
          <w:p w14:paraId="2392D66D" w14:textId="77777777" w:rsidR="00B306CF" w:rsidRPr="00B306CF" w:rsidRDefault="00B306CF" w:rsidP="00B306CF">
            <w:pPr>
              <w:spacing w:after="0" w:line="240" w:lineRule="auto"/>
              <w:jc w:val="right"/>
              <w:rPr>
                <w:rFonts w:ascii="Calibri" w:eastAsia="Times New Roman" w:hAnsi="Calibri" w:cs="Calibri"/>
                <w:color w:val="000000"/>
                <w:lang w:val="en-GB" w:eastAsia="en-GB"/>
              </w:rPr>
            </w:pPr>
            <w:r w:rsidRPr="00B306CF">
              <w:rPr>
                <w:rFonts w:ascii="Calibri" w:eastAsia="Times New Roman" w:hAnsi="Calibri" w:cs="Calibri"/>
                <w:color w:val="000000"/>
                <w:lang w:val="en-GB" w:eastAsia="en-GB"/>
              </w:rPr>
              <w:t>25</w:t>
            </w:r>
          </w:p>
        </w:tc>
      </w:tr>
    </w:tbl>
    <w:p w14:paraId="49197D72" w14:textId="77777777" w:rsidR="00B306CF" w:rsidRDefault="00B306CF" w:rsidP="00B306CF">
      <w:pPr>
        <w:pStyle w:val="Tabletitle"/>
        <w:rPr>
          <w:i/>
        </w:rPr>
      </w:pPr>
      <w:r>
        <w:t xml:space="preserve">Frac. no. – Fraction number, </w:t>
      </w:r>
      <w:r w:rsidRPr="00563284">
        <w:t xml:space="preserve">Ext. met. – Extraction method, </w:t>
      </w:r>
      <w:r>
        <w:t>IS – Immunostimulatory, AIF – Anti-inflammatory, Form. – Biofilm formation, Estab. – Established biofilm, Growth inh. – Growth inhibition</w:t>
      </w:r>
      <w:r w:rsidRPr="00563284">
        <w:t xml:space="preserve">, EF – </w:t>
      </w:r>
      <w:r w:rsidRPr="00563284">
        <w:rPr>
          <w:i/>
        </w:rPr>
        <w:t>E</w:t>
      </w:r>
      <w:r>
        <w:rPr>
          <w:i/>
        </w:rPr>
        <w:t>nterococcus</w:t>
      </w:r>
      <w:r w:rsidRPr="00563284">
        <w:rPr>
          <w:i/>
        </w:rPr>
        <w:t xml:space="preserve"> faecium</w:t>
      </w:r>
      <w:r>
        <w:rPr>
          <w:i/>
        </w:rPr>
        <w:t>,</w:t>
      </w:r>
      <w:r w:rsidRPr="00563284">
        <w:t xml:space="preserve"> EC – </w:t>
      </w:r>
      <w:r w:rsidRPr="00FD3964">
        <w:rPr>
          <w:i/>
        </w:rPr>
        <w:t>Escherichia</w:t>
      </w:r>
      <w:r>
        <w:rPr>
          <w:i/>
        </w:rPr>
        <w:t xml:space="preserve"> </w:t>
      </w:r>
      <w:r w:rsidRPr="00563284">
        <w:rPr>
          <w:i/>
        </w:rPr>
        <w:t>coli</w:t>
      </w:r>
      <w:r w:rsidRPr="00563284">
        <w:t xml:space="preserve">, PA – </w:t>
      </w:r>
      <w:r w:rsidRPr="00563284">
        <w:rPr>
          <w:i/>
        </w:rPr>
        <w:t>P</w:t>
      </w:r>
      <w:r>
        <w:rPr>
          <w:i/>
        </w:rPr>
        <w:t>seudomonas</w:t>
      </w:r>
      <w:r w:rsidRPr="00563284">
        <w:rPr>
          <w:i/>
        </w:rPr>
        <w:t xml:space="preserve"> aeruginosa</w:t>
      </w:r>
      <w:r>
        <w:rPr>
          <w:i/>
        </w:rPr>
        <w:t>,</w:t>
      </w:r>
      <w:r w:rsidRPr="00563284">
        <w:t xml:space="preserve"> SA – </w:t>
      </w:r>
      <w:r>
        <w:rPr>
          <w:i/>
        </w:rPr>
        <w:t>Staphylococcus</w:t>
      </w:r>
      <w:r w:rsidRPr="00563284">
        <w:rPr>
          <w:i/>
        </w:rPr>
        <w:t xml:space="preserve"> aureus</w:t>
      </w:r>
      <w:r>
        <w:t>, Str</w:t>
      </w:r>
      <w:r w:rsidRPr="00563284">
        <w:t xml:space="preserve">.B – </w:t>
      </w:r>
      <w:r>
        <w:rPr>
          <w:i/>
        </w:rPr>
        <w:t>Streptococcus</w:t>
      </w:r>
      <w:r w:rsidRPr="00563284">
        <w:rPr>
          <w:i/>
        </w:rPr>
        <w:t xml:space="preserve"> agalactiae</w:t>
      </w:r>
    </w:p>
    <w:p w14:paraId="71EE6656" w14:textId="77777777" w:rsidR="00B306CF" w:rsidRPr="00B306CF" w:rsidRDefault="00B306CF" w:rsidP="00B306CF">
      <w:pPr>
        <w:rPr>
          <w:lang w:eastAsia="en-GB"/>
        </w:rPr>
      </w:pPr>
    </w:p>
    <w:p w14:paraId="61D8EEF8" w14:textId="77777777" w:rsidR="00B306CF" w:rsidRDefault="00B306CF" w:rsidP="00B306CF">
      <w:pPr>
        <w:pStyle w:val="Newparagraph"/>
      </w:pPr>
      <w:r>
        <w:t xml:space="preserve">Dereplication was performed using UHPLC-QToF-MS where the fractions were compared against each other and media controls. The second highest peak in the active fraction 5 from the AF and DPY fermentations was not present in the inactive fractions. The peak had a retention time of 7.45 min and a </w:t>
      </w:r>
      <w:r w:rsidRPr="00C24E62">
        <w:rPr>
          <w:i/>
        </w:rPr>
        <w:t xml:space="preserve">m/z </w:t>
      </w:r>
      <w:r>
        <w:t xml:space="preserve">of 567.2883 </w:t>
      </w:r>
      <w:r>
        <w:rPr>
          <w:sz w:val="20"/>
        </w:rPr>
        <w:t>[M-H]</w:t>
      </w:r>
      <w:r>
        <w:rPr>
          <w:sz w:val="20"/>
          <w:vertAlign w:val="superscript"/>
        </w:rPr>
        <w:t>-</w:t>
      </w:r>
      <w:r>
        <w:t xml:space="preserve"> in ESI- and a calculated elemental composition of C</w:t>
      </w:r>
      <w:r w:rsidRPr="00825F17">
        <w:rPr>
          <w:vertAlign w:val="subscript"/>
        </w:rPr>
        <w:t>33</w:t>
      </w:r>
      <w:r>
        <w:t>H</w:t>
      </w:r>
      <w:r w:rsidRPr="00825F17">
        <w:rPr>
          <w:vertAlign w:val="subscript"/>
        </w:rPr>
        <w:t>4</w:t>
      </w:r>
      <w:r>
        <w:rPr>
          <w:vertAlign w:val="subscript"/>
        </w:rPr>
        <w:t>3</w:t>
      </w:r>
      <w:r>
        <w:t>O</w:t>
      </w:r>
      <w:r w:rsidRPr="00825F17">
        <w:rPr>
          <w:vertAlign w:val="subscript"/>
        </w:rPr>
        <w:t>8</w:t>
      </w:r>
      <w:r>
        <w:rPr>
          <w:vertAlign w:val="subscript"/>
        </w:rPr>
        <w:t xml:space="preserve"> </w:t>
      </w:r>
      <w:r>
        <w:t xml:space="preserve">(calculated deprotonated monoisotopic mass: </w:t>
      </w:r>
      <w:r w:rsidRPr="00EE0749">
        <w:t>567.2958</w:t>
      </w:r>
      <w:r>
        <w:t xml:space="preserve"> Da). A search in ChemSpider indicated that this compound could be helvolic acid (Fumigacin). To confirm the identity, we compared the endogenous compound with a commercial standard of helvolic acid (Sigma) on the UHPLC-QToF-MS. Both </w:t>
      </w:r>
      <w:r>
        <w:lastRenderedPageBreak/>
        <w:t>compounds had identical retention times, accurate mass and fragmentation pattern. The presence of the gene cluster of helvolic acid further supported the correct identification. The helvolic acid peak was followed by a smaller peak at m/z 569.3010 Da. This compound had a similar fragmentation pattern as helvolic acid (fragments were consistently 2 Da larger with few exceptions), and this was most likely 1,2-dihydrohelvolic acid.</w:t>
      </w:r>
    </w:p>
    <w:p w14:paraId="5A549881" w14:textId="77777777" w:rsidR="00B306CF" w:rsidRDefault="00B306CF" w:rsidP="00B306CF">
      <w:pPr>
        <w:pStyle w:val="Newparagraph"/>
      </w:pPr>
      <w:r w:rsidRPr="00F8073F">
        <w:t xml:space="preserve">The third most abundant </w:t>
      </w:r>
      <w:r>
        <w:t>peak</w:t>
      </w:r>
      <w:r w:rsidRPr="00F8073F">
        <w:t xml:space="preserve"> in </w:t>
      </w:r>
      <w:r>
        <w:t xml:space="preserve">the </w:t>
      </w:r>
      <w:r w:rsidRPr="00F8073F">
        <w:t xml:space="preserve">fermentation </w:t>
      </w:r>
      <w:r>
        <w:t xml:space="preserve">using DMB had a </w:t>
      </w:r>
      <w:r w:rsidRPr="00C24E62">
        <w:rPr>
          <w:i/>
        </w:rPr>
        <w:t>m/z</w:t>
      </w:r>
      <w:r>
        <w:t xml:space="preserve"> of </w:t>
      </w:r>
      <w:r w:rsidRPr="00F8073F">
        <w:t>1050.7529 Da [M+H]</w:t>
      </w:r>
      <w:r w:rsidRPr="00F8073F">
        <w:rPr>
          <w:vertAlign w:val="superscript"/>
        </w:rPr>
        <w:t xml:space="preserve">+ </w:t>
      </w:r>
      <w:r w:rsidRPr="00F8073F">
        <w:t xml:space="preserve"> with a calculated elemental composition of C</w:t>
      </w:r>
      <w:r w:rsidRPr="00F8073F">
        <w:rPr>
          <w:vertAlign w:val="subscript"/>
        </w:rPr>
        <w:t>54</w:t>
      </w:r>
      <w:r w:rsidRPr="00F8073F">
        <w:t>H</w:t>
      </w:r>
      <w:r>
        <w:rPr>
          <w:vertAlign w:val="subscript"/>
        </w:rPr>
        <w:t>100</w:t>
      </w:r>
      <w:r w:rsidRPr="00F8073F">
        <w:t>N</w:t>
      </w:r>
      <w:r w:rsidRPr="00F8073F">
        <w:rPr>
          <w:vertAlign w:val="subscript"/>
        </w:rPr>
        <w:t>9</w:t>
      </w:r>
      <w:r w:rsidRPr="00F8073F">
        <w:t>O</w:t>
      </w:r>
      <w:r w:rsidRPr="00F8073F">
        <w:rPr>
          <w:vertAlign w:val="subscript"/>
        </w:rPr>
        <w:t xml:space="preserve">11 </w:t>
      </w:r>
      <w:r w:rsidRPr="00F8073F">
        <w:t xml:space="preserve">(Calculated </w:t>
      </w:r>
      <w:r>
        <w:t xml:space="preserve">protonated </w:t>
      </w:r>
      <w:r w:rsidRPr="00F8073F">
        <w:t xml:space="preserve">monoisotopic mass: </w:t>
      </w:r>
      <w:r w:rsidRPr="00EE0749">
        <w:t>1050.754</w:t>
      </w:r>
      <w:r>
        <w:t xml:space="preserve">2 </w:t>
      </w:r>
      <w:r w:rsidRPr="00F8073F">
        <w:t xml:space="preserve">Da). The fragmentation pattern indicated </w:t>
      </w:r>
      <w:r>
        <w:t xml:space="preserve">that the compound was </w:t>
      </w:r>
      <w:r w:rsidRPr="00F8073F">
        <w:t>a peptide</w:t>
      </w:r>
      <w:r>
        <w:t>,</w:t>
      </w:r>
      <w:r w:rsidRPr="00F8073F">
        <w:t xml:space="preserve"> and a search </w:t>
      </w:r>
      <w:r>
        <w:t>in</w:t>
      </w:r>
      <w:r w:rsidRPr="00F8073F">
        <w:t xml:space="preserve"> ChemSpider </w:t>
      </w:r>
      <w:r>
        <w:t>matched the elemental composition of</w:t>
      </w:r>
      <w:r w:rsidRPr="00F8073F">
        <w:t xml:space="preserve"> the peptide </w:t>
      </w:r>
      <w:r>
        <w:t>a</w:t>
      </w:r>
      <w:r w:rsidRPr="00F8073F">
        <w:t xml:space="preserve">crepeptin C. However, the fragmentation </w:t>
      </w:r>
      <w:r>
        <w:t>pattern</w:t>
      </w:r>
      <w:r w:rsidRPr="00F8073F">
        <w:t xml:space="preserve"> did not match </w:t>
      </w:r>
      <w:r>
        <w:t xml:space="preserve">with </w:t>
      </w:r>
      <w:r w:rsidRPr="00F8073F">
        <w:t>the amino acid composition</w:t>
      </w:r>
      <w:r>
        <w:t xml:space="preserve"> of this peptide</w:t>
      </w:r>
      <w:r w:rsidRPr="006D1900">
        <w:t xml:space="preserve">. </w:t>
      </w:r>
      <w:r w:rsidRPr="00F8073F">
        <w:t>Several other probable peptides (based on fragmentation) in the range of 800-1100 Da w</w:t>
      </w:r>
      <w:r>
        <w:t xml:space="preserve">ere </w:t>
      </w:r>
      <w:r w:rsidRPr="00F8073F">
        <w:t xml:space="preserve">also </w:t>
      </w:r>
      <w:r>
        <w:t>observed</w:t>
      </w:r>
      <w:r w:rsidRPr="00F8073F">
        <w:t xml:space="preserve"> </w:t>
      </w:r>
      <w:r>
        <w:t>among the most abundant ions</w:t>
      </w:r>
      <w:r w:rsidRPr="00F8073F">
        <w:t xml:space="preserve"> in the DMB sample</w:t>
      </w:r>
      <w:r>
        <w:t>, and these signals were not detected in the media control</w:t>
      </w:r>
      <w:r w:rsidRPr="00F8073F">
        <w:t>.</w:t>
      </w:r>
      <w:r>
        <w:t xml:space="preserve"> However, none of the calculated elemental compositions matched known peptides in the ChemSpider database.</w:t>
      </w:r>
    </w:p>
    <w:p w14:paraId="7A6B62BA" w14:textId="77777777" w:rsidR="00B306CF" w:rsidRDefault="00B306CF"/>
    <w:p w14:paraId="04B77FEC" w14:textId="77777777" w:rsidR="00B306CF" w:rsidRDefault="00B306CF" w:rsidP="00B306CF">
      <w:pPr>
        <w:pStyle w:val="Title"/>
      </w:pPr>
      <w:r>
        <w:t>Methods:</w:t>
      </w:r>
    </w:p>
    <w:p w14:paraId="0EB32813" w14:textId="77777777" w:rsidR="00B306CF" w:rsidRDefault="00B306CF" w:rsidP="00B306CF">
      <w:pPr>
        <w:pStyle w:val="Heading2"/>
      </w:pPr>
      <w:r w:rsidRPr="00C906AB">
        <w:t>Cultivation</w:t>
      </w:r>
      <w:r>
        <w:t xml:space="preserve"> for metabolite extraction, </w:t>
      </w:r>
      <w:r w:rsidRPr="00C906AB">
        <w:t>metabolite extraction</w:t>
      </w:r>
      <w:r>
        <w:t xml:space="preserve"> and dereplication</w:t>
      </w:r>
    </w:p>
    <w:p w14:paraId="0A15223E" w14:textId="77777777" w:rsidR="00B306CF" w:rsidRPr="00C972E0" w:rsidRDefault="00B306CF" w:rsidP="00B306CF">
      <w:pPr>
        <w:pStyle w:val="Paragraph"/>
      </w:pPr>
      <w:r>
        <w:t xml:space="preserve">The methods for extraction of metabolites, fractionation, UHPLC-HR-MS and dereplication have previously been described in </w:t>
      </w:r>
      <w:r>
        <w:rPr>
          <w:noProof/>
        </w:rPr>
        <w:t>Schneider et al. (2019)</w:t>
      </w:r>
      <w:r>
        <w:t>.</w:t>
      </w:r>
    </w:p>
    <w:p w14:paraId="67CF66FC" w14:textId="77777777" w:rsidR="00B306CF" w:rsidRPr="00C906AB" w:rsidRDefault="00B306CF" w:rsidP="00B306CF">
      <w:pPr>
        <w:pStyle w:val="Heading3"/>
      </w:pPr>
      <w:r w:rsidRPr="00C906AB">
        <w:lastRenderedPageBreak/>
        <w:t>Extraction of metabolites</w:t>
      </w:r>
    </w:p>
    <w:p w14:paraId="1AAEAFCF" w14:textId="45A7BF6B" w:rsidR="00B306CF" w:rsidRPr="00C906AB" w:rsidRDefault="00B306CF" w:rsidP="00B306CF">
      <w:pPr>
        <w:pStyle w:val="Newparagraph"/>
        <w:ind w:firstLine="0"/>
      </w:pPr>
      <w:r>
        <w:t xml:space="preserve">To prepare biomass for </w:t>
      </w:r>
      <w:r w:rsidRPr="00C906AB">
        <w:t>extrac</w:t>
      </w:r>
      <w:r>
        <w:t>tion of metabolites</w:t>
      </w:r>
      <w:r w:rsidRPr="00C906AB">
        <w:t xml:space="preserve">, mycelium of </w:t>
      </w:r>
      <w:r>
        <w:rPr>
          <w:i/>
        </w:rPr>
        <w:t>Emericellopsis</w:t>
      </w:r>
      <w:r w:rsidRPr="00C906AB">
        <w:t xml:space="preserve"> TS7 was inoculated in 250 mL media in 1000 mL baffled culture flasks</w:t>
      </w:r>
      <w:r>
        <w:t xml:space="preserve"> containing YES-ASW, </w:t>
      </w:r>
      <w:r w:rsidRPr="00C906AB">
        <w:t>MPM-ASW</w:t>
      </w:r>
      <w:r>
        <w:t xml:space="preserve">, DMB, </w:t>
      </w:r>
      <w:r w:rsidRPr="00C906AB">
        <w:t>SAPM-ASW</w:t>
      </w:r>
      <w:r>
        <w:t xml:space="preserve">, </w:t>
      </w:r>
      <w:r w:rsidRPr="00C906AB">
        <w:t>SDPM-ASW</w:t>
      </w:r>
      <w:r>
        <w:t xml:space="preserve">, F1, </w:t>
      </w:r>
      <w:r w:rsidRPr="00C906AB">
        <w:t>AF</w:t>
      </w:r>
      <w:r>
        <w:t xml:space="preserve"> or DPY. Solid culture fermentations were performed with BRFT, Verm or MWM</w:t>
      </w:r>
      <w:r w:rsidRPr="00E574BD">
        <w:t>.</w:t>
      </w:r>
      <w:r>
        <w:t xml:space="preserve"> Liquid fermentations of </w:t>
      </w:r>
      <w:r w:rsidRPr="00DB707E">
        <w:rPr>
          <w:i/>
        </w:rPr>
        <w:t>Emericellopsis</w:t>
      </w:r>
      <w:r>
        <w:t xml:space="preserve"> TS7 in </w:t>
      </w:r>
      <w:r w:rsidRPr="00B5416A">
        <w:t>Y</w:t>
      </w:r>
      <w:r>
        <w:t xml:space="preserve">ES-ASW, MPM-ASW, DMB, SAPM-ASW and </w:t>
      </w:r>
      <w:r w:rsidRPr="00B5416A">
        <w:t xml:space="preserve">SDPM-ASW </w:t>
      </w:r>
      <w:r>
        <w:t>was extracted</w:t>
      </w:r>
      <w:r w:rsidRPr="00C906AB">
        <w:t xml:space="preserve"> by solid phase extraction (SPE) using Diaion®HP-20 resin (Supelco Analytica, Bellefonte, PA, USA). </w:t>
      </w:r>
      <w:r>
        <w:t>The r</w:t>
      </w:r>
      <w:r w:rsidRPr="00C906AB">
        <w:t xml:space="preserve">esin was </w:t>
      </w:r>
      <w:r>
        <w:t>activated</w:t>
      </w:r>
      <w:r w:rsidRPr="00C906AB">
        <w:t xml:space="preserve"> </w:t>
      </w:r>
      <w:r>
        <w:t>before 40 g</w:t>
      </w:r>
      <w:r w:rsidRPr="00C906AB">
        <w:t xml:space="preserve"> of resin was added to 1 L of culture 3-7 days before extraction. </w:t>
      </w:r>
      <w:r>
        <w:t>The resin was separated from the</w:t>
      </w:r>
      <w:r w:rsidRPr="00C906AB">
        <w:t xml:space="preserve"> media </w:t>
      </w:r>
      <w:r>
        <w:t>and</w:t>
      </w:r>
      <w:r w:rsidRPr="00C906AB">
        <w:t xml:space="preserve"> washed with </w:t>
      </w:r>
      <w:r>
        <w:t>MilliQ</w:t>
      </w:r>
      <w:r w:rsidRPr="00C906AB">
        <w:t xml:space="preserve"> to remove remnants from the culture media. </w:t>
      </w:r>
      <w:r>
        <w:t>Methanol was used to e</w:t>
      </w:r>
      <w:r w:rsidRPr="00C906AB">
        <w:t>lut</w:t>
      </w:r>
      <w:r>
        <w:t xml:space="preserve">e </w:t>
      </w:r>
      <w:r w:rsidRPr="00C906AB">
        <w:t xml:space="preserve">metabolites from the resin. Extraction of metabolites from the resin was repeated once and the extract dried under reduced pressure at 40 </w:t>
      </w:r>
      <w:r>
        <w:t>°</w:t>
      </w:r>
      <w:r w:rsidRPr="00C906AB">
        <w:t xml:space="preserve">C. The dried extracts were dissolved in DMSO and stored at -20 </w:t>
      </w:r>
      <w:r>
        <w:t>°</w:t>
      </w:r>
      <w:r w:rsidRPr="00C906AB">
        <w:t>C.</w:t>
      </w:r>
    </w:p>
    <w:p w14:paraId="3A9B5F02" w14:textId="77777777" w:rsidR="00B306CF" w:rsidRPr="00C906AB" w:rsidRDefault="00B306CF" w:rsidP="00B306CF">
      <w:pPr>
        <w:pStyle w:val="Newparagraph"/>
      </w:pPr>
      <w:r w:rsidRPr="00C906AB">
        <w:t>Liquid-</w:t>
      </w:r>
      <w:r>
        <w:t>l</w:t>
      </w:r>
      <w:r w:rsidRPr="00C906AB">
        <w:t>iquid</w:t>
      </w:r>
      <w:r>
        <w:t xml:space="preserve"> and liquid-solid</w:t>
      </w:r>
      <w:r w:rsidRPr="00C906AB">
        <w:t xml:space="preserve"> </w:t>
      </w:r>
      <w:r>
        <w:t xml:space="preserve">media </w:t>
      </w:r>
      <w:r w:rsidRPr="00C906AB">
        <w:t>extraction w</w:t>
      </w:r>
      <w:r>
        <w:t>as</w:t>
      </w:r>
      <w:r w:rsidRPr="00C906AB">
        <w:t xml:space="preserve"> performed using 1:1 ethyl acetate (EtOAc</w:t>
      </w:r>
      <w:r>
        <w:t xml:space="preserve"> - Sigma</w:t>
      </w:r>
      <w:r w:rsidRPr="00C906AB">
        <w:t xml:space="preserve">) </w:t>
      </w:r>
      <w:r>
        <w:t>and liquid or solid fermentation culture. The solid culture</w:t>
      </w:r>
      <w:r w:rsidRPr="00C906AB">
        <w:t xml:space="preserve"> was cut into pieces</w:t>
      </w:r>
      <w:r>
        <w:t xml:space="preserve"> in the culturing flasks before addition of EtOAc.</w:t>
      </w:r>
      <w:r w:rsidRPr="00C906AB">
        <w:t xml:space="preserve"> The </w:t>
      </w:r>
      <w:r>
        <w:t>fermentations of DPY, F1, AF, BRFT, Verm and MWM</w:t>
      </w:r>
      <w:r w:rsidRPr="00C906AB">
        <w:t xml:space="preserve"> was extracted two times</w:t>
      </w:r>
      <w:r>
        <w:t xml:space="preserve">, </w:t>
      </w:r>
      <w:r w:rsidRPr="00C906AB">
        <w:t>and the organic phase w</w:t>
      </w:r>
      <w:r>
        <w:t xml:space="preserve">as </w:t>
      </w:r>
      <w:r w:rsidRPr="00C906AB">
        <w:t>separated using a separation funnel</w:t>
      </w:r>
      <w:r>
        <w:t xml:space="preserve"> or filter before </w:t>
      </w:r>
      <w:r w:rsidRPr="00C906AB">
        <w:t xml:space="preserve">the organic phase was evaporated to dryness under reduced pressure at 40 </w:t>
      </w:r>
      <w:r>
        <w:t>°</w:t>
      </w:r>
      <w:r w:rsidRPr="00C906AB">
        <w:t xml:space="preserve">C. </w:t>
      </w:r>
    </w:p>
    <w:p w14:paraId="75989C27" w14:textId="77777777" w:rsidR="00B306CF" w:rsidRPr="00C906AB" w:rsidRDefault="00B306CF" w:rsidP="00B306CF">
      <w:pPr>
        <w:pStyle w:val="Heading3"/>
      </w:pPr>
      <w:r>
        <w:t>Flash chromatography</w:t>
      </w:r>
      <w:r w:rsidRPr="00C906AB">
        <w:t xml:space="preserve"> of extracts</w:t>
      </w:r>
    </w:p>
    <w:p w14:paraId="7AAB687E" w14:textId="77777777" w:rsidR="00B306CF" w:rsidRDefault="00B306CF" w:rsidP="00B306CF">
      <w:pPr>
        <w:pStyle w:val="Paragraph"/>
      </w:pPr>
      <w:r w:rsidRPr="00C906AB">
        <w:t xml:space="preserve">Extracts </w:t>
      </w:r>
      <w:r>
        <w:t xml:space="preserve">from both liquid and solid cultures </w:t>
      </w:r>
      <w:r w:rsidRPr="00C906AB">
        <w:t>were fractioned into eight fractions using reversed phase flash liquid chromatography. The dried extract</w:t>
      </w:r>
      <w:r>
        <w:t>s</w:t>
      </w:r>
      <w:r w:rsidRPr="00C906AB">
        <w:t xml:space="preserve"> were dissolved in </w:t>
      </w:r>
      <w:r>
        <w:t>90% MeOH and 2 g of Diaion</w:t>
      </w:r>
      <w:r w:rsidRPr="00C906AB">
        <w:t xml:space="preserve"> HP-20ss resin were added </w:t>
      </w:r>
      <w:r>
        <w:t>before it was</w:t>
      </w:r>
      <w:r w:rsidRPr="00C906AB">
        <w:t xml:space="preserve"> dried under reduced pressure. Fractionation</w:t>
      </w:r>
      <w:r>
        <w:t xml:space="preserve"> of the loaded resin</w:t>
      </w:r>
      <w:r w:rsidRPr="00C906AB">
        <w:t xml:space="preserve"> was performed using a Biotage SP4 system with </w:t>
      </w:r>
      <w:r>
        <w:t xml:space="preserve">a </w:t>
      </w:r>
      <w:r w:rsidRPr="00C906AB">
        <w:t>stepwise gradient of</w:t>
      </w:r>
      <w:r>
        <w:t xml:space="preserve"> MilliQ water to</w:t>
      </w:r>
      <w:r w:rsidRPr="00C906AB">
        <w:t xml:space="preserve"> MeOH </w:t>
      </w:r>
      <w:r>
        <w:t>followed by</w:t>
      </w:r>
      <w:r w:rsidRPr="00C906AB">
        <w:t xml:space="preserve"> MeOH:</w:t>
      </w:r>
      <w:r>
        <w:t>a</w:t>
      </w:r>
      <w:r w:rsidRPr="00C906AB">
        <w:t>cetone</w:t>
      </w:r>
      <w:r>
        <w:t xml:space="preserve"> (1:1)</w:t>
      </w:r>
      <w:r w:rsidRPr="00C906AB">
        <w:t xml:space="preserve"> to 100% Acetone. </w:t>
      </w:r>
      <w:r>
        <w:t>The eight resulting fractions were dried under reduced pressure. Fractions were then dissolved in DMSO and stored at -20 °C.</w:t>
      </w:r>
    </w:p>
    <w:p w14:paraId="1CD4B25F" w14:textId="77777777" w:rsidR="00B306CF" w:rsidRPr="00C906AB" w:rsidRDefault="00B306CF" w:rsidP="00B306CF">
      <w:pPr>
        <w:pStyle w:val="Heading3"/>
      </w:pPr>
      <w:r w:rsidRPr="00C906AB">
        <w:lastRenderedPageBreak/>
        <w:t>Mass spectrometry and dereplication</w:t>
      </w:r>
    </w:p>
    <w:p w14:paraId="26CB9F16" w14:textId="77777777" w:rsidR="00B306CF" w:rsidRPr="00EB5A3F" w:rsidRDefault="00B306CF" w:rsidP="00B306CF">
      <w:pPr>
        <w:pStyle w:val="Paragraph"/>
      </w:pPr>
      <w:r>
        <w:t>F</w:t>
      </w:r>
      <w:r w:rsidRPr="00C906AB">
        <w:t xml:space="preserve">ractions were diluted in methanol for analysis on an Acquity I-class UHPLC (Waters, Milford, MA, USA) coupled to a PDA detector and a Vion IMS QToF-MS (Waters). Separation of the samples was performed on an Acquity C-18 UPLC column (Waters). The separation gradient was 10-90 % </w:t>
      </w:r>
      <w:r>
        <w:t>MilliQ to a</w:t>
      </w:r>
      <w:r w:rsidRPr="00C906AB">
        <w:t xml:space="preserve">cetonitrile (HiPerSolv, VWR) with </w:t>
      </w:r>
      <w:r>
        <w:t>0.</w:t>
      </w:r>
      <w:r w:rsidRPr="00C906AB">
        <w:t>1 % formic acid (Sigma) during 12 min at a flow</w:t>
      </w:r>
      <w:r>
        <w:t xml:space="preserve"> </w:t>
      </w:r>
      <w:r w:rsidRPr="00C906AB">
        <w:t>rate of 0.45 mL/min</w:t>
      </w:r>
      <w:r>
        <w:t>.</w:t>
      </w:r>
      <w:r w:rsidRPr="00C906AB">
        <w:t xml:space="preserve"> Samples were run in ESI+ </w:t>
      </w:r>
      <w:r>
        <w:t xml:space="preserve">or ESI- </w:t>
      </w:r>
      <w:r w:rsidRPr="00C906AB">
        <w:t>mode</w:t>
      </w:r>
      <w:r>
        <w:t>, with the following settings: mass window 150-2000 Da</w:t>
      </w:r>
      <w:r w:rsidRPr="00BC05FC">
        <w:t xml:space="preserve">, capillary voltage </w:t>
      </w:r>
      <w:r>
        <w:t>0.8</w:t>
      </w:r>
      <w:r w:rsidRPr="00BC05FC">
        <w:t xml:space="preserve"> </w:t>
      </w:r>
      <w:r>
        <w:t>k</w:t>
      </w:r>
      <w:r w:rsidRPr="00BC05FC">
        <w:t xml:space="preserve">V, cone voltage </w:t>
      </w:r>
      <w:r>
        <w:t>30 V</w:t>
      </w:r>
      <w:r w:rsidRPr="00BC05FC">
        <w:t>,</w:t>
      </w:r>
      <w:r>
        <w:t xml:space="preserve"> Source offset 50V,</w:t>
      </w:r>
      <w:r w:rsidRPr="00BC05FC">
        <w:t xml:space="preserve"> source temperature </w:t>
      </w:r>
      <w:r>
        <w:t>120 °C</w:t>
      </w:r>
      <w:r w:rsidRPr="00BC05FC">
        <w:t>, desolvation-gas N</w:t>
      </w:r>
      <w:r w:rsidRPr="00BC05FC">
        <w:rPr>
          <w:vertAlign w:val="subscript"/>
        </w:rPr>
        <w:t>2</w:t>
      </w:r>
      <w:r w:rsidRPr="00BC05FC">
        <w:t xml:space="preserve">, desolvation-gas temperature </w:t>
      </w:r>
      <w:r>
        <w:t>350 °C</w:t>
      </w:r>
      <w:r w:rsidRPr="00BC05FC">
        <w:t xml:space="preserve">, desolvation-gas flow </w:t>
      </w:r>
      <w:r>
        <w:t>600 L/h</w:t>
      </w:r>
      <w:r w:rsidRPr="00BC05FC">
        <w:t xml:space="preserve">, </w:t>
      </w:r>
      <w:r>
        <w:t>cone gas</w:t>
      </w:r>
      <w:r w:rsidRPr="00BC05FC">
        <w:t xml:space="preserve"> flow rate </w:t>
      </w:r>
      <w:r>
        <w:t>50 L/h</w:t>
      </w:r>
      <w:r w:rsidRPr="00BC05FC">
        <w:t xml:space="preserve"> and a</w:t>
      </w:r>
      <w:r w:rsidRPr="00C906AB">
        <w:t xml:space="preserve">nalyzed using the software UNIFI </w:t>
      </w:r>
      <w:r>
        <w:t>v</w:t>
      </w:r>
      <w:r w:rsidRPr="00C906AB">
        <w:t>1.</w:t>
      </w:r>
      <w:r>
        <w:t>9</w:t>
      </w:r>
      <w:r w:rsidRPr="00C906AB">
        <w:t>.</w:t>
      </w:r>
      <w:r>
        <w:t>4</w:t>
      </w:r>
      <w:r w:rsidRPr="00C906AB">
        <w:t xml:space="preserve"> (Waters).</w:t>
      </w:r>
    </w:p>
    <w:p w14:paraId="6CA2C7C9" w14:textId="77777777" w:rsidR="00B306CF" w:rsidRDefault="00B306CF" w:rsidP="00B306CF">
      <w:pPr>
        <w:pStyle w:val="Heading2"/>
      </w:pPr>
      <w:r w:rsidRPr="00C906AB">
        <w:t>Bioactivity</w:t>
      </w:r>
    </w:p>
    <w:p w14:paraId="3BD75E16" w14:textId="77777777" w:rsidR="00B306CF" w:rsidRPr="004526E7" w:rsidRDefault="00B306CF" w:rsidP="00B306CF">
      <w:pPr>
        <w:pStyle w:val="Paragraph"/>
      </w:pPr>
      <w:r>
        <w:t xml:space="preserve">Bioactivity assays were performed as described in </w:t>
      </w:r>
      <w:r>
        <w:rPr>
          <w:noProof/>
        </w:rPr>
        <w:t>Lind et al. (2013)</w:t>
      </w:r>
      <w:r>
        <w:t xml:space="preserve">, </w:t>
      </w:r>
      <w:r>
        <w:rPr>
          <w:noProof/>
        </w:rPr>
        <w:t>Lauritano et al. (2016)</w:t>
      </w:r>
      <w:r>
        <w:t xml:space="preserve"> and </w:t>
      </w:r>
      <w:r>
        <w:rPr>
          <w:noProof/>
        </w:rPr>
        <w:t>Schneider et al. (2020)</w:t>
      </w:r>
      <w:r>
        <w:t>.</w:t>
      </w:r>
    </w:p>
    <w:p w14:paraId="50413367" w14:textId="77777777" w:rsidR="00B306CF" w:rsidRPr="00C906AB" w:rsidRDefault="00B306CF" w:rsidP="00B306CF">
      <w:pPr>
        <w:pStyle w:val="Heading3"/>
      </w:pPr>
      <w:r w:rsidRPr="00C906AB">
        <w:t>Growth inhibition assay</w:t>
      </w:r>
    </w:p>
    <w:p w14:paraId="705DE635" w14:textId="77777777" w:rsidR="00B306CF" w:rsidRPr="00C906AB" w:rsidRDefault="00B306CF" w:rsidP="00B306CF">
      <w:pPr>
        <w:pStyle w:val="Paragraph"/>
      </w:pPr>
      <w:r>
        <w:t xml:space="preserve">Briefly, the human pathogens </w:t>
      </w:r>
      <w:r w:rsidRPr="00C906AB">
        <w:rPr>
          <w:i/>
        </w:rPr>
        <w:t xml:space="preserve">Staphylococcus aureus </w:t>
      </w:r>
      <w:r w:rsidRPr="00C906AB">
        <w:t xml:space="preserve">(ATCC 25923), </w:t>
      </w:r>
      <w:r w:rsidRPr="00C906AB">
        <w:rPr>
          <w:i/>
        </w:rPr>
        <w:t>Escherichia coli</w:t>
      </w:r>
      <w:r w:rsidRPr="00C906AB">
        <w:t xml:space="preserve"> (ATCC 259233) and </w:t>
      </w:r>
      <w:r w:rsidRPr="00C906AB">
        <w:rPr>
          <w:i/>
        </w:rPr>
        <w:t>Pseudomonas aeruginosa</w:t>
      </w:r>
      <w:r w:rsidRPr="00C906AB">
        <w:t xml:space="preserve"> (ATCC 27853) </w:t>
      </w:r>
      <w:r>
        <w:t>from</w:t>
      </w:r>
      <w:r w:rsidRPr="00C906AB">
        <w:t xml:space="preserve"> </w:t>
      </w:r>
      <w:r>
        <w:t>precultures in</w:t>
      </w:r>
      <w:r w:rsidRPr="00C906AB">
        <w:t xml:space="preserve"> Muller Hinto</w:t>
      </w:r>
      <w:r>
        <w:t>n Broth (MH</w:t>
      </w:r>
      <w:r w:rsidRPr="00C906AB">
        <w:t xml:space="preserve">, Becton, Dickinson and Company) and </w:t>
      </w:r>
      <w:r w:rsidRPr="00C906AB">
        <w:rPr>
          <w:i/>
        </w:rPr>
        <w:t>Enterococcus faecalis</w:t>
      </w:r>
      <w:r w:rsidRPr="00C906AB">
        <w:t xml:space="preserve"> (ATCC 29122) and </w:t>
      </w:r>
      <w:r w:rsidRPr="00C906AB">
        <w:rPr>
          <w:i/>
        </w:rPr>
        <w:t>Streptococcus agalactiae</w:t>
      </w:r>
      <w:r w:rsidRPr="00C906AB">
        <w:t xml:space="preserve"> (ATCC 12386) </w:t>
      </w:r>
      <w:r>
        <w:t>from precultures in</w:t>
      </w:r>
      <w:r w:rsidRPr="00C906AB">
        <w:t xml:space="preserve"> Brain Heart Infusion Broth (BHI, Sigma-Aldrich)</w:t>
      </w:r>
      <w:r>
        <w:t xml:space="preserve"> were grown to</w:t>
      </w:r>
      <w:r w:rsidRPr="00C906AB">
        <w:t xml:space="preserve"> exponential growth phase, </w:t>
      </w:r>
      <w:r>
        <w:t>and a</w:t>
      </w:r>
      <w:r w:rsidRPr="00C906AB">
        <w:t xml:space="preserve"> total of 1500-15000 CFU were added to each well of a 96-well plate (Nunclon, Thermo Scientific) with a total volume of 100 µL/well. Flash fractions were added to the wells with a final concentration of 100 µg/mL. The plates were incubated at 37 </w:t>
      </w:r>
      <w:r>
        <w:t>°</w:t>
      </w:r>
      <w:r w:rsidRPr="00C906AB">
        <w:t xml:space="preserve">C overnight before </w:t>
      </w:r>
      <w:r>
        <w:t>measuring</w:t>
      </w:r>
      <w:r w:rsidRPr="00C906AB">
        <w:t xml:space="preserve"> the absorbance at 600 nm with a 1420 Multilabel Counter Victor</w:t>
      </w:r>
      <w:r w:rsidRPr="00C906AB">
        <w:rPr>
          <w:vertAlign w:val="superscript"/>
        </w:rPr>
        <w:t>3</w:t>
      </w:r>
      <w:r w:rsidRPr="00C906AB">
        <w:t xml:space="preserve">™ (Perkin Elmer, Waltham, MA, USA). Bacterial suspension </w:t>
      </w:r>
      <w:r w:rsidRPr="00C906AB">
        <w:lastRenderedPageBreak/>
        <w:t xml:space="preserve">diluted with MilliQ (1:1) acted as growth control, growth medium without bacteria as negative growth control. A dilution series of gentamycin </w:t>
      </w:r>
      <w:r>
        <w:t>was</w:t>
      </w:r>
      <w:r w:rsidRPr="00C906AB">
        <w:t xml:space="preserve"> used as </w:t>
      </w:r>
      <w:r>
        <w:t xml:space="preserve">a </w:t>
      </w:r>
      <w:r w:rsidRPr="00C906AB">
        <w:t>positive assay control. Active fractions were tested at a serial dilution from 100 to 0.8 µg/mL.</w:t>
      </w:r>
    </w:p>
    <w:p w14:paraId="5D557FC1" w14:textId="77777777" w:rsidR="00B306CF" w:rsidRPr="00C906AB" w:rsidRDefault="00B306CF" w:rsidP="00B306CF">
      <w:pPr>
        <w:pStyle w:val="Heading3"/>
      </w:pPr>
      <w:r w:rsidRPr="00C906AB">
        <w:t>Biofilm inhibition assay</w:t>
      </w:r>
    </w:p>
    <w:p w14:paraId="3412FCBC" w14:textId="77777777" w:rsidR="00B306CF" w:rsidRDefault="00B306CF" w:rsidP="00B306CF">
      <w:pPr>
        <w:pStyle w:val="Paragraph"/>
      </w:pPr>
      <w:r w:rsidRPr="00E12DAA">
        <w:t xml:space="preserve">To test for biofilm </w:t>
      </w:r>
      <w:r>
        <w:t xml:space="preserve">formation </w:t>
      </w:r>
      <w:r w:rsidRPr="00E12DAA">
        <w:t>inhibition,</w:t>
      </w:r>
      <w:r>
        <w:t xml:space="preserve"> a </w:t>
      </w:r>
      <w:r w:rsidRPr="00C906AB">
        <w:t>Tryptic Soy Broth</w:t>
      </w:r>
      <w:r>
        <w:t xml:space="preserve"> </w:t>
      </w:r>
      <w:r w:rsidRPr="00C906AB">
        <w:t xml:space="preserve">(TSB, Merck, Kenilworth, NJ, USA) </w:t>
      </w:r>
      <w:r>
        <w:t>preculture</w:t>
      </w:r>
      <w:r w:rsidRPr="00C906AB">
        <w:t xml:space="preserve"> </w:t>
      </w:r>
      <w:r>
        <w:t>of</w:t>
      </w:r>
      <w:r>
        <w:rPr>
          <w:i/>
        </w:rPr>
        <w:t xml:space="preserve"> </w:t>
      </w:r>
      <w:r w:rsidRPr="00C906AB">
        <w:rPr>
          <w:i/>
        </w:rPr>
        <w:t>Staphylococcus epidermidis</w:t>
      </w:r>
      <w:r w:rsidRPr="00C906AB">
        <w:t xml:space="preserve"> (ATCC 35984) was diluted in media containing 1</w:t>
      </w:r>
      <w:r>
        <w:t xml:space="preserve"> </w:t>
      </w:r>
      <w:r w:rsidRPr="00C906AB">
        <w:t xml:space="preserve">% glucose before being transferred to a 96-well microtiter plate at 50 µL/well. </w:t>
      </w:r>
      <w:r>
        <w:t xml:space="preserve">Fifty microliters </w:t>
      </w:r>
      <w:r w:rsidRPr="00C906AB">
        <w:t>of each flash fraction were added to separate well</w:t>
      </w:r>
      <w:r>
        <w:t>s</w:t>
      </w:r>
      <w:r w:rsidRPr="00C906AB">
        <w:t xml:space="preserve"> and incubated overnight. The bacteria were then removed and the plate washed in tap water. </w:t>
      </w:r>
      <w:r>
        <w:t>The</w:t>
      </w:r>
      <w:r w:rsidRPr="00C906AB">
        <w:t xml:space="preserve"> biofilm was </w:t>
      </w:r>
      <w:r>
        <w:t>fixed</w:t>
      </w:r>
      <w:r w:rsidRPr="00C906AB">
        <w:t xml:space="preserve"> before crystal violet was added to the wells followed by a 10 min incubation. Excess crystal violet solution was removed and the plat</w:t>
      </w:r>
      <w:r>
        <w:t>e was dried,</w:t>
      </w:r>
      <w:r w:rsidRPr="00C906AB">
        <w:t xml:space="preserve"> </w:t>
      </w:r>
      <w:r>
        <w:t>t</w:t>
      </w:r>
      <w:r w:rsidRPr="00C906AB">
        <w:t xml:space="preserve">hen 70 % EtOH was added and the plate incubated on a shaker for 10 min. To assess biofilm inhibition absorbance at 600 nm </w:t>
      </w:r>
      <w:r>
        <w:t xml:space="preserve">(OD600) </w:t>
      </w:r>
      <w:r w:rsidRPr="00C906AB">
        <w:t xml:space="preserve">was detected using a </w:t>
      </w:r>
      <w:r>
        <w:t>1420 Multilabel Counter Victor3</w:t>
      </w:r>
      <w:r w:rsidRPr="00C906AB">
        <w:t xml:space="preserve"> plate reader. </w:t>
      </w:r>
      <w:r w:rsidRPr="00C906AB">
        <w:rPr>
          <w:i/>
        </w:rPr>
        <w:t>S</w:t>
      </w:r>
      <w:r>
        <w:rPr>
          <w:i/>
        </w:rPr>
        <w:t>.</w:t>
      </w:r>
      <w:r w:rsidRPr="00C906AB">
        <w:rPr>
          <w:i/>
        </w:rPr>
        <w:t xml:space="preserve"> haemolyticus </w:t>
      </w:r>
      <w:r w:rsidRPr="00C906AB">
        <w:t>(clinical isolate 8-7A, University hospital, UNN, Tromsø, Norway), a non-biofilm forming clinical isolate, was used as a control and 50 µL TSB with Milli-Q (1:1) was used as media blank control.</w:t>
      </w:r>
      <w:r w:rsidRPr="001A4A16">
        <w:t xml:space="preserve"> </w:t>
      </w:r>
      <w:r>
        <w:t>If the compounds tested inhibited bacterial growth such that the bacterial suspension was clear before removal, this was noted as bacterial inhibition rather than antibiofilm activity.</w:t>
      </w:r>
    </w:p>
    <w:p w14:paraId="5776882B" w14:textId="77777777" w:rsidR="00B306CF" w:rsidRPr="00505A43" w:rsidRDefault="00B306CF" w:rsidP="00B306CF">
      <w:pPr>
        <w:pStyle w:val="Newparagraph"/>
      </w:pPr>
      <w:r>
        <w:t xml:space="preserve">Removal of established biofilm was tested in a similar way as described above. </w:t>
      </w:r>
      <w:r w:rsidRPr="00505A43">
        <w:rPr>
          <w:i/>
        </w:rPr>
        <w:t>S</w:t>
      </w:r>
      <w:r w:rsidRPr="00C906AB">
        <w:rPr>
          <w:i/>
        </w:rPr>
        <w:t>taphylococcus</w:t>
      </w:r>
      <w:r w:rsidRPr="00505A43">
        <w:rPr>
          <w:i/>
        </w:rPr>
        <w:t xml:space="preserve"> epidermidis</w:t>
      </w:r>
      <w:r w:rsidRPr="00505A43">
        <w:t xml:space="preserve"> (ATCC 35984)</w:t>
      </w:r>
      <w:r>
        <w:t xml:space="preserve"> was incubated in TSB with 1 % glucose overnight at 37 °C. The next day the bacterial suspension was removed and washed carefully with PBS before the sample was added. After one day of incubation, the sample was removed and the biofilm was colored using crystal violet. The OD600 was measured using 1420 Multilabel Counter Victor3</w:t>
      </w:r>
      <w:r w:rsidRPr="00C906AB">
        <w:t xml:space="preserve"> plate reader</w:t>
      </w:r>
      <w:r>
        <w:t xml:space="preserve">. </w:t>
      </w:r>
      <w:r w:rsidRPr="00505A43">
        <w:rPr>
          <w:i/>
        </w:rPr>
        <w:t>S. haemolyticus</w:t>
      </w:r>
      <w:r>
        <w:t xml:space="preserve"> was used as a non-biofilm producing bacterial control.</w:t>
      </w:r>
    </w:p>
    <w:p w14:paraId="7952CB95" w14:textId="77777777" w:rsidR="00B306CF" w:rsidRPr="00C906AB" w:rsidRDefault="00B306CF" w:rsidP="00B306CF">
      <w:pPr>
        <w:pStyle w:val="Heading3"/>
      </w:pPr>
      <w:r>
        <w:lastRenderedPageBreak/>
        <w:t>Cell proliferation</w:t>
      </w:r>
      <w:r w:rsidRPr="00C906AB">
        <w:t xml:space="preserve"> assay</w:t>
      </w:r>
    </w:p>
    <w:p w14:paraId="78591DE5" w14:textId="77777777" w:rsidR="00B306CF" w:rsidRDefault="00B306CF" w:rsidP="00B306CF">
      <w:pPr>
        <w:pStyle w:val="Paragraph"/>
      </w:pPr>
      <w:r w:rsidRPr="00C906AB">
        <w:t xml:space="preserve">Toxicity of the fractions were assessed using a cell viability assay. Fractions were tested </w:t>
      </w:r>
      <w:r>
        <w:t xml:space="preserve">at </w:t>
      </w:r>
      <w:r w:rsidRPr="00C906AB">
        <w:t xml:space="preserve">50 µg/mL </w:t>
      </w:r>
      <w:r>
        <w:t xml:space="preserve">final concentration </w:t>
      </w:r>
      <w:r w:rsidRPr="00C906AB">
        <w:t>in a</w:t>
      </w:r>
      <w:r>
        <w:t>n</w:t>
      </w:r>
      <w:r w:rsidRPr="00C906AB">
        <w:t xml:space="preserve"> MTS (3-(4,5-dimethylthiazol-2-yl)-5-(3-carboxymethoxyphenyl)-2-(4-sulfophenyl)-2H-tetrazolium) </w:t>
      </w:r>
      <w:r w:rsidRPr="00BA3230">
        <w:rPr>
          <w:i/>
        </w:rPr>
        <w:t>in vitro</w:t>
      </w:r>
      <w:r w:rsidRPr="00C906AB">
        <w:t xml:space="preserve"> cell proliferation assay against A2058 human melanoma cancer cell line (ATCC CRL-11147).</w:t>
      </w:r>
      <w:r>
        <w:t xml:space="preserve"> Final measurement of </w:t>
      </w:r>
      <w:r w:rsidRPr="00C906AB">
        <w:t xml:space="preserve">absorbance at 485 nm was </w:t>
      </w:r>
      <w:r>
        <w:t>performed on</w:t>
      </w:r>
      <w:r w:rsidRPr="00C906AB">
        <w:t xml:space="preserve"> a DTX 880 multimode detector (Beckman Coulter) and cell viability was calculated. </w:t>
      </w:r>
      <w:r>
        <w:t>Growth media</w:t>
      </w:r>
      <w:r w:rsidRPr="00C906AB">
        <w:t xml:space="preserve"> with and without </w:t>
      </w:r>
      <w:r>
        <w:t>10</w:t>
      </w:r>
      <w:r w:rsidRPr="00C906AB">
        <w:t xml:space="preserve"> % </w:t>
      </w:r>
      <w:r>
        <w:t xml:space="preserve">DMSO </w:t>
      </w:r>
      <w:r w:rsidRPr="00C906AB">
        <w:t>was used as positive and negative control respectively.</w:t>
      </w:r>
    </w:p>
    <w:p w14:paraId="0DDCC352" w14:textId="77777777" w:rsidR="00B306CF" w:rsidRDefault="00B306CF" w:rsidP="00B306CF">
      <w:pPr>
        <w:pStyle w:val="Heading3"/>
      </w:pPr>
      <w:r>
        <w:t>Anti-inflammatory and immunostimulatory assay</w:t>
      </w:r>
    </w:p>
    <w:p w14:paraId="693DCE45" w14:textId="77777777" w:rsidR="00B306CF" w:rsidRDefault="00B306CF" w:rsidP="00B306CF">
      <w:pPr>
        <w:pStyle w:val="Newparagraph"/>
        <w:ind w:firstLine="0"/>
      </w:pPr>
      <w:r>
        <w:t xml:space="preserve">Anti-inflammatory: Prepared THP-1 cells (ATCC </w:t>
      </w:r>
      <w:r w:rsidRPr="00F72440">
        <w:t>TIB-202</w:t>
      </w:r>
      <w:r>
        <w:t xml:space="preserve">) was seeded in 96-well plates at </w:t>
      </w:r>
      <w:r w:rsidRPr="00B445C4">
        <w:t>10</w:t>
      </w:r>
      <w:r w:rsidRPr="00B445C4">
        <w:rPr>
          <w:vertAlign w:val="superscript"/>
        </w:rPr>
        <w:t>6</w:t>
      </w:r>
      <w:r>
        <w:t xml:space="preserve"> cells/ml </w:t>
      </w:r>
      <w:r w:rsidRPr="00B445C4">
        <w:t>and</w:t>
      </w:r>
      <w:r>
        <w:t xml:space="preserve"> incubated for 48 h. The cells were checked and fresh media added, followed by 24 h incubation. Then, fresh media and 10 µL of sample (100 µg/mL final concentration) was added to each well. After 1 h of incubation 1 ng/mL of LPS (final concentration, Sigma) was added, followed by a 6 h incubation at 37 ºC. The reaction was stopped by freezing the plates at -80 °C immediately after incubation in preparation of </w:t>
      </w:r>
      <w:r w:rsidRPr="0020690B">
        <w:t>Enzyme-linked immunosorbent assay (ELISA)</w:t>
      </w:r>
      <w:r>
        <w:t xml:space="preserve"> assay. Positive and cell control is with and without LPS addition, respectively.</w:t>
      </w:r>
    </w:p>
    <w:p w14:paraId="031F10BA" w14:textId="77777777" w:rsidR="00B306CF" w:rsidRDefault="00B306CF" w:rsidP="00B306CF">
      <w:pPr>
        <w:pStyle w:val="Newparagraph"/>
      </w:pPr>
      <w:r>
        <w:t xml:space="preserve">Immunostimulatory: This assay generally followed the exact same procedure as the anti-inflammatory assay, except after cell differentiation 90 </w:t>
      </w:r>
      <w:r w:rsidRPr="00F17864">
        <w:t xml:space="preserve">µL fresh media and 10 µL of sample </w:t>
      </w:r>
      <w:r w:rsidRPr="00C81B4B">
        <w:t>(</w:t>
      </w:r>
      <w:r>
        <w:t>10</w:t>
      </w:r>
      <w:r w:rsidRPr="00C81B4B">
        <w:t>0 µg/mL final concentration)</w:t>
      </w:r>
      <w:r>
        <w:t xml:space="preserve"> </w:t>
      </w:r>
      <w:r w:rsidRPr="00F17864">
        <w:t>was added to each well</w:t>
      </w:r>
      <w:r>
        <w:t xml:space="preserve"> (omitting LPS addition). </w:t>
      </w:r>
      <w:r w:rsidRPr="00CA1795">
        <w:t>The reaction was stopped by freezing the plates at -80 °C immediately after incubation in preparation of</w:t>
      </w:r>
      <w:r>
        <w:t xml:space="preserve"> </w:t>
      </w:r>
      <w:r w:rsidRPr="00CA1795">
        <w:t xml:space="preserve">ELISA. </w:t>
      </w:r>
      <w:r>
        <w:t>Positive and cell control is with and without LPS addition, respectively.</w:t>
      </w:r>
    </w:p>
    <w:p w14:paraId="59D15303" w14:textId="77777777" w:rsidR="00B306CF" w:rsidRDefault="00B306CF" w:rsidP="00B306CF">
      <w:pPr>
        <w:pStyle w:val="Newparagraph"/>
      </w:pPr>
      <w:r>
        <w:lastRenderedPageBreak/>
        <w:t>The secretion of TNFα was measured using ELISA. Between each of the following steps, the plates were washed with washing buffer (TBS with 0.05 % Tween-20, Sigma). All incubations were performed in room temperature in a shaking incubator. Samples were diluted 1:20 using assay diluent (Tris buffered saline - TBS with 1 % BSA) in the plate and a TNFα-standard dilution series was added to a prepared plate before incubation for 2 h. Biotin coupled anti-human antibody was added to each well followed by a 1 h incubation before diluted ExtrAvidin-Alkaline Phosphatease (Sigma) was added followed by 30 min incubation. Finally, 100 µL pNPP substrate (Sigma, 1 M dietanolamin, pH 9.8) was added to each well, incubated for 45 min and the plates were read in DTX 880 plate reader at 405 nm.</w:t>
      </w:r>
    </w:p>
    <w:sectPr w:rsidR="00B306CF" w:rsidSect="00B306CF">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DAEA7" w14:textId="77777777" w:rsidR="00B306CF" w:rsidRDefault="00B306CF" w:rsidP="00B306CF">
      <w:pPr>
        <w:spacing w:after="0" w:line="240" w:lineRule="auto"/>
      </w:pPr>
      <w:r>
        <w:separator/>
      </w:r>
    </w:p>
  </w:endnote>
  <w:endnote w:type="continuationSeparator" w:id="0">
    <w:p w14:paraId="4F907033" w14:textId="77777777" w:rsidR="00B306CF" w:rsidRDefault="00B306CF" w:rsidP="00B30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C808B" w14:textId="77777777" w:rsidR="00B306CF" w:rsidRDefault="00B306CF" w:rsidP="00B306CF">
      <w:pPr>
        <w:spacing w:after="0" w:line="240" w:lineRule="auto"/>
      </w:pPr>
      <w:r>
        <w:separator/>
      </w:r>
    </w:p>
  </w:footnote>
  <w:footnote w:type="continuationSeparator" w:id="0">
    <w:p w14:paraId="0F5F69B7" w14:textId="77777777" w:rsidR="00B306CF" w:rsidRDefault="00B306CF" w:rsidP="00B306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9EE"/>
    <w:rsid w:val="0001297C"/>
    <w:rsid w:val="00197A41"/>
    <w:rsid w:val="002572C3"/>
    <w:rsid w:val="00337757"/>
    <w:rsid w:val="004161D5"/>
    <w:rsid w:val="00430673"/>
    <w:rsid w:val="0043746B"/>
    <w:rsid w:val="004E6235"/>
    <w:rsid w:val="005E0397"/>
    <w:rsid w:val="005F5D13"/>
    <w:rsid w:val="006A3CAB"/>
    <w:rsid w:val="006A65F0"/>
    <w:rsid w:val="006C7FEB"/>
    <w:rsid w:val="007C54CC"/>
    <w:rsid w:val="00800B46"/>
    <w:rsid w:val="008C66D9"/>
    <w:rsid w:val="009F29EE"/>
    <w:rsid w:val="00A33805"/>
    <w:rsid w:val="00AB3C0F"/>
    <w:rsid w:val="00B306CF"/>
    <w:rsid w:val="00B727CF"/>
    <w:rsid w:val="00BA50F6"/>
    <w:rsid w:val="00C57047"/>
    <w:rsid w:val="00CE401E"/>
    <w:rsid w:val="00E00DFA"/>
    <w:rsid w:val="00F240F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B06C11"/>
  <w15:chartTrackingRefBased/>
  <w15:docId w15:val="{925F3658-0117-4E5C-A1EE-6124393C2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link w:val="Heading1Char"/>
    <w:uiPriority w:val="9"/>
    <w:qFormat/>
    <w:rsid w:val="00B306CF"/>
    <w:pPr>
      <w:keepNext/>
      <w:keepLines/>
      <w:spacing w:before="240" w:after="0"/>
      <w:outlineLvl w:val="0"/>
    </w:pPr>
    <w:rPr>
      <w:rFonts w:asciiTheme="majorHAnsi" w:eastAsiaTheme="majorEastAsia" w:hAnsiTheme="majorHAnsi" w:cs="Times New Roman"/>
      <w:color w:val="2E74B5" w:themeColor="accent1" w:themeShade="BF"/>
      <w:sz w:val="32"/>
      <w:szCs w:val="32"/>
    </w:rPr>
  </w:style>
  <w:style w:type="paragraph" w:styleId="Heading2">
    <w:name w:val="heading 2"/>
    <w:basedOn w:val="Normal"/>
    <w:next w:val="Normal"/>
    <w:link w:val="Heading2Char"/>
    <w:uiPriority w:val="9"/>
    <w:semiHidden/>
    <w:unhideWhenUsed/>
    <w:qFormat/>
    <w:rsid w:val="00B306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306C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6CF"/>
    <w:rPr>
      <w:rFonts w:asciiTheme="majorHAnsi" w:eastAsiaTheme="majorEastAsia" w:hAnsiTheme="majorHAnsi" w:cs="Times New Roman"/>
      <w:color w:val="2E74B5" w:themeColor="accent1" w:themeShade="BF"/>
      <w:sz w:val="32"/>
      <w:szCs w:val="32"/>
      <w:lang w:val="en-US"/>
    </w:rPr>
  </w:style>
  <w:style w:type="character" w:customStyle="1" w:styleId="Heading2Char">
    <w:name w:val="Heading 2 Char"/>
    <w:basedOn w:val="DefaultParagraphFont"/>
    <w:link w:val="Heading2"/>
    <w:uiPriority w:val="9"/>
    <w:semiHidden/>
    <w:rsid w:val="00B306CF"/>
    <w:rPr>
      <w:rFonts w:asciiTheme="majorHAnsi" w:eastAsiaTheme="majorEastAsia" w:hAnsiTheme="majorHAnsi" w:cstheme="majorBidi"/>
      <w:color w:val="2E74B5" w:themeColor="accent1" w:themeShade="BF"/>
      <w:sz w:val="26"/>
      <w:szCs w:val="26"/>
      <w:lang w:val="en-US"/>
    </w:rPr>
  </w:style>
  <w:style w:type="paragraph" w:customStyle="1" w:styleId="Tabletitle">
    <w:name w:val="Table title"/>
    <w:basedOn w:val="Normal"/>
    <w:next w:val="Normal"/>
    <w:qFormat/>
    <w:rsid w:val="00B306CF"/>
    <w:pPr>
      <w:spacing w:before="240" w:after="0" w:line="360" w:lineRule="auto"/>
    </w:pPr>
    <w:rPr>
      <w:rFonts w:ascii="Times New Roman" w:eastAsia="Times New Roman" w:hAnsi="Times New Roman" w:cs="Times New Roman"/>
      <w:sz w:val="24"/>
      <w:szCs w:val="24"/>
      <w:lang w:eastAsia="en-GB"/>
    </w:rPr>
  </w:style>
  <w:style w:type="paragraph" w:customStyle="1" w:styleId="Paragraph">
    <w:name w:val="Paragraph"/>
    <w:basedOn w:val="Normal"/>
    <w:next w:val="Newparagraph"/>
    <w:link w:val="ParagraphChar"/>
    <w:qFormat/>
    <w:rsid w:val="00B306CF"/>
    <w:pPr>
      <w:widowControl w:val="0"/>
      <w:spacing w:before="240" w:after="0" w:line="480" w:lineRule="auto"/>
    </w:pPr>
    <w:rPr>
      <w:rFonts w:ascii="Times New Roman" w:eastAsia="Times New Roman" w:hAnsi="Times New Roman" w:cs="Times New Roman"/>
      <w:sz w:val="24"/>
      <w:szCs w:val="24"/>
      <w:lang w:eastAsia="en-GB"/>
    </w:rPr>
  </w:style>
  <w:style w:type="paragraph" w:customStyle="1" w:styleId="Newparagraph">
    <w:name w:val="New paragraph"/>
    <w:basedOn w:val="Normal"/>
    <w:qFormat/>
    <w:rsid w:val="00B306CF"/>
    <w:pPr>
      <w:spacing w:after="0" w:line="480" w:lineRule="auto"/>
      <w:ind w:firstLine="720"/>
    </w:pPr>
    <w:rPr>
      <w:rFonts w:ascii="Times New Roman" w:eastAsia="Times New Roman" w:hAnsi="Times New Roman" w:cs="Times New Roman"/>
      <w:sz w:val="24"/>
      <w:szCs w:val="24"/>
      <w:lang w:eastAsia="en-GB"/>
    </w:rPr>
  </w:style>
  <w:style w:type="character" w:customStyle="1" w:styleId="ParagraphChar">
    <w:name w:val="Paragraph Char"/>
    <w:basedOn w:val="DefaultParagraphFont"/>
    <w:link w:val="Paragraph"/>
    <w:rsid w:val="00B306CF"/>
    <w:rPr>
      <w:rFonts w:ascii="Times New Roman" w:eastAsia="Times New Roman" w:hAnsi="Times New Roman" w:cs="Times New Roman"/>
      <w:sz w:val="24"/>
      <w:szCs w:val="24"/>
      <w:lang w:val="en-US" w:eastAsia="en-GB"/>
    </w:rPr>
  </w:style>
  <w:style w:type="character" w:customStyle="1" w:styleId="Heading3Char">
    <w:name w:val="Heading 3 Char"/>
    <w:basedOn w:val="DefaultParagraphFont"/>
    <w:link w:val="Heading3"/>
    <w:uiPriority w:val="9"/>
    <w:semiHidden/>
    <w:rsid w:val="00B306CF"/>
    <w:rPr>
      <w:rFonts w:asciiTheme="majorHAnsi" w:eastAsiaTheme="majorEastAsia" w:hAnsiTheme="majorHAnsi" w:cstheme="majorBidi"/>
      <w:color w:val="1F4D78" w:themeColor="accent1" w:themeShade="7F"/>
      <w:sz w:val="24"/>
      <w:szCs w:val="24"/>
      <w:lang w:val="en-US"/>
    </w:rPr>
  </w:style>
  <w:style w:type="paragraph" w:styleId="Title">
    <w:name w:val="Title"/>
    <w:basedOn w:val="Normal"/>
    <w:next w:val="Normal"/>
    <w:link w:val="TitleChar"/>
    <w:uiPriority w:val="10"/>
    <w:qFormat/>
    <w:rsid w:val="00B306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6CF"/>
    <w:rPr>
      <w:rFonts w:asciiTheme="majorHAnsi" w:eastAsiaTheme="majorEastAsia" w:hAnsiTheme="majorHAnsi" w:cstheme="majorBidi"/>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1931</Words>
  <Characters>11013</Characters>
  <Application>Microsoft Office Word</Application>
  <DocSecurity>0</DocSecurity>
  <Lines>91</Lines>
  <Paragraphs>25</Paragraphs>
  <ScaleCrop>false</ScaleCrop>
  <Company>UiT Norges arktiske universitet</Company>
  <LinksUpToDate>false</LinksUpToDate>
  <CharactersWithSpaces>12919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 Christian Hagestad</dc:creator>
  <cp:keywords/>
  <dc:description/>
  <cp:lastModifiedBy>Ole Christian Hagestad</cp:lastModifiedBy>
  <cp:revision>4</cp:revision>
  <dcterms:created xsi:type="dcterms:W3CDTF">2021-05-11T14:54:00Z</dcterms:created>
  <dcterms:modified xsi:type="dcterms:W3CDTF">2021-06-30T14:17:00Z</dcterms:modified>
</cp:coreProperties>
</file>