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03FAF" w14:textId="01BE7EF3" w:rsidR="00D67D5C" w:rsidRPr="004348D9" w:rsidRDefault="00D67D5C" w:rsidP="00D67D5C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2B5EE6">
        <w:rPr>
          <w:rFonts w:ascii="Arial" w:hAnsi="Arial" w:cs="Arial"/>
          <w:color w:val="000000" w:themeColor="text1"/>
          <w:sz w:val="24"/>
          <w:szCs w:val="24"/>
          <w:highlight w:val="yellow"/>
          <w:lang w:val="en-US"/>
        </w:rPr>
        <w:t xml:space="preserve">Supplementary </w:t>
      </w:r>
      <w:r w:rsidRPr="00684AA1">
        <w:rPr>
          <w:rFonts w:ascii="Arial" w:hAnsi="Arial" w:cs="Arial"/>
          <w:sz w:val="24"/>
          <w:szCs w:val="24"/>
          <w:highlight w:val="yellow"/>
          <w:lang w:val="en-US"/>
        </w:rPr>
        <w:t>Material S</w:t>
      </w:r>
      <w:r w:rsidRPr="002B5EE6">
        <w:rPr>
          <w:rFonts w:ascii="Arial" w:hAnsi="Arial" w:cs="Arial"/>
          <w:color w:val="000000" w:themeColor="text1"/>
          <w:sz w:val="24"/>
          <w:szCs w:val="24"/>
          <w:highlight w:val="yellow"/>
          <w:lang w:val="en-US"/>
        </w:rPr>
        <w:t>2</w:t>
      </w:r>
      <w:r w:rsidRPr="004348D9">
        <w:rPr>
          <w:rFonts w:ascii="Arial" w:hAnsi="Arial" w:cs="Arial"/>
          <w:sz w:val="24"/>
          <w:szCs w:val="24"/>
          <w:lang w:val="en-US"/>
        </w:rPr>
        <w:t xml:space="preserve">. Changes in the total contents of soluble polyphenols (TSPC), </w:t>
      </w:r>
      <w:r w:rsidRPr="004348D9">
        <w:rPr>
          <w:rFonts w:ascii="Arial" w:hAnsi="Arial" w:cs="Arial"/>
          <w:sz w:val="24"/>
          <w:szCs w:val="24"/>
          <w:shd w:val="clear" w:color="auto" w:fill="FFFCF0"/>
          <w:lang w:val="en-US"/>
        </w:rPr>
        <w:t>p</w:t>
      </w:r>
      <w:r w:rsidRPr="004348D9">
        <w:rPr>
          <w:rFonts w:ascii="Arial" w:hAnsi="Arial" w:cs="Arial"/>
          <w:sz w:val="24"/>
          <w:szCs w:val="24"/>
          <w:lang w:val="en-US"/>
        </w:rPr>
        <w:t xml:space="preserve">hlorotannins (PhT), and antioxidant capacity (DPPH and ORAC methods) of seaweed-based matrices (CE, MS and SS) after </w:t>
      </w:r>
      <w:r w:rsidRPr="004348D9">
        <w:rPr>
          <w:rFonts w:ascii="Arial" w:hAnsi="Arial" w:cs="Arial"/>
          <w:i/>
          <w:iCs/>
          <w:sz w:val="24"/>
          <w:szCs w:val="24"/>
          <w:lang w:val="en-US"/>
        </w:rPr>
        <w:t>in vitro</w:t>
      </w:r>
      <w:r w:rsidRPr="004348D9">
        <w:rPr>
          <w:rFonts w:ascii="Arial" w:hAnsi="Arial" w:cs="Arial"/>
          <w:sz w:val="24"/>
          <w:szCs w:val="24"/>
          <w:lang w:val="en-US"/>
        </w:rPr>
        <w:t xml:space="preserve"> gastrointestinal digestion </w:t>
      </w:r>
    </w:p>
    <w:tbl>
      <w:tblPr>
        <w:tblStyle w:val="Tablaconcuadrcula"/>
        <w:tblW w:w="12753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2514"/>
        <w:gridCol w:w="2515"/>
        <w:gridCol w:w="2515"/>
        <w:gridCol w:w="2515"/>
      </w:tblGrid>
      <w:tr w:rsidR="00D67D5C" w:rsidRPr="004348D9" w14:paraId="0863AABA" w14:textId="77777777" w:rsidTr="002B5EE6">
        <w:trPr>
          <w:trHeight w:val="1318"/>
          <w:jc w:val="center"/>
        </w:trPr>
        <w:tc>
          <w:tcPr>
            <w:tcW w:w="2694" w:type="dxa"/>
            <w:vAlign w:val="center"/>
          </w:tcPr>
          <w:p w14:paraId="17380C38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2514" w:type="dxa"/>
            <w:vAlign w:val="center"/>
          </w:tcPr>
          <w:p w14:paraId="5C398C8B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Brown seaweed-based matrices</w:t>
            </w:r>
          </w:p>
        </w:tc>
        <w:tc>
          <w:tcPr>
            <w:tcW w:w="2515" w:type="dxa"/>
            <w:vAlign w:val="center"/>
          </w:tcPr>
          <w:p w14:paraId="26D1A649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Undigested</w:t>
            </w:r>
          </w:p>
        </w:tc>
        <w:tc>
          <w:tcPr>
            <w:tcW w:w="2515" w:type="dxa"/>
            <w:vAlign w:val="center"/>
          </w:tcPr>
          <w:p w14:paraId="53E506AD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Digested</w:t>
            </w:r>
          </w:p>
          <w:p w14:paraId="143DF19E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(Standard model)</w:t>
            </w:r>
          </w:p>
        </w:tc>
        <w:tc>
          <w:tcPr>
            <w:tcW w:w="2515" w:type="dxa"/>
            <w:vAlign w:val="center"/>
          </w:tcPr>
          <w:p w14:paraId="276AFAEA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Digested</w:t>
            </w:r>
          </w:p>
          <w:p w14:paraId="4E28A58B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(Older adult model)</w:t>
            </w:r>
          </w:p>
        </w:tc>
      </w:tr>
      <w:tr w:rsidR="00D67D5C" w:rsidRPr="004348D9" w14:paraId="706FCB51" w14:textId="77777777" w:rsidTr="002B5EE6">
        <w:trPr>
          <w:jc w:val="center"/>
        </w:trPr>
        <w:tc>
          <w:tcPr>
            <w:tcW w:w="2694" w:type="dxa"/>
            <w:vMerge w:val="restart"/>
            <w:vAlign w:val="center"/>
          </w:tcPr>
          <w:p w14:paraId="72996441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TSPC</w:t>
            </w:r>
          </w:p>
          <w:p w14:paraId="01A804C8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 xml:space="preserve">(mg </w:t>
            </w:r>
            <w:proofErr w:type="spellStart"/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PhE</w:t>
            </w:r>
            <w:proofErr w:type="spellEnd"/>
            <w:r w:rsidRPr="004348D9" w:rsidDel="00B9610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 xml:space="preserve">/g </w:t>
            </w:r>
            <w:proofErr w:type="spellStart"/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dw</w:t>
            </w:r>
            <w:proofErr w:type="spellEnd"/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2514" w:type="dxa"/>
            <w:vAlign w:val="center"/>
          </w:tcPr>
          <w:p w14:paraId="25CC272D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CE</w:t>
            </w:r>
          </w:p>
        </w:tc>
        <w:tc>
          <w:tcPr>
            <w:tcW w:w="2515" w:type="dxa"/>
            <w:vAlign w:val="center"/>
          </w:tcPr>
          <w:p w14:paraId="2407BDDF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22.5 ± 0.0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aA</w:t>
            </w:r>
          </w:p>
        </w:tc>
        <w:tc>
          <w:tcPr>
            <w:tcW w:w="2515" w:type="dxa"/>
            <w:vAlign w:val="center"/>
          </w:tcPr>
          <w:p w14:paraId="580BCECB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226.5 ± 0.4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aC</w:t>
            </w:r>
          </w:p>
        </w:tc>
        <w:tc>
          <w:tcPr>
            <w:tcW w:w="2515" w:type="dxa"/>
            <w:vAlign w:val="center"/>
          </w:tcPr>
          <w:p w14:paraId="58091B79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74.8 ± 0.6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aB</w:t>
            </w:r>
          </w:p>
        </w:tc>
      </w:tr>
      <w:tr w:rsidR="00D67D5C" w:rsidRPr="004348D9" w14:paraId="4BB1AE9E" w14:textId="77777777" w:rsidTr="002B5EE6">
        <w:trPr>
          <w:jc w:val="center"/>
        </w:trPr>
        <w:tc>
          <w:tcPr>
            <w:tcW w:w="2694" w:type="dxa"/>
            <w:vMerge/>
            <w:vAlign w:val="center"/>
          </w:tcPr>
          <w:p w14:paraId="0BD7E4E1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vAlign w:val="center"/>
          </w:tcPr>
          <w:p w14:paraId="7474485A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MS</w:t>
            </w:r>
          </w:p>
        </w:tc>
        <w:tc>
          <w:tcPr>
            <w:tcW w:w="2515" w:type="dxa"/>
            <w:vAlign w:val="center"/>
          </w:tcPr>
          <w:p w14:paraId="2C08A2E0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11.6 ± 1.2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bA</w:t>
            </w:r>
          </w:p>
        </w:tc>
        <w:tc>
          <w:tcPr>
            <w:tcW w:w="2515" w:type="dxa"/>
            <w:vAlign w:val="center"/>
          </w:tcPr>
          <w:p w14:paraId="625D40B7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54.3 ± 0.2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bC</w:t>
            </w:r>
          </w:p>
        </w:tc>
        <w:tc>
          <w:tcPr>
            <w:tcW w:w="2515" w:type="dxa"/>
            <w:vAlign w:val="center"/>
          </w:tcPr>
          <w:p w14:paraId="2E88A86A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</w:rPr>
              <w:t xml:space="preserve">50.4 </w:t>
            </w: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± 2.4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bB</w:t>
            </w:r>
          </w:p>
        </w:tc>
      </w:tr>
      <w:tr w:rsidR="00D67D5C" w:rsidRPr="004348D9" w14:paraId="03C4E82B" w14:textId="77777777" w:rsidTr="002B5EE6">
        <w:trPr>
          <w:jc w:val="center"/>
        </w:trPr>
        <w:tc>
          <w:tcPr>
            <w:tcW w:w="2694" w:type="dxa"/>
            <w:vMerge/>
            <w:vAlign w:val="center"/>
          </w:tcPr>
          <w:p w14:paraId="7A84C181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vAlign w:val="center"/>
          </w:tcPr>
          <w:p w14:paraId="52007776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SS</w:t>
            </w:r>
          </w:p>
        </w:tc>
        <w:tc>
          <w:tcPr>
            <w:tcW w:w="2515" w:type="dxa"/>
            <w:vAlign w:val="center"/>
          </w:tcPr>
          <w:p w14:paraId="76F3BE9C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6.2 ± 0.0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cA</w:t>
            </w:r>
          </w:p>
        </w:tc>
        <w:tc>
          <w:tcPr>
            <w:tcW w:w="2515" w:type="dxa"/>
            <w:vAlign w:val="center"/>
          </w:tcPr>
          <w:p w14:paraId="7FE45137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25.3 ± 0.0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cC</w:t>
            </w:r>
          </w:p>
        </w:tc>
        <w:tc>
          <w:tcPr>
            <w:tcW w:w="2515" w:type="dxa"/>
            <w:vAlign w:val="center"/>
          </w:tcPr>
          <w:p w14:paraId="750CB692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9.5 ± 0.4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cB</w:t>
            </w:r>
          </w:p>
        </w:tc>
      </w:tr>
      <w:tr w:rsidR="00D67D5C" w:rsidRPr="004348D9" w14:paraId="2D15F355" w14:textId="77777777" w:rsidTr="002B5EE6">
        <w:trPr>
          <w:jc w:val="center"/>
        </w:trPr>
        <w:tc>
          <w:tcPr>
            <w:tcW w:w="2694" w:type="dxa"/>
            <w:vMerge w:val="restart"/>
            <w:vAlign w:val="center"/>
          </w:tcPr>
          <w:p w14:paraId="340B671B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PhT</w:t>
            </w:r>
          </w:p>
          <w:p w14:paraId="347F341A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 xml:space="preserve">(mg </w:t>
            </w:r>
            <w:proofErr w:type="spellStart"/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PhE</w:t>
            </w:r>
            <w:proofErr w:type="spellEnd"/>
            <w:r w:rsidRPr="004348D9" w:rsidDel="00B9610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 xml:space="preserve">/g </w:t>
            </w:r>
            <w:proofErr w:type="spellStart"/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dw</w:t>
            </w:r>
            <w:proofErr w:type="spellEnd"/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2514" w:type="dxa"/>
            <w:vAlign w:val="center"/>
          </w:tcPr>
          <w:p w14:paraId="0EFE9341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CE</w:t>
            </w:r>
          </w:p>
        </w:tc>
        <w:tc>
          <w:tcPr>
            <w:tcW w:w="2515" w:type="dxa"/>
            <w:vAlign w:val="center"/>
          </w:tcPr>
          <w:p w14:paraId="5763D4DE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0.8 ± 0.0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aA</w:t>
            </w:r>
          </w:p>
        </w:tc>
        <w:tc>
          <w:tcPr>
            <w:tcW w:w="2515" w:type="dxa"/>
            <w:vAlign w:val="center"/>
          </w:tcPr>
          <w:p w14:paraId="2BEA2197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1.0 ± 0.1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aA</w:t>
            </w:r>
          </w:p>
        </w:tc>
        <w:tc>
          <w:tcPr>
            <w:tcW w:w="2515" w:type="dxa"/>
            <w:vAlign w:val="center"/>
          </w:tcPr>
          <w:p w14:paraId="501768A2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0.9 ± 0.4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aA</w:t>
            </w:r>
          </w:p>
        </w:tc>
      </w:tr>
      <w:tr w:rsidR="00D67D5C" w:rsidRPr="004348D9" w14:paraId="157E2777" w14:textId="77777777" w:rsidTr="002B5EE6">
        <w:trPr>
          <w:jc w:val="center"/>
        </w:trPr>
        <w:tc>
          <w:tcPr>
            <w:tcW w:w="2694" w:type="dxa"/>
            <w:vMerge/>
            <w:vAlign w:val="center"/>
          </w:tcPr>
          <w:p w14:paraId="3E24CD9C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vAlign w:val="center"/>
          </w:tcPr>
          <w:p w14:paraId="24F0A953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MS</w:t>
            </w:r>
          </w:p>
        </w:tc>
        <w:tc>
          <w:tcPr>
            <w:tcW w:w="2515" w:type="dxa"/>
            <w:vAlign w:val="center"/>
          </w:tcPr>
          <w:p w14:paraId="3F9C8BDA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0.2 ± 0.0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bA</w:t>
            </w:r>
          </w:p>
        </w:tc>
        <w:tc>
          <w:tcPr>
            <w:tcW w:w="2515" w:type="dxa"/>
            <w:vAlign w:val="center"/>
          </w:tcPr>
          <w:p w14:paraId="73ADF499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&lt;0.1 ± 0.0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bB</w:t>
            </w:r>
          </w:p>
        </w:tc>
        <w:tc>
          <w:tcPr>
            <w:tcW w:w="2515" w:type="dxa"/>
            <w:vAlign w:val="center"/>
          </w:tcPr>
          <w:p w14:paraId="738D7994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&lt;0.1 ± 0.0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bB</w:t>
            </w:r>
          </w:p>
        </w:tc>
      </w:tr>
      <w:tr w:rsidR="00D67D5C" w:rsidRPr="004348D9" w14:paraId="2DA93EA4" w14:textId="77777777" w:rsidTr="002B5EE6">
        <w:trPr>
          <w:jc w:val="center"/>
        </w:trPr>
        <w:tc>
          <w:tcPr>
            <w:tcW w:w="2694" w:type="dxa"/>
            <w:vMerge/>
            <w:vAlign w:val="center"/>
          </w:tcPr>
          <w:p w14:paraId="23BCCE15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vAlign w:val="center"/>
          </w:tcPr>
          <w:p w14:paraId="1D3ACAE8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SS</w:t>
            </w:r>
          </w:p>
        </w:tc>
        <w:tc>
          <w:tcPr>
            <w:tcW w:w="2515" w:type="dxa"/>
            <w:vAlign w:val="center"/>
          </w:tcPr>
          <w:p w14:paraId="7386E07F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&lt;0.1 ± 0.0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2515" w:type="dxa"/>
            <w:vAlign w:val="center"/>
          </w:tcPr>
          <w:p w14:paraId="185F6D83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&lt;0.1 ± 0.0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2515" w:type="dxa"/>
            <w:vAlign w:val="center"/>
          </w:tcPr>
          <w:p w14:paraId="1FF8FA5B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&lt;0.1 ± 0.0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D67D5C" w:rsidRPr="004348D9" w14:paraId="00E30BF7" w14:textId="77777777" w:rsidTr="002B5EE6">
        <w:trPr>
          <w:jc w:val="center"/>
        </w:trPr>
        <w:tc>
          <w:tcPr>
            <w:tcW w:w="2694" w:type="dxa"/>
            <w:vMerge w:val="restart"/>
            <w:vAlign w:val="center"/>
          </w:tcPr>
          <w:p w14:paraId="50D4DB4A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fr-FR"/>
              </w:rPr>
              <w:t>DPPH</w:t>
            </w:r>
          </w:p>
          <w:p w14:paraId="10ED8B30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fr-FR"/>
              </w:rPr>
              <w:t>(</w:t>
            </w:r>
            <w:proofErr w:type="spellStart"/>
            <w:proofErr w:type="gramStart"/>
            <w:r w:rsidRPr="004348D9">
              <w:rPr>
                <w:rFonts w:ascii="Arial" w:hAnsi="Arial" w:cs="Arial"/>
                <w:sz w:val="24"/>
                <w:szCs w:val="24"/>
                <w:lang w:val="fr-FR"/>
              </w:rPr>
              <w:t>umol</w:t>
            </w:r>
            <w:proofErr w:type="spellEnd"/>
            <w:proofErr w:type="gramEnd"/>
            <w:r w:rsidRPr="004348D9">
              <w:rPr>
                <w:rFonts w:ascii="Arial" w:hAnsi="Arial" w:cs="Arial"/>
                <w:sz w:val="24"/>
                <w:szCs w:val="24"/>
                <w:lang w:val="fr-FR"/>
              </w:rPr>
              <w:t xml:space="preserve"> T eq/g </w:t>
            </w:r>
            <w:proofErr w:type="spellStart"/>
            <w:r w:rsidRPr="004348D9">
              <w:rPr>
                <w:rFonts w:ascii="Arial" w:hAnsi="Arial" w:cs="Arial"/>
                <w:sz w:val="24"/>
                <w:szCs w:val="24"/>
                <w:lang w:val="fr-FR"/>
              </w:rPr>
              <w:t>dw</w:t>
            </w:r>
            <w:proofErr w:type="spellEnd"/>
            <w:r w:rsidRPr="004348D9">
              <w:rPr>
                <w:rFonts w:ascii="Arial" w:hAnsi="Arial" w:cs="Arial"/>
                <w:sz w:val="24"/>
                <w:szCs w:val="24"/>
                <w:lang w:val="fr-FR"/>
              </w:rPr>
              <w:t>)</w:t>
            </w:r>
          </w:p>
        </w:tc>
        <w:tc>
          <w:tcPr>
            <w:tcW w:w="2514" w:type="dxa"/>
            <w:vAlign w:val="center"/>
          </w:tcPr>
          <w:p w14:paraId="04017A19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CE</w:t>
            </w:r>
          </w:p>
        </w:tc>
        <w:tc>
          <w:tcPr>
            <w:tcW w:w="2515" w:type="dxa"/>
            <w:vAlign w:val="center"/>
          </w:tcPr>
          <w:p w14:paraId="47B5B366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</w:rPr>
              <w:t>15.6 ± 0.0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</w:rPr>
              <w:t>bA</w:t>
            </w:r>
          </w:p>
        </w:tc>
        <w:tc>
          <w:tcPr>
            <w:tcW w:w="2515" w:type="dxa"/>
            <w:vAlign w:val="center"/>
          </w:tcPr>
          <w:p w14:paraId="20B0313D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</w:rPr>
              <w:t>26.8 ± 0.1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2515" w:type="dxa"/>
            <w:vAlign w:val="center"/>
          </w:tcPr>
          <w:p w14:paraId="225DBB31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</w:rPr>
              <w:t>15.0 ± 6.8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</w:rPr>
              <w:t>aA</w:t>
            </w:r>
          </w:p>
        </w:tc>
      </w:tr>
      <w:tr w:rsidR="00D67D5C" w:rsidRPr="004348D9" w14:paraId="427A2FCF" w14:textId="77777777" w:rsidTr="002B5EE6">
        <w:trPr>
          <w:jc w:val="center"/>
        </w:trPr>
        <w:tc>
          <w:tcPr>
            <w:tcW w:w="2694" w:type="dxa"/>
            <w:vMerge/>
            <w:vAlign w:val="center"/>
          </w:tcPr>
          <w:p w14:paraId="214EA8F2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vAlign w:val="center"/>
          </w:tcPr>
          <w:p w14:paraId="61B417D1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MS</w:t>
            </w:r>
          </w:p>
        </w:tc>
        <w:tc>
          <w:tcPr>
            <w:tcW w:w="2515" w:type="dxa"/>
            <w:vAlign w:val="center"/>
          </w:tcPr>
          <w:p w14:paraId="55029257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</w:rPr>
              <w:t>42.7 ± 0.3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</w:rPr>
              <w:t>aA</w:t>
            </w:r>
          </w:p>
        </w:tc>
        <w:tc>
          <w:tcPr>
            <w:tcW w:w="2515" w:type="dxa"/>
            <w:vAlign w:val="center"/>
          </w:tcPr>
          <w:p w14:paraId="5EB4FADB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</w:rPr>
              <w:t>2.5 ± 0.8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</w:rPr>
              <w:t>bB</w:t>
            </w:r>
          </w:p>
        </w:tc>
        <w:tc>
          <w:tcPr>
            <w:tcW w:w="2515" w:type="dxa"/>
            <w:vAlign w:val="center"/>
          </w:tcPr>
          <w:p w14:paraId="600888EF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</w:rPr>
              <w:t>1.9 ± 0.3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</w:rPr>
              <w:t>bB</w:t>
            </w:r>
          </w:p>
        </w:tc>
      </w:tr>
      <w:tr w:rsidR="00D67D5C" w:rsidRPr="004348D9" w14:paraId="780960D2" w14:textId="77777777" w:rsidTr="002B5EE6">
        <w:trPr>
          <w:jc w:val="center"/>
        </w:trPr>
        <w:tc>
          <w:tcPr>
            <w:tcW w:w="2694" w:type="dxa"/>
            <w:vMerge/>
            <w:vAlign w:val="center"/>
          </w:tcPr>
          <w:p w14:paraId="6489031F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vAlign w:val="center"/>
          </w:tcPr>
          <w:p w14:paraId="77499DD1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SS</w:t>
            </w:r>
          </w:p>
        </w:tc>
        <w:tc>
          <w:tcPr>
            <w:tcW w:w="2515" w:type="dxa"/>
            <w:vAlign w:val="center"/>
          </w:tcPr>
          <w:p w14:paraId="5E3847CC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</w:rPr>
              <w:t>10.5 ± 0.0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</w:rPr>
              <w:t>cA</w:t>
            </w:r>
          </w:p>
        </w:tc>
        <w:tc>
          <w:tcPr>
            <w:tcW w:w="2515" w:type="dxa"/>
            <w:vAlign w:val="center"/>
          </w:tcPr>
          <w:p w14:paraId="3027341A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</w:rPr>
              <w:t>0.5 ± 0.1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</w:rPr>
              <w:t>cC</w:t>
            </w:r>
          </w:p>
        </w:tc>
        <w:tc>
          <w:tcPr>
            <w:tcW w:w="2515" w:type="dxa"/>
            <w:vAlign w:val="center"/>
          </w:tcPr>
          <w:p w14:paraId="6B069EDC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</w:rPr>
              <w:t>0.7 ± 0.1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</w:rPr>
              <w:t>bB</w:t>
            </w:r>
          </w:p>
        </w:tc>
      </w:tr>
      <w:tr w:rsidR="00D67D5C" w:rsidRPr="004348D9" w14:paraId="06B68438" w14:textId="77777777" w:rsidTr="002B5EE6">
        <w:trPr>
          <w:jc w:val="center"/>
        </w:trPr>
        <w:tc>
          <w:tcPr>
            <w:tcW w:w="2694" w:type="dxa"/>
            <w:vMerge w:val="restart"/>
            <w:vAlign w:val="center"/>
          </w:tcPr>
          <w:p w14:paraId="1AD43EB8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fr-FR"/>
              </w:rPr>
              <w:t>ORAC</w:t>
            </w:r>
          </w:p>
          <w:p w14:paraId="5B76D802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fr-FR"/>
              </w:rPr>
              <w:t>(</w:t>
            </w:r>
            <w:proofErr w:type="spellStart"/>
            <w:proofErr w:type="gramStart"/>
            <w:r w:rsidRPr="004348D9">
              <w:rPr>
                <w:rFonts w:ascii="Arial" w:hAnsi="Arial" w:cs="Arial"/>
                <w:sz w:val="24"/>
                <w:szCs w:val="24"/>
                <w:lang w:val="fr-FR"/>
              </w:rPr>
              <w:t>umol</w:t>
            </w:r>
            <w:proofErr w:type="spellEnd"/>
            <w:proofErr w:type="gramEnd"/>
            <w:r w:rsidRPr="004348D9">
              <w:rPr>
                <w:rFonts w:ascii="Arial" w:hAnsi="Arial" w:cs="Arial"/>
                <w:sz w:val="24"/>
                <w:szCs w:val="24"/>
                <w:lang w:val="fr-FR"/>
              </w:rPr>
              <w:t xml:space="preserve"> T eq/g </w:t>
            </w:r>
            <w:proofErr w:type="spellStart"/>
            <w:r w:rsidRPr="004348D9">
              <w:rPr>
                <w:rFonts w:ascii="Arial" w:hAnsi="Arial" w:cs="Arial"/>
                <w:sz w:val="24"/>
                <w:szCs w:val="24"/>
                <w:lang w:val="fr-FR"/>
              </w:rPr>
              <w:t>dw</w:t>
            </w:r>
            <w:proofErr w:type="spellEnd"/>
            <w:r w:rsidRPr="004348D9">
              <w:rPr>
                <w:rFonts w:ascii="Arial" w:hAnsi="Arial" w:cs="Arial"/>
                <w:sz w:val="24"/>
                <w:szCs w:val="24"/>
                <w:lang w:val="fr-FR"/>
              </w:rPr>
              <w:t>)</w:t>
            </w:r>
          </w:p>
        </w:tc>
        <w:tc>
          <w:tcPr>
            <w:tcW w:w="2514" w:type="dxa"/>
            <w:vAlign w:val="center"/>
          </w:tcPr>
          <w:p w14:paraId="7949A348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CE</w:t>
            </w:r>
          </w:p>
        </w:tc>
        <w:tc>
          <w:tcPr>
            <w:tcW w:w="2515" w:type="dxa"/>
            <w:vAlign w:val="center"/>
          </w:tcPr>
          <w:p w14:paraId="190A0A34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101.0 ± 7.7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bA</w:t>
            </w:r>
          </w:p>
        </w:tc>
        <w:tc>
          <w:tcPr>
            <w:tcW w:w="2515" w:type="dxa"/>
            <w:vAlign w:val="center"/>
          </w:tcPr>
          <w:p w14:paraId="313628E9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</w:rPr>
              <w:t xml:space="preserve">529 </w:t>
            </w: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 xml:space="preserve">± </w:t>
            </w:r>
            <w:r w:rsidRPr="004348D9">
              <w:rPr>
                <w:rFonts w:ascii="Arial" w:hAnsi="Arial" w:cs="Arial"/>
                <w:sz w:val="24"/>
                <w:szCs w:val="24"/>
              </w:rPr>
              <w:t>64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2515" w:type="dxa"/>
            <w:vAlign w:val="center"/>
          </w:tcPr>
          <w:p w14:paraId="05CC3915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</w:rPr>
              <w:t xml:space="preserve">511 </w:t>
            </w: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 xml:space="preserve">± </w:t>
            </w:r>
            <w:r w:rsidRPr="004348D9">
              <w:rPr>
                <w:rFonts w:ascii="Arial" w:hAnsi="Arial" w:cs="Arial"/>
                <w:sz w:val="24"/>
                <w:szCs w:val="24"/>
              </w:rPr>
              <w:t>85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</w:rPr>
              <w:t>aB</w:t>
            </w:r>
          </w:p>
        </w:tc>
      </w:tr>
      <w:tr w:rsidR="00D67D5C" w:rsidRPr="004348D9" w14:paraId="0870C4A6" w14:textId="77777777" w:rsidTr="002B5EE6">
        <w:trPr>
          <w:jc w:val="center"/>
        </w:trPr>
        <w:tc>
          <w:tcPr>
            <w:tcW w:w="2694" w:type="dxa"/>
            <w:vMerge/>
            <w:vAlign w:val="center"/>
          </w:tcPr>
          <w:p w14:paraId="22FB048E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vAlign w:val="center"/>
          </w:tcPr>
          <w:p w14:paraId="12EA7582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MS</w:t>
            </w:r>
          </w:p>
        </w:tc>
        <w:tc>
          <w:tcPr>
            <w:tcW w:w="2515" w:type="dxa"/>
            <w:vAlign w:val="center"/>
          </w:tcPr>
          <w:p w14:paraId="47AABF5D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62.6 ± 1.2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cA</w:t>
            </w:r>
          </w:p>
        </w:tc>
        <w:tc>
          <w:tcPr>
            <w:tcW w:w="2515" w:type="dxa"/>
            <w:vAlign w:val="center"/>
          </w:tcPr>
          <w:p w14:paraId="7C7C2308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217.6 ± 4.1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bB</w:t>
            </w:r>
          </w:p>
        </w:tc>
        <w:tc>
          <w:tcPr>
            <w:tcW w:w="2515" w:type="dxa"/>
            <w:vAlign w:val="center"/>
          </w:tcPr>
          <w:p w14:paraId="4158D85A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482 ± 75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aC</w:t>
            </w:r>
          </w:p>
        </w:tc>
      </w:tr>
      <w:tr w:rsidR="00D67D5C" w:rsidRPr="004348D9" w14:paraId="29206F3D" w14:textId="77777777" w:rsidTr="002B5EE6">
        <w:trPr>
          <w:trHeight w:val="47"/>
          <w:jc w:val="center"/>
        </w:trPr>
        <w:tc>
          <w:tcPr>
            <w:tcW w:w="2694" w:type="dxa"/>
            <w:vMerge/>
            <w:vAlign w:val="center"/>
          </w:tcPr>
          <w:p w14:paraId="6934C083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vAlign w:val="center"/>
          </w:tcPr>
          <w:p w14:paraId="27CA41E0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SS</w:t>
            </w:r>
          </w:p>
        </w:tc>
        <w:tc>
          <w:tcPr>
            <w:tcW w:w="2515" w:type="dxa"/>
            <w:vAlign w:val="center"/>
          </w:tcPr>
          <w:p w14:paraId="154DF184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128.0 ± 12.0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aA</w:t>
            </w:r>
          </w:p>
        </w:tc>
        <w:tc>
          <w:tcPr>
            <w:tcW w:w="2515" w:type="dxa"/>
            <w:vAlign w:val="center"/>
          </w:tcPr>
          <w:p w14:paraId="6A36FED6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139.2 ± 4.8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cA</w:t>
            </w:r>
          </w:p>
        </w:tc>
        <w:tc>
          <w:tcPr>
            <w:tcW w:w="2515" w:type="dxa"/>
            <w:vAlign w:val="center"/>
          </w:tcPr>
          <w:p w14:paraId="5ADB462F" w14:textId="77777777" w:rsidR="00D67D5C" w:rsidRPr="004348D9" w:rsidRDefault="00D67D5C" w:rsidP="002B5E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348D9">
              <w:rPr>
                <w:rFonts w:ascii="Arial" w:hAnsi="Arial" w:cs="Arial"/>
                <w:sz w:val="24"/>
                <w:szCs w:val="24"/>
                <w:lang w:val="en-US"/>
              </w:rPr>
              <w:t>165.8 ± 6.7</w:t>
            </w:r>
            <w:r w:rsidRPr="004348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bB</w:t>
            </w:r>
          </w:p>
        </w:tc>
      </w:tr>
    </w:tbl>
    <w:p w14:paraId="5C583BCB" w14:textId="77777777" w:rsidR="00D67D5C" w:rsidRPr="004348D9" w:rsidRDefault="00D67D5C" w:rsidP="00D67D5C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54F90BEB" w14:textId="2559E292" w:rsidR="001C61A6" w:rsidRPr="00D67D5C" w:rsidRDefault="00D67D5C" w:rsidP="00BB6915">
      <w:pPr>
        <w:spacing w:after="0" w:line="480" w:lineRule="auto"/>
        <w:jc w:val="both"/>
        <w:rPr>
          <w:lang w:val="en-US"/>
        </w:rPr>
      </w:pPr>
      <w:r w:rsidRPr="004348D9">
        <w:rPr>
          <w:rFonts w:ascii="Arial" w:hAnsi="Arial" w:cs="Arial"/>
          <w:sz w:val="24"/>
          <w:szCs w:val="24"/>
          <w:lang w:val="en-US"/>
        </w:rPr>
        <w:t xml:space="preserve">The results represent the mean of three repetitions with their standard deviation. </w:t>
      </w:r>
      <w:proofErr w:type="spellStart"/>
      <w:r w:rsidRPr="004348D9">
        <w:rPr>
          <w:rFonts w:ascii="Arial" w:hAnsi="Arial" w:cs="Arial"/>
          <w:sz w:val="24"/>
          <w:szCs w:val="24"/>
          <w:vertAlign w:val="superscript"/>
          <w:lang w:val="en-US"/>
        </w:rPr>
        <w:t>A,b,c</w:t>
      </w:r>
      <w:proofErr w:type="spellEnd"/>
      <w:r w:rsidRPr="004348D9">
        <w:rPr>
          <w:rFonts w:ascii="Arial" w:hAnsi="Arial" w:cs="Arial"/>
          <w:sz w:val="24"/>
          <w:szCs w:val="24"/>
          <w:lang w:val="en-US"/>
        </w:rPr>
        <w:t xml:space="preserve"> Different lowercase letters indicate significant differences (</w:t>
      </w:r>
      <w:r w:rsidRPr="004348D9">
        <w:rPr>
          <w:rFonts w:ascii="Arial" w:hAnsi="Arial" w:cs="Arial"/>
          <w:i/>
          <w:iCs/>
          <w:sz w:val="24"/>
          <w:szCs w:val="24"/>
          <w:lang w:val="en-US"/>
        </w:rPr>
        <w:t>p</w:t>
      </w:r>
      <w:r w:rsidRPr="004348D9">
        <w:rPr>
          <w:rFonts w:ascii="Arial" w:hAnsi="Arial" w:cs="Arial"/>
          <w:sz w:val="24"/>
          <w:szCs w:val="24"/>
          <w:lang w:val="en-US"/>
        </w:rPr>
        <w:t xml:space="preserve">&lt;0.05) between seaweed-based products (within the column). </w:t>
      </w:r>
      <w:r w:rsidRPr="004348D9">
        <w:rPr>
          <w:rFonts w:ascii="Arial" w:hAnsi="Arial" w:cs="Arial"/>
          <w:sz w:val="24"/>
          <w:szCs w:val="24"/>
          <w:vertAlign w:val="superscript"/>
          <w:lang w:val="en-US"/>
        </w:rPr>
        <w:t>A, B, C</w:t>
      </w:r>
      <w:r w:rsidRPr="004348D9">
        <w:rPr>
          <w:rFonts w:ascii="Arial" w:hAnsi="Arial" w:cs="Arial"/>
          <w:sz w:val="24"/>
          <w:szCs w:val="24"/>
          <w:lang w:val="en-US"/>
        </w:rPr>
        <w:t xml:space="preserve"> Different capital letters indicate significant differences (</w:t>
      </w:r>
      <w:r w:rsidRPr="004348D9">
        <w:rPr>
          <w:rFonts w:ascii="Arial" w:hAnsi="Arial" w:cs="Arial"/>
          <w:i/>
          <w:iCs/>
          <w:sz w:val="24"/>
          <w:szCs w:val="24"/>
          <w:lang w:val="en-US"/>
        </w:rPr>
        <w:t>p</w:t>
      </w:r>
      <w:r w:rsidRPr="004348D9">
        <w:rPr>
          <w:rFonts w:ascii="Arial" w:hAnsi="Arial" w:cs="Arial"/>
          <w:sz w:val="24"/>
          <w:szCs w:val="24"/>
          <w:lang w:val="en-US"/>
        </w:rPr>
        <w:t xml:space="preserve">&lt;0.05) between </w:t>
      </w:r>
      <w:proofErr w:type="gramStart"/>
      <w:r w:rsidRPr="004348D9">
        <w:rPr>
          <w:rFonts w:ascii="Arial" w:hAnsi="Arial" w:cs="Arial"/>
          <w:sz w:val="24"/>
          <w:szCs w:val="24"/>
          <w:lang w:val="en-US"/>
        </w:rPr>
        <w:t>digestion</w:t>
      </w:r>
      <w:proofErr w:type="gramEnd"/>
      <w:r w:rsidRPr="004348D9">
        <w:rPr>
          <w:rFonts w:ascii="Arial" w:hAnsi="Arial" w:cs="Arial"/>
          <w:sz w:val="24"/>
          <w:szCs w:val="24"/>
          <w:lang w:val="en-US"/>
        </w:rPr>
        <w:t xml:space="preserve"> models (within a row).</w:t>
      </w:r>
    </w:p>
    <w:sectPr w:rsidR="001C61A6" w:rsidRPr="00D67D5C" w:rsidSect="00D67D5C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D5C"/>
    <w:rsid w:val="00032BB7"/>
    <w:rsid w:val="000F345F"/>
    <w:rsid w:val="001C61A6"/>
    <w:rsid w:val="004F77DB"/>
    <w:rsid w:val="007C5FEE"/>
    <w:rsid w:val="007C74A5"/>
    <w:rsid w:val="00BB6915"/>
    <w:rsid w:val="00D214BC"/>
    <w:rsid w:val="00D67D5C"/>
    <w:rsid w:val="00ED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C14BB"/>
  <w15:chartTrackingRefBased/>
  <w15:docId w15:val="{E2E76030-782E-44A2-94C4-DB89B93F1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D5C"/>
  </w:style>
  <w:style w:type="paragraph" w:styleId="Ttulo1">
    <w:name w:val="heading 1"/>
    <w:basedOn w:val="Normal"/>
    <w:next w:val="Normal"/>
    <w:link w:val="Ttulo1Car"/>
    <w:uiPriority w:val="9"/>
    <w:qFormat/>
    <w:rsid w:val="00D67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7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7D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7D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7D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7D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7D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7D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7D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7D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7D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7D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7D5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7D5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7D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7D5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7D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7D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67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67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67D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67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67D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67D5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67D5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67D5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67D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67D5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67D5C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67D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1023</Characters>
  <Application>Microsoft Office Word</Application>
  <DocSecurity>0</DocSecurity>
  <Lines>79</Lines>
  <Paragraphs>65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MIGDALIA CARIDAD ARAZO RUSINDO</dc:creator>
  <cp:keywords/>
  <dc:description/>
  <cp:lastModifiedBy>MIGDALIA CARIDAD ARAZO RUSINDO</cp:lastModifiedBy>
  <cp:revision>4</cp:revision>
  <dcterms:created xsi:type="dcterms:W3CDTF">2025-10-30T01:46:00Z</dcterms:created>
  <dcterms:modified xsi:type="dcterms:W3CDTF">2025-11-09T16:38:00Z</dcterms:modified>
</cp:coreProperties>
</file>