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B4" w:rsidRDefault="008E49B7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F2423">
        <w:rPr>
          <w:rFonts w:asciiTheme="majorBidi" w:hAnsiTheme="majorBidi" w:cstheme="majorBidi"/>
          <w:b/>
          <w:bCs/>
          <w:sz w:val="32"/>
          <w:szCs w:val="32"/>
          <w:u w:val="single"/>
        </w:rPr>
        <w:t>Supplementary materials:</w:t>
      </w:r>
    </w:p>
    <w:p w:rsidR="00DF2423" w:rsidRPr="00DF2423" w:rsidRDefault="00DF2423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4360"/>
        <w:gridCol w:w="4656"/>
      </w:tblGrid>
      <w:tr w:rsidR="008E49B7" w:rsidRPr="00E331CE" w:rsidTr="008E49B7">
        <w:trPr>
          <w:trHeight w:val="4952"/>
        </w:trPr>
        <w:tc>
          <w:tcPr>
            <w:tcW w:w="4360" w:type="dxa"/>
          </w:tcPr>
          <w:p w:rsidR="008E49B7" w:rsidRPr="00E331CE" w:rsidRDefault="008E49B7" w:rsidP="003F747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331CE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2581275" cy="1885950"/>
                  <wp:effectExtent l="19050" t="0" r="9525" b="0"/>
                  <wp:docPr id="4" name="Picture 14" descr="fgfg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gfgfg.jpg"/>
                          <pic:cNvPicPr/>
                        </pic:nvPicPr>
                        <pic:blipFill>
                          <a:blip r:embed="rId4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509" cy="1886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49B7" w:rsidRPr="00E331CE" w:rsidRDefault="008E49B7" w:rsidP="003F7476">
            <w:pPr>
              <w:ind w:left="247" w:right="-86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Agarose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gel electrophoresis of VDR (</w:t>
            </w:r>
            <w:proofErr w:type="spellStart"/>
            <w:r w:rsidRPr="00E331C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FokI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polymorphism, Molecular DNA ladder 100 – 1000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1 &amp;8), homozygous CC (wild type) yielded 1 band of 341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2, 11, 14), heterozygous CT yielded 3 bands 341, 282, 59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4,5,7,9,12), homozygous TT (mutant) yielded 2 bands 282, 59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3,6,10,13)</w:t>
            </w:r>
            <w:r w:rsidR="004C09F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band of size 59 is not appeared here in the photo</w:t>
            </w:r>
          </w:p>
        </w:tc>
        <w:tc>
          <w:tcPr>
            <w:tcW w:w="4656" w:type="dxa"/>
          </w:tcPr>
          <w:p w:rsidR="008E49B7" w:rsidRPr="00E331CE" w:rsidRDefault="008E49B7" w:rsidP="003F7476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331C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90826" cy="1885950"/>
                  <wp:effectExtent l="19050" t="0" r="9524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433" cy="1889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49B7" w:rsidRPr="00E331CE" w:rsidRDefault="008E49B7" w:rsidP="003F7476">
            <w:pPr>
              <w:ind w:left="3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Agarose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gel electrophoresis of VDR (</w:t>
            </w:r>
            <w:proofErr w:type="spellStart"/>
            <w:r w:rsidRPr="00E331CE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BsmI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polymorphism, Molecular DNA ladder 100 – 1000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1 &amp;8), homozygous AA (wild type) yielded 1 band of 248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2, 9), heterozygous AG yielded 3 bands 248, 175, 73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3, 10, 13), homozygous GG (mutant) yielded 2 bands 175, 73 </w:t>
            </w:r>
            <w:proofErr w:type="spellStart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bp</w:t>
            </w:r>
            <w:proofErr w:type="spellEnd"/>
            <w:r w:rsidRPr="00E331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(lane 4, 5, 6, 7, 11, 12, 14).</w:t>
            </w:r>
          </w:p>
        </w:tc>
      </w:tr>
    </w:tbl>
    <w:p w:rsidR="008E49B7" w:rsidRPr="00E331CE" w:rsidRDefault="008E49B7" w:rsidP="008E49B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E49B7" w:rsidRPr="00E331CE" w:rsidRDefault="008E49B7" w:rsidP="008E49B7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E331CE">
        <w:rPr>
          <w:rFonts w:asciiTheme="majorBidi" w:hAnsiTheme="majorBidi" w:cstheme="majorBidi"/>
          <w:b/>
          <w:bCs/>
          <w:sz w:val="24"/>
          <w:szCs w:val="24"/>
        </w:rPr>
        <w:t>Supplementary figure (1):</w:t>
      </w:r>
      <w:proofErr w:type="spellStart"/>
      <w:r w:rsidRPr="00E331CE">
        <w:rPr>
          <w:rFonts w:asciiTheme="majorBidi" w:hAnsiTheme="majorBidi" w:cstheme="majorBidi"/>
          <w:color w:val="000000"/>
          <w:sz w:val="24"/>
          <w:szCs w:val="24"/>
        </w:rPr>
        <w:t>Agarose</w:t>
      </w:r>
      <w:proofErr w:type="spellEnd"/>
      <w:r w:rsidRPr="00E331CE">
        <w:rPr>
          <w:rFonts w:asciiTheme="majorBidi" w:hAnsiTheme="majorBidi" w:cstheme="majorBidi"/>
          <w:color w:val="000000"/>
          <w:sz w:val="24"/>
          <w:szCs w:val="24"/>
        </w:rPr>
        <w:t xml:space="preserve"> gel electrophoresis of VDR polymorphism</w:t>
      </w:r>
    </w:p>
    <w:p w:rsidR="00E331CE" w:rsidRDefault="00E331CE" w:rsidP="00E331C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E430F" w:rsidRDefault="00DE430F" w:rsidP="00E331C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E430F" w:rsidRDefault="00DE430F" w:rsidP="00E331C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564115" w:rsidRDefault="00564115" w:rsidP="00E331C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504F7A" w:rsidRPr="003E6968" w:rsidRDefault="00564115" w:rsidP="0097089B">
      <w:pPr>
        <w:jc w:val="center"/>
        <w:rPr>
          <w:rFonts w:asciiTheme="majorBidi" w:hAnsiTheme="majorBidi" w:cstheme="majorBidi"/>
          <w:sz w:val="24"/>
          <w:szCs w:val="24"/>
        </w:rPr>
      </w:pPr>
      <w:r w:rsidRPr="00564115">
        <w:rPr>
          <w:rFonts w:asciiTheme="majorBidi" w:hAnsiTheme="majorBidi" w:cstheme="majorBidi"/>
          <w:sz w:val="24"/>
          <w:szCs w:val="24"/>
        </w:rPr>
        <w:lastRenderedPageBreak/>
        <w:drawing>
          <wp:inline distT="0" distB="0" distL="0" distR="0">
            <wp:extent cx="4572000" cy="2743200"/>
            <wp:effectExtent l="19050" t="0" r="19050" b="0"/>
            <wp:docPr id="1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4F7A" w:rsidRPr="001E6554" w:rsidRDefault="00504F7A" w:rsidP="00DE430F">
      <w:pPr>
        <w:jc w:val="lowKashida"/>
        <w:rPr>
          <w:rFonts w:asciiTheme="majorBidi" w:hAnsiTheme="majorBidi" w:cstheme="majorBidi"/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3F7476">
        <w:rPr>
          <w:rFonts w:ascii="Times New Roman" w:hAnsi="Times New Roman" w:cs="Times New Roman"/>
          <w:b/>
          <w:bCs/>
          <w:sz w:val="24"/>
          <w:szCs w:val="24"/>
        </w:rPr>
        <w:t>igure (</w:t>
      </w:r>
      <w:r w:rsidR="00DE43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331CE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1E6554">
        <w:rPr>
          <w:rFonts w:asciiTheme="majorBidi" w:hAnsiTheme="majorBidi" w:cstheme="majorBidi"/>
          <w:b/>
          <w:bCs/>
          <w:color w:val="000000"/>
        </w:rPr>
        <w:t xml:space="preserve">: Allele frequency for VDR polymorphism at </w:t>
      </w:r>
      <w:proofErr w:type="spellStart"/>
      <w:r w:rsidRPr="001E6554">
        <w:rPr>
          <w:rFonts w:asciiTheme="majorBidi" w:hAnsiTheme="majorBidi" w:cstheme="majorBidi"/>
          <w:b/>
          <w:bCs/>
          <w:i/>
          <w:iCs/>
          <w:color w:val="000000"/>
        </w:rPr>
        <w:t>FokI</w:t>
      </w:r>
      <w:proofErr w:type="spellEnd"/>
      <w:r w:rsidRPr="001E6554">
        <w:rPr>
          <w:rFonts w:asciiTheme="majorBidi" w:hAnsiTheme="majorBidi" w:cstheme="majorBidi"/>
          <w:b/>
          <w:bCs/>
          <w:color w:val="000000"/>
        </w:rPr>
        <w:t xml:space="preserve"> (VDR</w:t>
      </w:r>
      <w:r w:rsidRPr="001E6554">
        <w:rPr>
          <w:rFonts w:asciiTheme="majorBidi" w:hAnsiTheme="majorBidi" w:cstheme="majorBidi"/>
          <w:b/>
          <w:bCs/>
        </w:rPr>
        <w:t xml:space="preserve"> 2228570    C &gt; T) in all study groups</w:t>
      </w:r>
    </w:p>
    <w:p w:rsidR="0097089B" w:rsidRPr="00E331CE" w:rsidRDefault="0097089B" w:rsidP="0097089B">
      <w:pPr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1"/>
          <w:szCs w:val="21"/>
        </w:rPr>
        <w:t xml:space="preserve">. </w:t>
      </w:r>
      <w:proofErr w:type="gramStart"/>
      <w:r>
        <w:rPr>
          <w:rFonts w:ascii="Times New Roman" w:hAnsi="Times New Roman" w:cs="Times New Roman"/>
          <w:sz w:val="21"/>
          <w:szCs w:val="21"/>
        </w:rPr>
        <w:t>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: significant difference from group D,    b: significant difference from group C,     c: significant difference from group B. </w:t>
      </w:r>
      <w:r w:rsidRPr="001E6554">
        <w:rPr>
          <w:rFonts w:asciiTheme="majorBidi" w:hAnsiTheme="majorBidi" w:cstheme="majorBidi"/>
          <w:color w:val="000000"/>
        </w:rPr>
        <w:t>*: significant ˂0.05</w:t>
      </w:r>
    </w:p>
    <w:p w:rsidR="0097089B" w:rsidRDefault="0097089B" w:rsidP="0097089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E936D7" w:rsidRDefault="00564115" w:rsidP="00AB4FF8">
      <w:pPr>
        <w:spacing w:line="360" w:lineRule="auto"/>
        <w:ind w:firstLine="720"/>
        <w:jc w:val="center"/>
        <w:rPr>
          <w:lang w:bidi="ar-EG"/>
        </w:rPr>
      </w:pPr>
      <w:r w:rsidRPr="00564115">
        <w:rPr>
          <w:lang w:bidi="ar-EG"/>
        </w:rPr>
        <w:drawing>
          <wp:inline distT="0" distB="0" distL="0" distR="0">
            <wp:extent cx="4572000" cy="2743200"/>
            <wp:effectExtent l="19050" t="0" r="19050" b="0"/>
            <wp:docPr id="10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936D7" w:rsidRPr="001E6554" w:rsidRDefault="003D794E" w:rsidP="00DE430F">
      <w:pPr>
        <w:rPr>
          <w:rFonts w:asciiTheme="majorBidi" w:hAnsiTheme="majorBidi" w:cstheme="majorBidi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</w:t>
      </w:r>
      <w:r w:rsidRPr="003F7476">
        <w:rPr>
          <w:rFonts w:ascii="Times New Roman" w:hAnsi="Times New Roman" w:cs="Times New Roman"/>
          <w:b/>
          <w:bCs/>
          <w:sz w:val="24"/>
          <w:szCs w:val="24"/>
        </w:rPr>
        <w:t>igure (</w:t>
      </w:r>
      <w:r w:rsidR="00DE430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331CE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E936D7" w:rsidRPr="001E6554">
        <w:rPr>
          <w:rFonts w:asciiTheme="majorBidi" w:hAnsiTheme="majorBidi" w:cstheme="majorBidi"/>
          <w:b/>
          <w:bCs/>
          <w:lang w:bidi="ar-EG"/>
        </w:rPr>
        <w:t>:</w:t>
      </w:r>
      <w:r w:rsidR="00E936D7" w:rsidRPr="001E6554">
        <w:rPr>
          <w:rFonts w:asciiTheme="majorBidi" w:hAnsiTheme="majorBidi" w:cstheme="majorBidi"/>
          <w:b/>
          <w:bCs/>
          <w:color w:val="000000"/>
        </w:rPr>
        <w:t xml:space="preserve"> Allele frequency for VDR polymorphism at </w:t>
      </w:r>
      <w:proofErr w:type="spellStart"/>
      <w:r w:rsidR="00E936D7" w:rsidRPr="001E6554">
        <w:rPr>
          <w:rFonts w:asciiTheme="majorBidi" w:hAnsiTheme="majorBidi" w:cstheme="majorBidi"/>
          <w:b/>
          <w:bCs/>
          <w:i/>
          <w:iCs/>
          <w:color w:val="000000"/>
        </w:rPr>
        <w:t>BsmI</w:t>
      </w:r>
      <w:proofErr w:type="spellEnd"/>
      <w:r w:rsidR="00E936D7" w:rsidRPr="001E6554">
        <w:rPr>
          <w:rFonts w:asciiTheme="majorBidi" w:hAnsiTheme="majorBidi" w:cstheme="majorBidi"/>
          <w:b/>
          <w:bCs/>
          <w:color w:val="000000"/>
        </w:rPr>
        <w:t xml:space="preserve"> (VDR</w:t>
      </w:r>
      <w:r w:rsidR="00E936D7" w:rsidRPr="001E6554">
        <w:rPr>
          <w:rFonts w:asciiTheme="majorBidi" w:hAnsiTheme="majorBidi" w:cstheme="majorBidi"/>
          <w:b/>
          <w:bCs/>
        </w:rPr>
        <w:t xml:space="preserve"> 1544410   A &gt; G) in all study groups</w:t>
      </w:r>
    </w:p>
    <w:p w:rsidR="0097089B" w:rsidRPr="00E331CE" w:rsidRDefault="0097089B" w:rsidP="0097089B">
      <w:pPr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1"/>
          <w:szCs w:val="21"/>
        </w:rPr>
        <w:t xml:space="preserve">. </w:t>
      </w:r>
      <w:proofErr w:type="gramStart"/>
      <w:r>
        <w:rPr>
          <w:rFonts w:ascii="Times New Roman" w:hAnsi="Times New Roman" w:cs="Times New Roman"/>
          <w:sz w:val="21"/>
          <w:szCs w:val="21"/>
        </w:rPr>
        <w:t>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: significant difference from group D,    b: significant difference from group C,     c: significant difference from group B. </w:t>
      </w:r>
      <w:r w:rsidRPr="001E6554">
        <w:rPr>
          <w:rFonts w:asciiTheme="majorBidi" w:hAnsiTheme="majorBidi" w:cstheme="majorBidi"/>
          <w:color w:val="000000"/>
        </w:rPr>
        <w:t>*: significant ˂0.05</w:t>
      </w:r>
      <w:bookmarkStart w:id="0" w:name="_GoBack"/>
      <w:bookmarkEnd w:id="0"/>
    </w:p>
    <w:p w:rsidR="0097089B" w:rsidRDefault="0097089B" w:rsidP="0097089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97089B" w:rsidSect="004A7FB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49B7"/>
    <w:rsid w:val="00001173"/>
    <w:rsid w:val="0003192D"/>
    <w:rsid w:val="001C5489"/>
    <w:rsid w:val="0020748D"/>
    <w:rsid w:val="003A6FCC"/>
    <w:rsid w:val="003D794E"/>
    <w:rsid w:val="003E6968"/>
    <w:rsid w:val="004A7FBB"/>
    <w:rsid w:val="004C09FE"/>
    <w:rsid w:val="00504F7A"/>
    <w:rsid w:val="00564115"/>
    <w:rsid w:val="00575D05"/>
    <w:rsid w:val="005775FE"/>
    <w:rsid w:val="005F7BBD"/>
    <w:rsid w:val="0065241B"/>
    <w:rsid w:val="006A1FC2"/>
    <w:rsid w:val="00855B19"/>
    <w:rsid w:val="008E49B7"/>
    <w:rsid w:val="0097089B"/>
    <w:rsid w:val="00991EEA"/>
    <w:rsid w:val="00AB4FF8"/>
    <w:rsid w:val="00AF3EB4"/>
    <w:rsid w:val="00DE430F"/>
    <w:rsid w:val="00DF2423"/>
    <w:rsid w:val="00E331CE"/>
    <w:rsid w:val="00E5576F"/>
    <w:rsid w:val="00E936D7"/>
    <w:rsid w:val="00F65AE7"/>
    <w:rsid w:val="00FC3876"/>
    <w:rsid w:val="00FE2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9B7"/>
    <w:pPr>
      <w:spacing w:after="0" w:line="240" w:lineRule="auto"/>
    </w:pPr>
    <w:rPr>
      <w:rFonts w:ascii="Calibri" w:eastAsia="Calibri" w:hAnsi="Calibri" w:cs="Arial"/>
      <w:sz w:val="20"/>
      <w:szCs w:val="20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331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1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1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1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1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6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master\resala%20result\all%20work\1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master\resala%20result\all%20work\1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ar-EG"/>
  <c:style val="33"/>
  <c:chart>
    <c:plotArea>
      <c:layout>
        <c:manualLayout>
          <c:layoutTarget val="inner"/>
          <c:xMode val="edge"/>
          <c:yMode val="edge"/>
          <c:x val="0.13071062992125973"/>
          <c:y val="0.17215478273549151"/>
          <c:w val="0.86928937007874063"/>
          <c:h val="0.68673009623797066"/>
        </c:manualLayout>
      </c:layout>
      <c:barChart>
        <c:barDir val="col"/>
        <c:grouping val="clustered"/>
        <c:ser>
          <c:idx val="0"/>
          <c:order val="0"/>
          <c:tx>
            <c:v>C</c:v>
          </c:tx>
          <c:cat>
            <c:strRef>
              <c:f>Sheet2!$B$10:$E$10</c:f>
              <c:strCache>
                <c:ptCount val="4"/>
                <c:pt idx="0">
                  <c:v>  Group A </c:v>
                </c:pt>
                <c:pt idx="1">
                  <c:v>Group B</c:v>
                </c:pt>
                <c:pt idx="2">
                  <c:v>Group C</c:v>
                </c:pt>
                <c:pt idx="3">
                  <c:v>Group D</c:v>
                </c:pt>
              </c:strCache>
            </c:strRef>
          </c:cat>
          <c:val>
            <c:numRef>
              <c:f>Sheet2!$B$11:$E$11</c:f>
              <c:numCache>
                <c:formatCode>General</c:formatCode>
                <c:ptCount val="4"/>
                <c:pt idx="0">
                  <c:v>130</c:v>
                </c:pt>
                <c:pt idx="1">
                  <c:v>144</c:v>
                </c:pt>
                <c:pt idx="2">
                  <c:v>102</c:v>
                </c:pt>
                <c:pt idx="3">
                  <c:v>105</c:v>
                </c:pt>
              </c:numCache>
            </c:numRef>
          </c:val>
        </c:ser>
        <c:ser>
          <c:idx val="1"/>
          <c:order val="1"/>
          <c:tx>
            <c:v>T</c:v>
          </c:tx>
          <c:cat>
            <c:strRef>
              <c:f>Sheet2!$B$10:$E$10</c:f>
              <c:strCache>
                <c:ptCount val="4"/>
                <c:pt idx="0">
                  <c:v>  Group A </c:v>
                </c:pt>
                <c:pt idx="1">
                  <c:v>Group B</c:v>
                </c:pt>
                <c:pt idx="2">
                  <c:v>Group C</c:v>
                </c:pt>
                <c:pt idx="3">
                  <c:v>Group D</c:v>
                </c:pt>
              </c:strCache>
            </c:strRef>
          </c:cat>
          <c:val>
            <c:numRef>
              <c:f>Sheet2!$B$12:$E$12</c:f>
              <c:numCache>
                <c:formatCode>General</c:formatCode>
                <c:ptCount val="4"/>
                <c:pt idx="0">
                  <c:v>110</c:v>
                </c:pt>
                <c:pt idx="1">
                  <c:v>104</c:v>
                </c:pt>
                <c:pt idx="2">
                  <c:v>36</c:v>
                </c:pt>
                <c:pt idx="3">
                  <c:v>33</c:v>
                </c:pt>
              </c:numCache>
            </c:numRef>
          </c:val>
        </c:ser>
        <c:axId val="81322752"/>
        <c:axId val="81324672"/>
      </c:barChart>
      <c:catAx>
        <c:axId val="813227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</c:title>
        <c:tickLblPos val="nextTo"/>
        <c:crossAx val="81324672"/>
        <c:crosses val="autoZero"/>
        <c:auto val="1"/>
        <c:lblAlgn val="ctr"/>
        <c:lblOffset val="100"/>
      </c:catAx>
      <c:valAx>
        <c:axId val="81324672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200"/>
                  <a:t>Allele frquency </a:t>
                </a:r>
                <a:r>
                  <a:rPr lang="en-US"/>
                  <a:t>%</a:t>
                </a:r>
              </a:p>
            </c:rich>
          </c:tx>
        </c:title>
        <c:numFmt formatCode="General" sourceLinked="1"/>
        <c:tickLblPos val="nextTo"/>
        <c:crossAx val="81322752"/>
        <c:crosses val="autoZero"/>
        <c:crossBetween val="between"/>
      </c:valAx>
    </c:plotArea>
    <c:legend>
      <c:legendPos val="t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EG"/>
  <c:style val="33"/>
  <c:chart>
    <c:plotArea>
      <c:layout/>
      <c:barChart>
        <c:barDir val="col"/>
        <c:grouping val="clustered"/>
        <c:ser>
          <c:idx val="0"/>
          <c:order val="0"/>
          <c:tx>
            <c:strRef>
              <c:f>Sheet2!$A$34</c:f>
              <c:strCache>
                <c:ptCount val="1"/>
                <c:pt idx="0">
                  <c:v>A</c:v>
                </c:pt>
              </c:strCache>
            </c:strRef>
          </c:tx>
          <c:cat>
            <c:strRef>
              <c:f>Sheet2!$B$33:$E$33</c:f>
              <c:strCache>
                <c:ptCount val="4"/>
                <c:pt idx="0">
                  <c:v>AGroup </c:v>
                </c:pt>
                <c:pt idx="1">
                  <c:v>Group B</c:v>
                </c:pt>
                <c:pt idx="2">
                  <c:v>Group C</c:v>
                </c:pt>
                <c:pt idx="3">
                  <c:v>Group D</c:v>
                </c:pt>
              </c:strCache>
            </c:strRef>
          </c:cat>
          <c:val>
            <c:numRef>
              <c:f>Sheet2!$B$34:$E$34</c:f>
              <c:numCache>
                <c:formatCode>General</c:formatCode>
                <c:ptCount val="4"/>
                <c:pt idx="0">
                  <c:v>50</c:v>
                </c:pt>
                <c:pt idx="1">
                  <c:v>76</c:v>
                </c:pt>
                <c:pt idx="2">
                  <c:v>87</c:v>
                </c:pt>
                <c:pt idx="3">
                  <c:v>99</c:v>
                </c:pt>
              </c:numCache>
            </c:numRef>
          </c:val>
        </c:ser>
        <c:ser>
          <c:idx val="1"/>
          <c:order val="1"/>
          <c:tx>
            <c:strRef>
              <c:f>Sheet2!$A$35</c:f>
              <c:strCache>
                <c:ptCount val="1"/>
                <c:pt idx="0">
                  <c:v>G</c:v>
                </c:pt>
              </c:strCache>
            </c:strRef>
          </c:tx>
          <c:cat>
            <c:strRef>
              <c:f>Sheet2!$B$33:$E$33</c:f>
              <c:strCache>
                <c:ptCount val="4"/>
                <c:pt idx="0">
                  <c:v>AGroup </c:v>
                </c:pt>
                <c:pt idx="1">
                  <c:v>Group B</c:v>
                </c:pt>
                <c:pt idx="2">
                  <c:v>Group C</c:v>
                </c:pt>
                <c:pt idx="3">
                  <c:v>Group D</c:v>
                </c:pt>
              </c:strCache>
            </c:strRef>
          </c:cat>
          <c:val>
            <c:numRef>
              <c:f>Sheet2!$B$35:$E$35</c:f>
              <c:numCache>
                <c:formatCode>General</c:formatCode>
                <c:ptCount val="4"/>
                <c:pt idx="0">
                  <c:v>190</c:v>
                </c:pt>
                <c:pt idx="1">
                  <c:v>172</c:v>
                </c:pt>
                <c:pt idx="2">
                  <c:v>51</c:v>
                </c:pt>
                <c:pt idx="3">
                  <c:v>39</c:v>
                </c:pt>
              </c:numCache>
            </c:numRef>
          </c:val>
        </c:ser>
        <c:axId val="102061952"/>
        <c:axId val="102200064"/>
      </c:barChart>
      <c:catAx>
        <c:axId val="1020619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</c:title>
        <c:numFmt formatCode="General" sourceLinked="1"/>
        <c:tickLblPos val="nextTo"/>
        <c:crossAx val="102200064"/>
        <c:crosses val="autoZero"/>
        <c:auto val="1"/>
        <c:lblAlgn val="ctr"/>
        <c:lblOffset val="100"/>
      </c:catAx>
      <c:valAx>
        <c:axId val="10220006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Allele frequency %</a:t>
                </a:r>
              </a:p>
            </c:rich>
          </c:tx>
        </c:title>
        <c:numFmt formatCode="General" sourceLinked="1"/>
        <c:tickLblPos val="nextTo"/>
        <c:crossAx val="102061952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png"/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0.38959</cdr:x>
      <cdr:y>0.15278</cdr:y>
    </cdr:from>
    <cdr:to>
      <cdr:x>0.46159</cdr:x>
      <cdr:y>0.23946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81190" y="419094"/>
          <a:ext cx="329184" cy="23778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0.17292</cdr:x>
      <cdr:y>0.18403</cdr:y>
    </cdr:from>
    <cdr:to>
      <cdr:x>0.24092</cdr:x>
      <cdr:y>0.28626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790575" y="504825"/>
          <a:ext cx="310923" cy="28044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0.16667</cdr:x>
      <cdr:y>0.19445</cdr:y>
    </cdr:from>
    <cdr:to>
      <cdr:x>0.34167</cdr:x>
      <cdr:y>0.39236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62014" y="533403"/>
          <a:ext cx="800085" cy="542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/>
        <a:p xmlns:a="http://schemas.openxmlformats.org/drawingml/2006/main">
          <a:r>
            <a:rPr lang="en-US" sz="1200"/>
            <a:t>*b,c</a:t>
          </a:r>
          <a:endParaRPr lang="ar-EG" sz="1200"/>
        </a:p>
      </cdr:txBody>
    </cdr:sp>
  </cdr:relSizeAnchor>
  <cdr:relSizeAnchor xmlns:cdr="http://schemas.openxmlformats.org/drawingml/2006/chartDrawing">
    <cdr:from>
      <cdr:x>0.37083</cdr:x>
      <cdr:y>0.24305</cdr:y>
    </cdr:from>
    <cdr:to>
      <cdr:x>0.4625</cdr:x>
      <cdr:y>0.33333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695435" y="666738"/>
          <a:ext cx="419115" cy="24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/>
        <a:p xmlns:a="http://schemas.openxmlformats.org/drawingml/2006/main">
          <a:r>
            <a:rPr lang="en-US" sz="1200"/>
            <a:t>*a</a:t>
          </a:r>
          <a:endParaRPr lang="ar-EG" sz="12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Rania Hassan</dc:creator>
  <cp:lastModifiedBy>pc</cp:lastModifiedBy>
  <cp:revision>5</cp:revision>
  <dcterms:created xsi:type="dcterms:W3CDTF">2020-11-30T13:08:00Z</dcterms:created>
  <dcterms:modified xsi:type="dcterms:W3CDTF">2021-03-25T10:46:00Z</dcterms:modified>
</cp:coreProperties>
</file>