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63C" w:rsidRDefault="0056463C" w:rsidP="00D97499">
      <w:pPr>
        <w:ind w:left="-284" w:right="-330"/>
        <w:jc w:val="center"/>
        <w:rPr>
          <w:rFonts w:ascii="Times New Roman" w:hAnsi="Times New Roman" w:cs="Times New Roman"/>
          <w:b/>
        </w:rPr>
      </w:pPr>
      <w:r>
        <w:rPr>
          <w:rFonts w:ascii="Times New Roman" w:hAnsi="Times New Roman" w:cs="Times New Roman"/>
          <w:b/>
        </w:rPr>
        <w:t>Supplementary Material</w:t>
      </w:r>
    </w:p>
    <w:p w:rsidR="000A3386" w:rsidRDefault="000A3386" w:rsidP="007C4FF9">
      <w:pPr>
        <w:ind w:left="-284" w:right="-330"/>
        <w:jc w:val="center"/>
        <w:rPr>
          <w:rFonts w:ascii="Times New Roman" w:hAnsi="Times New Roman" w:cs="Times New Roman"/>
          <w:noProof/>
          <w:lang w:eastAsia="en-IN"/>
        </w:rPr>
      </w:pPr>
    </w:p>
    <w:p w:rsidR="00814AD5" w:rsidRPr="005210D3" w:rsidRDefault="00C156F3" w:rsidP="007C4FF9">
      <w:pPr>
        <w:ind w:left="-284" w:right="-330"/>
        <w:jc w:val="center"/>
        <w:rPr>
          <w:rFonts w:ascii="Times New Roman" w:hAnsi="Times New Roman" w:cs="Times New Roman"/>
        </w:rPr>
      </w:pPr>
      <w:r w:rsidRPr="005210D3">
        <w:rPr>
          <w:rFonts w:ascii="Times New Roman" w:hAnsi="Times New Roman" w:cs="Times New Roman"/>
          <w:noProof/>
          <w:lang w:eastAsia="en-IN"/>
        </w:rPr>
        <w:drawing>
          <wp:inline distT="0" distB="0" distL="0" distR="0">
            <wp:extent cx="3827110" cy="3327400"/>
            <wp:effectExtent l="0" t="0" r="2540" b="6350"/>
            <wp:docPr id="2" name="Picture 2" descr="E:\8. MDD and Suicide-Feb 2023 Analysis\4. Manuscipt\Supplementary Fig. 2-T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8. MDD and Suicide-Feb 2023 Analysis\4. Manuscipt\Supplementary Fig. 2-TR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28109" cy="3328269"/>
                    </a:xfrm>
                    <a:prstGeom prst="rect">
                      <a:avLst/>
                    </a:prstGeom>
                    <a:noFill/>
                    <a:ln>
                      <a:noFill/>
                    </a:ln>
                  </pic:spPr>
                </pic:pic>
              </a:graphicData>
            </a:graphic>
          </wp:inline>
        </w:drawing>
      </w:r>
    </w:p>
    <w:p w:rsidR="005210D3" w:rsidRDefault="00C156F3" w:rsidP="00E13DC3">
      <w:pPr>
        <w:ind w:left="-284" w:right="-330"/>
        <w:jc w:val="both"/>
        <w:rPr>
          <w:rFonts w:ascii="Times New Roman" w:hAnsi="Times New Roman" w:cs="Times New Roman"/>
        </w:rPr>
      </w:pPr>
      <w:r w:rsidRPr="00DB76F8">
        <w:rPr>
          <w:rFonts w:ascii="Times New Roman" w:hAnsi="Times New Roman" w:cs="Times New Roman"/>
          <w:b/>
        </w:rPr>
        <w:t xml:space="preserve">Supplementary Fig. </w:t>
      </w:r>
      <w:r w:rsidR="000A3386">
        <w:rPr>
          <w:rFonts w:ascii="Times New Roman" w:hAnsi="Times New Roman" w:cs="Times New Roman"/>
          <w:b/>
        </w:rPr>
        <w:t>1.</w:t>
      </w:r>
      <w:r w:rsidRPr="005210D3">
        <w:rPr>
          <w:rFonts w:ascii="Times New Roman" w:hAnsi="Times New Roman" w:cs="Times New Roman"/>
        </w:rPr>
        <w:t xml:space="preserve"> Number of TRs having overrepresented binding sites in the regulatory regions of the genes differential</w:t>
      </w:r>
      <w:r w:rsidR="009C67F4" w:rsidRPr="005210D3">
        <w:rPr>
          <w:rFonts w:ascii="Times New Roman" w:hAnsi="Times New Roman" w:cs="Times New Roman"/>
        </w:rPr>
        <w:t>ly expressed in MDD and suicide; upregulated in MDD/suicide (left), downregulated in MDD/suicide (right).</w:t>
      </w:r>
      <w:r w:rsidR="00FD4298" w:rsidRPr="005210D3">
        <w:rPr>
          <w:rFonts w:ascii="Times New Roman" w:hAnsi="Times New Roman" w:cs="Times New Roman"/>
        </w:rPr>
        <w:t xml:space="preserve"> 40 TRs </w:t>
      </w:r>
      <w:r w:rsidR="006B7298">
        <w:rPr>
          <w:rFonts w:ascii="Times New Roman" w:hAnsi="Times New Roman" w:cs="Times New Roman"/>
        </w:rPr>
        <w:t xml:space="preserve">were found to be </w:t>
      </w:r>
      <w:r w:rsidR="00FD4298" w:rsidRPr="005210D3">
        <w:rPr>
          <w:rFonts w:ascii="Times New Roman" w:hAnsi="Times New Roman" w:cs="Times New Roman"/>
        </w:rPr>
        <w:t>common between the MDD</w:t>
      </w:r>
      <w:r w:rsidR="002735D0">
        <w:rPr>
          <w:rFonts w:ascii="Times New Roman" w:hAnsi="Times New Roman" w:cs="Times New Roman"/>
        </w:rPr>
        <w:t>-</w:t>
      </w:r>
      <w:r w:rsidR="002735D0" w:rsidRPr="005210D3">
        <w:rPr>
          <w:rFonts w:ascii="Times New Roman" w:hAnsi="Times New Roman" w:cs="Times New Roman"/>
        </w:rPr>
        <w:t>upregulated</w:t>
      </w:r>
      <w:r w:rsidR="00FD4298" w:rsidRPr="005210D3">
        <w:rPr>
          <w:rFonts w:ascii="Times New Roman" w:hAnsi="Times New Roman" w:cs="Times New Roman"/>
        </w:rPr>
        <w:t xml:space="preserve">, and </w:t>
      </w:r>
      <w:r w:rsidR="002735D0" w:rsidRPr="005210D3">
        <w:rPr>
          <w:rFonts w:ascii="Times New Roman" w:hAnsi="Times New Roman" w:cs="Times New Roman"/>
        </w:rPr>
        <w:t>suicide</w:t>
      </w:r>
      <w:r w:rsidR="002735D0">
        <w:rPr>
          <w:rFonts w:ascii="Times New Roman" w:hAnsi="Times New Roman" w:cs="Times New Roman"/>
        </w:rPr>
        <w:t>-</w:t>
      </w:r>
      <w:r w:rsidR="00FD4298" w:rsidRPr="005210D3">
        <w:rPr>
          <w:rFonts w:ascii="Times New Roman" w:hAnsi="Times New Roman" w:cs="Times New Roman"/>
        </w:rPr>
        <w:t xml:space="preserve">downregulated </w:t>
      </w:r>
      <w:r w:rsidR="002735D0">
        <w:rPr>
          <w:rFonts w:ascii="Times New Roman" w:hAnsi="Times New Roman" w:cs="Times New Roman"/>
        </w:rPr>
        <w:t>categories</w:t>
      </w:r>
      <w:r w:rsidR="00FD4298" w:rsidRPr="005210D3">
        <w:rPr>
          <w:rFonts w:ascii="Times New Roman" w:hAnsi="Times New Roman" w:cs="Times New Roman"/>
        </w:rPr>
        <w:t>.</w:t>
      </w:r>
    </w:p>
    <w:p w:rsidR="00FF045A" w:rsidRDefault="00FF045A" w:rsidP="00E13DC3">
      <w:pPr>
        <w:ind w:left="-284" w:right="-330"/>
        <w:jc w:val="both"/>
        <w:rPr>
          <w:rFonts w:ascii="Times New Roman" w:hAnsi="Times New Roman" w:cs="Times New Roman"/>
        </w:rPr>
      </w:pPr>
    </w:p>
    <w:p w:rsidR="00FF045A" w:rsidRDefault="00FF045A" w:rsidP="00E13DC3">
      <w:pPr>
        <w:ind w:left="-284" w:right="-330"/>
        <w:jc w:val="both"/>
        <w:rPr>
          <w:rFonts w:ascii="Times New Roman" w:hAnsi="Times New Roman" w:cs="Times New Roman"/>
        </w:rPr>
      </w:pPr>
    </w:p>
    <w:p w:rsidR="00FF045A" w:rsidRDefault="00FF045A" w:rsidP="00E13DC3">
      <w:pPr>
        <w:ind w:left="-284" w:right="-330"/>
        <w:jc w:val="both"/>
        <w:rPr>
          <w:rFonts w:ascii="Times New Roman" w:hAnsi="Times New Roman" w:cs="Times New Roman"/>
        </w:rPr>
      </w:pPr>
    </w:p>
    <w:p w:rsidR="00FF045A" w:rsidRDefault="00FF045A" w:rsidP="00E13DC3">
      <w:pPr>
        <w:ind w:left="-284" w:right="-330"/>
        <w:jc w:val="both"/>
        <w:rPr>
          <w:rFonts w:ascii="Times New Roman" w:hAnsi="Times New Roman" w:cs="Times New Roman"/>
        </w:rPr>
      </w:pPr>
    </w:p>
    <w:p w:rsidR="00FF045A" w:rsidRDefault="00FF045A" w:rsidP="00E13DC3">
      <w:pPr>
        <w:ind w:left="-284" w:right="-330"/>
        <w:jc w:val="both"/>
        <w:rPr>
          <w:rFonts w:ascii="Times New Roman" w:hAnsi="Times New Roman" w:cs="Times New Roman"/>
        </w:rPr>
      </w:pPr>
    </w:p>
    <w:p w:rsidR="00FF045A" w:rsidRDefault="00FF045A" w:rsidP="00E13DC3">
      <w:pPr>
        <w:ind w:left="-284" w:right="-330"/>
        <w:jc w:val="both"/>
        <w:rPr>
          <w:rFonts w:ascii="Times New Roman" w:hAnsi="Times New Roman" w:cs="Times New Roman"/>
        </w:rPr>
      </w:pPr>
    </w:p>
    <w:p w:rsidR="00FF045A" w:rsidRDefault="00FF045A" w:rsidP="00E13DC3">
      <w:pPr>
        <w:ind w:left="-284" w:right="-330"/>
        <w:jc w:val="both"/>
        <w:rPr>
          <w:rFonts w:ascii="Times New Roman" w:hAnsi="Times New Roman" w:cs="Times New Roman"/>
        </w:rPr>
      </w:pPr>
    </w:p>
    <w:p w:rsidR="00FF045A" w:rsidRDefault="00FF045A" w:rsidP="00E13DC3">
      <w:pPr>
        <w:ind w:left="-284" w:right="-330"/>
        <w:jc w:val="both"/>
        <w:rPr>
          <w:rFonts w:ascii="Times New Roman" w:hAnsi="Times New Roman" w:cs="Times New Roman"/>
        </w:rPr>
      </w:pPr>
    </w:p>
    <w:p w:rsidR="00FF045A" w:rsidRDefault="00FF045A" w:rsidP="00E13DC3">
      <w:pPr>
        <w:ind w:left="-284" w:right="-330"/>
        <w:jc w:val="both"/>
        <w:rPr>
          <w:rFonts w:ascii="Times New Roman" w:hAnsi="Times New Roman" w:cs="Times New Roman"/>
        </w:rPr>
      </w:pPr>
    </w:p>
    <w:p w:rsidR="00FF045A" w:rsidRDefault="00FF045A" w:rsidP="00E13DC3">
      <w:pPr>
        <w:ind w:left="-284" w:right="-330"/>
        <w:jc w:val="both"/>
        <w:rPr>
          <w:rFonts w:ascii="Times New Roman" w:hAnsi="Times New Roman" w:cs="Times New Roman"/>
        </w:rPr>
      </w:pPr>
    </w:p>
    <w:p w:rsidR="00FF045A" w:rsidRDefault="00FF045A" w:rsidP="00E13DC3">
      <w:pPr>
        <w:ind w:left="-284" w:right="-330"/>
        <w:jc w:val="both"/>
        <w:rPr>
          <w:rFonts w:ascii="Times New Roman" w:hAnsi="Times New Roman" w:cs="Times New Roman"/>
        </w:rPr>
      </w:pPr>
    </w:p>
    <w:p w:rsidR="00D97499" w:rsidRDefault="00D97499" w:rsidP="00FF045A">
      <w:pPr>
        <w:ind w:left="-426"/>
        <w:rPr>
          <w:rFonts w:ascii="Times New Roman" w:hAnsi="Times New Roman" w:cs="Times New Roman"/>
          <w:b/>
        </w:rPr>
      </w:pPr>
    </w:p>
    <w:p w:rsidR="00D97499" w:rsidRDefault="00D97499" w:rsidP="00FF045A">
      <w:pPr>
        <w:ind w:left="-426"/>
        <w:rPr>
          <w:rFonts w:ascii="Times New Roman" w:hAnsi="Times New Roman" w:cs="Times New Roman"/>
          <w:b/>
        </w:rPr>
      </w:pPr>
    </w:p>
    <w:p w:rsidR="00D97499" w:rsidRDefault="00D97499" w:rsidP="00FF045A">
      <w:pPr>
        <w:ind w:left="-426"/>
        <w:rPr>
          <w:rFonts w:ascii="Times New Roman" w:hAnsi="Times New Roman" w:cs="Times New Roman"/>
          <w:b/>
        </w:rPr>
      </w:pPr>
    </w:p>
    <w:p w:rsidR="00D97499" w:rsidRDefault="00D97499" w:rsidP="00FF045A">
      <w:pPr>
        <w:ind w:left="-426"/>
        <w:rPr>
          <w:rFonts w:ascii="Times New Roman" w:hAnsi="Times New Roman" w:cs="Times New Roman"/>
          <w:b/>
        </w:rPr>
      </w:pPr>
    </w:p>
    <w:p w:rsidR="00D97499" w:rsidRDefault="00D97499" w:rsidP="00FF045A">
      <w:pPr>
        <w:ind w:left="-426"/>
        <w:rPr>
          <w:rFonts w:ascii="Times New Roman" w:hAnsi="Times New Roman" w:cs="Times New Roman"/>
          <w:b/>
        </w:rPr>
      </w:pPr>
    </w:p>
    <w:p w:rsidR="00D97499" w:rsidRDefault="00D97499" w:rsidP="00FF045A">
      <w:pPr>
        <w:ind w:left="-426"/>
        <w:rPr>
          <w:rFonts w:ascii="Times New Roman" w:hAnsi="Times New Roman" w:cs="Times New Roman"/>
          <w:b/>
        </w:rPr>
      </w:pPr>
    </w:p>
    <w:p w:rsidR="00D97499" w:rsidRDefault="00D97499" w:rsidP="00FF045A">
      <w:pPr>
        <w:ind w:left="-426"/>
        <w:rPr>
          <w:rFonts w:ascii="Times New Roman" w:hAnsi="Times New Roman" w:cs="Times New Roman"/>
          <w:b/>
        </w:rPr>
      </w:pPr>
    </w:p>
    <w:p w:rsidR="00FF045A" w:rsidRPr="00741BF4" w:rsidRDefault="00FF045A" w:rsidP="00FF045A">
      <w:pPr>
        <w:ind w:left="-426"/>
        <w:rPr>
          <w:rFonts w:ascii="Times New Roman" w:hAnsi="Times New Roman" w:cs="Times New Roman"/>
        </w:rPr>
      </w:pPr>
      <w:r w:rsidRPr="00741BF4">
        <w:rPr>
          <w:rFonts w:ascii="Times New Roman" w:hAnsi="Times New Roman" w:cs="Times New Roman"/>
          <w:b/>
        </w:rPr>
        <w:t>Supplementary Table 1.</w:t>
      </w:r>
      <w:r w:rsidRPr="00741BF4">
        <w:rPr>
          <w:rFonts w:ascii="Times New Roman" w:hAnsi="Times New Roman" w:cs="Times New Roman"/>
        </w:rPr>
        <w:t xml:space="preserve"> Transcriptional regulators (TRs) having overrepresented binding sites in the regulatory genomic regions of th</w:t>
      </w:r>
      <w:r w:rsidR="002B5B34">
        <w:rPr>
          <w:rFonts w:ascii="Times New Roman" w:hAnsi="Times New Roman" w:cs="Times New Roman"/>
        </w:rPr>
        <w:t>e genes upregulated in MDD and d</w:t>
      </w:r>
      <w:bookmarkStart w:id="0" w:name="_GoBack"/>
      <w:bookmarkEnd w:id="0"/>
      <w:r w:rsidRPr="00741BF4">
        <w:rPr>
          <w:rFonts w:ascii="Times New Roman" w:hAnsi="Times New Roman" w:cs="Times New Roman"/>
        </w:rPr>
        <w:t>ownregulated in suicide</w:t>
      </w:r>
    </w:p>
    <w:tbl>
      <w:tblPr>
        <w:tblStyle w:val="TableGrid"/>
        <w:tblW w:w="9924" w:type="dxa"/>
        <w:tblInd w:w="-431" w:type="dxa"/>
        <w:tblLook w:val="04A0" w:firstRow="1" w:lastRow="0" w:firstColumn="1" w:lastColumn="0" w:noHBand="0" w:noVBand="1"/>
      </w:tblPr>
      <w:tblGrid>
        <w:gridCol w:w="540"/>
        <w:gridCol w:w="1072"/>
        <w:gridCol w:w="6753"/>
        <w:gridCol w:w="1559"/>
      </w:tblGrid>
      <w:tr w:rsidR="00FF045A" w:rsidRPr="00741BF4" w:rsidTr="0004429A">
        <w:tc>
          <w:tcPr>
            <w:tcW w:w="0" w:type="auto"/>
          </w:tcPr>
          <w:p w:rsidR="00FF045A" w:rsidRPr="00741BF4" w:rsidRDefault="00FF045A" w:rsidP="0004429A">
            <w:pPr>
              <w:jc w:val="center"/>
              <w:rPr>
                <w:rFonts w:ascii="Times New Roman" w:hAnsi="Times New Roman" w:cs="Times New Roman"/>
                <w:b/>
              </w:rPr>
            </w:pPr>
            <w:r w:rsidRPr="00741BF4">
              <w:rPr>
                <w:rFonts w:ascii="Times New Roman" w:hAnsi="Times New Roman" w:cs="Times New Roman"/>
                <w:b/>
              </w:rPr>
              <w:t>S. No.</w:t>
            </w:r>
          </w:p>
        </w:tc>
        <w:tc>
          <w:tcPr>
            <w:tcW w:w="965" w:type="dxa"/>
          </w:tcPr>
          <w:p w:rsidR="00FF045A" w:rsidRPr="00741BF4" w:rsidRDefault="00FF045A" w:rsidP="0004429A">
            <w:pPr>
              <w:jc w:val="center"/>
              <w:rPr>
                <w:rFonts w:ascii="Times New Roman" w:hAnsi="Times New Roman" w:cs="Times New Roman"/>
                <w:b/>
              </w:rPr>
            </w:pPr>
            <w:r w:rsidRPr="00741BF4">
              <w:rPr>
                <w:rFonts w:ascii="Times New Roman" w:hAnsi="Times New Roman" w:cs="Times New Roman"/>
                <w:b/>
              </w:rPr>
              <w:t>TR</w:t>
            </w:r>
          </w:p>
        </w:tc>
        <w:tc>
          <w:tcPr>
            <w:tcW w:w="6780" w:type="dxa"/>
          </w:tcPr>
          <w:p w:rsidR="00FF045A" w:rsidRPr="00741BF4" w:rsidRDefault="00FF045A" w:rsidP="0004429A">
            <w:pPr>
              <w:jc w:val="center"/>
              <w:rPr>
                <w:rFonts w:ascii="Times New Roman" w:hAnsi="Times New Roman" w:cs="Times New Roman"/>
                <w:b/>
              </w:rPr>
            </w:pPr>
            <w:r w:rsidRPr="00741BF4">
              <w:rPr>
                <w:rFonts w:ascii="Times New Roman" w:hAnsi="Times New Roman" w:cs="Times New Roman"/>
                <w:b/>
              </w:rPr>
              <w:t>Function/s</w:t>
            </w:r>
          </w:p>
        </w:tc>
        <w:tc>
          <w:tcPr>
            <w:tcW w:w="1560" w:type="dxa"/>
          </w:tcPr>
          <w:p w:rsidR="00FF045A" w:rsidRPr="00741BF4" w:rsidRDefault="00FF045A" w:rsidP="0004429A">
            <w:pPr>
              <w:jc w:val="center"/>
              <w:rPr>
                <w:rFonts w:ascii="Times New Roman" w:hAnsi="Times New Roman" w:cs="Times New Roman"/>
                <w:b/>
              </w:rPr>
            </w:pPr>
            <w:r w:rsidRPr="00741BF4">
              <w:rPr>
                <w:rFonts w:ascii="Times New Roman" w:hAnsi="Times New Roman" w:cs="Times New Roman"/>
                <w:b/>
              </w:rPr>
              <w:t>Reference/s</w:t>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1</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PAF1</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 elongation, transcription-coupled histone modifications, chromatin organization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{"citationItems":[{"id":"ITEM-1","itemData":{"DOI":"10.1111/febs.16582","ISSN":"17424658","abstract":"Cell identity is determined by the transcriptional regulation of a cell-type-specific gene group. The Paf1 complex (Paf1C), an RNA polymerase II-associating factor, is an important transcriptional regulator that not only participates in transcription elongation and termination but also affects transcription-coupled histone modifications and chromatin organisation. Recent studies have shown that Paf1C is involved in the expression of genes required for self-renewal and pluripotency in stem cells and tumorigenesis. In this review, we focused on the role of Paf1C as a critical transcriptional regulator in cell fate decisions. Paf1C affects the pluripotency of stem cells by regulating the expression of core transcription factors such as Oct4 and Nanog. In addition, Paf1C directly binds to the promoters or distant elements of target genes, thereby maintaining the pluripotency in embryonic stem cells derived from an early stage of the mammalian embryo. Paf1C is upregulated in cancer stem cells, as compared with that in cancer cells, suggesting that Paf1C may be a target for cancer therapy. Interestingly, Paf1C is involved in multiple developmental stages in Drosophila, zebrafish, mice and even humans, thereby displaying a trend for the correlation between Paf1C and cell fate. Thus, we propose that Paf1C is a critical contributor to cell differentiation, cell specification and its characteristics and could be employed as a therapeutic target in developmental diseases.","author":[{"dropping-particle":"","family":"Park","given":"Jiyeon","non-dropping-particle":"","parse-names":false,"suffix":""},{"dropping-particle":"","family":"Park","given":"Shinae","non-dropping-particle":"","parse-names":false,"suffix":""},{"dropping-particle":"","family":"Lee","given":"Jung Shin","non-dropping-particle":"","parse-names":false,"suffix":""}],"container-title":"FEBS Journal","id":"ITEM-1","issue":"4","issued":{"date-parts":[["2023"]]},"title":"Role of the Paf1 complex in the maintenance of stem cell pluripotency and development","type":"article","volume":"290"},"uris":["http://www.mendeley.com/documents/?uuid=c116303f-ccd8-327c-a500-1a285304ab60"]}],"mendeley":{"formattedCitation":"[1]","plainTextFormattedCitation":"[1]","previouslyFormattedCitation":"[1]"},"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[1]</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2</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WDR5</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Involved in chromatin modifications; associated with the mixed lineage leukaemia (MLL) complex</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{"citationItems":[{"id":"ITEM-1","itemData":{"DOI":"10.1074/jbc.M806900200","ISSN":"00219258","abstract":"WDR5 is a component of the mixed lineage leukemia (MLL) complex, which methylates lysine 4 of histone H3, and was identified as a methylated Lys-4 histone H3-binding protein. Here, we present a crystal structure of WDR5 bound to an MLL peptide. Surprisingly, we find that WDR5 utilizes the same pocket shown to bind histone H3 for this MLL interaction. Furthermore, the WDR5-MLL interaction is disrupted preferentially by mono- and di-methylated Lys-4 histone H3 over unmodified and tri-methylated Lys-4 histone H3. These data implicate a delicate interplay between the effector, WDR5, the catalytic subunit, MLL, and the substrate, histone H3, of the MLL complex. We suggest that the activity of the MLL complex might be regulated through this interplay. © 2008 by The American Society for Biochemistry and Molecular Biology, Inc.","author":[{"dropping-particle":"","family":"Song","given":"Ji Joon","non-dropping-particle":"","parse-names":false,"suffix":""},{"dropping-particle":"","family":"Kingston","given":"Robert E.","non-dropping-particle":"","parse-names":false,"suffix":""}],"container-title":"Journal of Biological Chemistry","id":"ITEM-1","issue":"50","issued":{"date-parts":[["2008"]]},"title":"WDR5 interacts with mixed lineage leukemia (MLL) protein via the histone H3-binding pocket","type":"article-journal","volume":"283"},"uris":["http://www.mendeley.com/documents/?uuid=e4f34554-bde7-30e3-b19a-377b988840a8"]}],"mendeley":{"formattedCitation":"[2]","plainTextFormattedCitation":"[2]","previouslyFormattedCitation":"[2]"},"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[2]</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4</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ZNF783</w:t>
            </w:r>
          </w:p>
        </w:tc>
        <w:tc>
          <w:tcPr>
            <w:tcW w:w="6780" w:type="dxa"/>
          </w:tcPr>
          <w:p w:rsidR="00FF045A" w:rsidRPr="00741BF4" w:rsidRDefault="00FF045A" w:rsidP="00FF045A">
            <w:pPr>
              <w:pStyle w:val="ListParagraph"/>
              <w:numPr>
                <w:ilvl w:val="0"/>
                <w:numId w:val="1"/>
              </w:numPr>
              <w:ind w:left="261" w:hanging="261"/>
              <w:rPr>
                <w:rFonts w:ascii="Times New Roman" w:hAnsi="Times New Roman" w:cs="Times New Roman"/>
              </w:rPr>
            </w:pPr>
            <w:r w:rsidRPr="00741BF4">
              <w:rPr>
                <w:rFonts w:ascii="Times New Roman" w:hAnsi="Times New Roman" w:cs="Times New Roman"/>
              </w:rPr>
              <w:t>Regulation of transcription by RNA pol II (predicted)</w:t>
            </w:r>
          </w:p>
          <w:p w:rsidR="00FF045A" w:rsidRPr="00741BF4" w:rsidRDefault="00FF045A" w:rsidP="00FF045A">
            <w:pPr>
              <w:pStyle w:val="ListParagraph"/>
              <w:numPr>
                <w:ilvl w:val="0"/>
                <w:numId w:val="1"/>
              </w:numPr>
              <w:ind w:left="261" w:hanging="261"/>
              <w:rPr>
                <w:rFonts w:ascii="Times New Roman" w:hAnsi="Times New Roman" w:cs="Times New Roman"/>
              </w:rPr>
            </w:pPr>
            <w:r w:rsidRPr="00741BF4">
              <w:rPr>
                <w:rFonts w:ascii="Times New Roman" w:hAnsi="Times New Roman" w:cs="Times New Roman"/>
              </w:rPr>
              <w:t>Uncharacterized repressor</w:t>
            </w:r>
          </w:p>
        </w:tc>
        <w:tc>
          <w:tcPr>
            <w:tcW w:w="1560" w:type="dxa"/>
          </w:tcPr>
          <w:p w:rsidR="00FF045A" w:rsidRPr="00741BF4" w:rsidRDefault="00FF045A" w:rsidP="0004429A">
            <w:pPr>
              <w:rPr>
                <w:rFonts w:ascii="Times New Roman" w:hAnsi="Times New Roman" w:cs="Times New Roman"/>
                <w:sz w:val="20"/>
                <w:szCs w:val="20"/>
              </w:rPr>
            </w:pPr>
            <w:r w:rsidRPr="00741BF4">
              <w:rPr>
                <w:rFonts w:ascii="Times New Roman" w:hAnsi="Times New Roman" w:cs="Times New Roman"/>
                <w:sz w:val="20"/>
                <w:szCs w:val="20"/>
              </w:rPr>
              <w:t xml:space="preserve">NCBI Gene ID: (100289678) </w:t>
            </w:r>
          </w:p>
          <w:p w:rsidR="00FF045A" w:rsidRPr="00741BF4" w:rsidRDefault="00FF045A" w:rsidP="0004429A">
            <w:pPr>
              <w:rPr>
                <w:rFonts w:ascii="Times New Roman" w:hAnsi="Times New Roman" w:cs="Times New Roman"/>
                <w:sz w:val="20"/>
                <w:szCs w:val="20"/>
              </w:rPr>
            </w:pPr>
            <w:r w:rsidRPr="00741BF4">
              <w:rPr>
                <w:rFonts w:ascii="Times New Roman" w:hAnsi="Times New Roman" w:cs="Times New Roman"/>
                <w:sz w:val="20"/>
                <w:szCs w:val="20"/>
              </w:rPr>
              <w:fldChar w:fldCharType="begin" w:fldLock="1"/>
            </w:r>
            <w:r w:rsidRPr="00741BF4">
              <w:rPr>
                <w:rFonts w:ascii="Times New Roman" w:hAnsi="Times New Roman" w:cs="Times New Roman"/>
                <w:sz w:val="20"/>
                <w:szCs w:val="20"/>
              </w:rPr>
              <w:instrText>ADDIN CSL_CITATION {"citationItems":[{"id":"ITEM-1","itemData":{"DOI":"10.1016/j.cell.2020.11.024","ISSN":"10974172","abstract":"Thousands of proteins localize to the nucleus; however, it remains unclear which contain transcriptional effectors. Here, we develop HT-recruit, a pooled assay where protein libraries are recruited to a reporter, and their transcriptional effects are measured by sequencing. Using this approach, we measure gene silencing and activation for thousands of domains. We find a relationship between repressor function and evolutionary age for the KRAB domains, discover that Homeodomain repressor strength is collinear with Hox genetic organization, and identify activities for several domains of unknown function. Deep mutational scanning of the CRISPRi KRAB maps the co-repressor binding surface and identifies substitutions that improve stability/silencing. By tiling 238 proteins, we find repressors as short as ten amino acids. Finally, we report new activator domains, including a divergent KRAB. These results provide a resource of 600 human proteins containing effectors and demonstrate a scalable strategy for assigning functions to protein domains.","author":[{"dropping-particle":"","family":"Tycko","given":"Josh","non-dropping-particle":"","parse-names":false,"suffix":""},{"dropping-particle":"","family":"DelRosso","given":"Nicole","non-dropping-particle":"","parse-names":false,"suffix":""},{"dropping-particle":"","family":"Hess","given":"Gaelen T.","non-dropping-particle":"","parse-names":false,"suffix":""},{"dropping-particle":"","family":"Aradhana","given":"","non-dropping-particle":"","parse-names":false,"suffix":""},{"dropping-particle":"","family":"Banerjee","given":"Abhimanyu","non-dropping-particle":"","parse-names":false,"suffix":""},{"dropping-particle":"","family":"Mukund","given":"Aditya","non-dropping-particle":"","parse-names":false,"suffix":""},{"dropping-particle":"V.","family":"Van","given":"Mike","non-dropping-particle":"","parse-names":false,"suffix":""},{"dropping-particle":"","family":"Ego","given":"Braeden K.","non-dropping-particle":"","parse-names":false,"suffix":""},{"dropping-particle":"","family":"Yao","given":"David","non-dropping-particle":"","parse-names":false,"suffix":""},{"dropping-particle":"","family":"Spees","given":"Kaitlyn","non-dropping-particle":"","parse-names":false,"suffix":""},{"dropping-particle":"","family":"Suzuki","given":"Peter","non-dropping-particle":"","parse-names":false,"suffix":""},{"dropping-particle":"","family":"Marinov","given":"Georgi K.","non-dropping-particle":"","parse-names":false,"suffix":""},{"dropping-particle":"","family":"Kundaje","given":"Anshul","non-dropping-particle":"","parse-names":false,"suffix":""},{"dropping-particle":"","family":"Bassik","given":"Michael C.","non-dropping-particle":"","parse-names":false,"suffix":""},{"dropping-particle":"","family":"Bintu","given":"Lacramioara","non-dropping-particle":"","parse-names":false,"suffix":""}],"container-title":"Cell","id":"ITEM-1","issue":"7","issued":{"date-parts":[["2020"]]},"title":"High-Throughput Discovery and Characterization of Human Transcriptional Effectors","type":"article-journal","volume":"183"},"uris":["http://www.mendeley.com/documents/?uuid=a2424576-e7d2-35c1-88dc-1f999f829264"]}],"mendeley":{"formattedCitation":"[3]","plainTextFormattedCitation":"[3]","previouslyFormattedCitation":"[3]"},"properties":{"noteIndex":0},"schema":"https://github.com/citation-style-language/schema/raw/master/csl-citation.json"}</w:instrText>
            </w:r>
            <w:r w:rsidRPr="00741BF4">
              <w:rPr>
                <w:rFonts w:ascii="Times New Roman" w:hAnsi="Times New Roman" w:cs="Times New Roman"/>
                <w:sz w:val="20"/>
                <w:szCs w:val="20"/>
              </w:rPr>
              <w:fldChar w:fldCharType="separate"/>
            </w:r>
            <w:r w:rsidRPr="00741BF4">
              <w:rPr>
                <w:rFonts w:ascii="Times New Roman" w:hAnsi="Times New Roman" w:cs="Times New Roman"/>
                <w:noProof/>
                <w:sz w:val="20"/>
                <w:szCs w:val="20"/>
              </w:rPr>
              <w:t>[3]</w:t>
            </w:r>
            <w:r w:rsidRPr="00741BF4">
              <w:rPr>
                <w:rFonts w:ascii="Times New Roman" w:hAnsi="Times New Roman" w:cs="Times New Roman"/>
                <w:sz w:val="20"/>
                <w:szCs w:val="20"/>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5</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AFF4</w:t>
            </w:r>
          </w:p>
        </w:tc>
        <w:tc>
          <w:tcPr>
            <w:tcW w:w="6780" w:type="dxa"/>
          </w:tcPr>
          <w:p w:rsidR="00FF045A" w:rsidRPr="00741BF4" w:rsidRDefault="00FF045A" w:rsidP="00FF045A">
            <w:pPr>
              <w:pStyle w:val="ListParagraph"/>
              <w:numPr>
                <w:ilvl w:val="0"/>
                <w:numId w:val="1"/>
              </w:numPr>
              <w:ind w:left="261" w:hanging="261"/>
              <w:rPr>
                <w:rFonts w:ascii="Times New Roman" w:hAnsi="Times New Roman" w:cs="Times New Roman"/>
              </w:rPr>
            </w:pPr>
            <w:r w:rsidRPr="00741BF4">
              <w:rPr>
                <w:rFonts w:ascii="Times New Roman" w:hAnsi="Times New Roman" w:cs="Times New Roman"/>
              </w:rPr>
              <w:t>Transcriptional elongation</w:t>
            </w:r>
          </w:p>
          <w:p w:rsidR="00FF045A" w:rsidRPr="00741BF4" w:rsidRDefault="00FF045A" w:rsidP="00FF045A">
            <w:pPr>
              <w:pStyle w:val="ListParagraph"/>
              <w:numPr>
                <w:ilvl w:val="0"/>
                <w:numId w:val="1"/>
              </w:numPr>
              <w:ind w:left="261" w:hanging="261"/>
              <w:rPr>
                <w:rFonts w:ascii="Times New Roman" w:hAnsi="Times New Roman" w:cs="Times New Roman"/>
              </w:rPr>
            </w:pPr>
            <w:r w:rsidRPr="00741BF4">
              <w:rPr>
                <w:rFonts w:ascii="Times New Roman" w:hAnsi="Times New Roman" w:cs="Times New Roman"/>
              </w:rPr>
              <w:t>Chromatin remodelling</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{"citationItems":[{"id":"ITEM-1","itemData":{"DOI":"10.1038/s41368-020-0083-9","ISSN":"20493169","abstract":"As a member of the AFF (AF4/FMR2) family, AFF4 is a transcription elongation factor that is a component of the super elongation complex. AFF4 serves as a scaffolding protein that connects transcription factors and promotes gene transcription through elongation and chromatin remodelling. Here, we investigated the effect of AFF4 on human dental follicle cells (DFCs) in osteogenic differentiation. In this study, we found that small interfering RNA-mediated depletion of AFF4 resulted in decreased alkaline phosphatase (ALP) activity and impaired mineralization. In addition, the expression of osteogenic-related genes (DLX5, SP7, RUNX2 and BGLAP) was significantly downregulated. In contrast, lentivirus-mediated overexpression of AFF4 significantly enhanced the osteogenic potential of human DFCs. Mechanistically, we found that both the mRNA and protein levels of ALKBH1, a critical regulator of epigenetics, changed in accordance with AFF4 expression levels. Overexpression of ALKBH1 in AFF4-depleted DFCs partially rescued the impairment of osteogenic differentiation. Our data indicated that AFF4 promoted the osteogenic differentiation of DFCs by upregulating the transcription of ALKBH1.","author":[{"dropping-particle":"","family":"Xiao","given":"Qingyue","non-dropping-particle":"","parse-names":false,"suffix":""},{"dropping-particle":"","family":"Zhang","given":"Yuning","non-dropping-particle":"","parse-names":false,"suffix":""},{"dropping-particle":"","family":"Qi","given":"Xingying","non-dropping-particle":"","parse-names":false,"suffix":""},{"dropping-particle":"","family":"Chen","given":"Yaqian","non-dropping-particle":"","parse-names":false,"suffix":""},{"dropping-particle":"","family":"Sheng","given":"Rui","non-dropping-particle":"","parse-names":false,"suffix":""},{"dropping-particle":"","family":"Xu","given":"Ruoshi","non-dropping-particle":"","parse-names":false,"suffix":""},{"dropping-particle":"","family":"Yuan","given":"Quan","non-dropping-particle":"","parse-names":false,"suffix":""},{"dropping-particle":"","family":"Zhou","given":"Chenchen","non-dropping-particle":"","parse-names":false,"suffix":""}],"container-title":"International Journal of Oral Science","id":"ITEM-1","issue":"1","issued":{"date-parts":[["2020"]]},"title":"AFF4 regulates osteogenic differentiation of human dental follicle cells","type":"article-journal","volume":"12"},"uris":["http://www.mendeley.com/documents/?uuid=865c79fe-8c13-381c-8209-e24d797c6352"]}],"mendeley":{"formattedCitation":"[4]","plainTextFormattedCitation":"[4]","previouslyFormattedCitation":"[4]"},"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[4]</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6</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SETD1A</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Histone modification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{"citationItems":[{"id":"ITEM-1","itemData":{"DOI":"10.3390/cancers12071736","ISSN":"20726694","abstract":"Androgen deprivation therapy eventually leads to the development of castration-resistant prostate cancer (CRPC). Here, we demonstrate for the first time that the histone H3K4 methyltransferase SETD1A is a major regulator for the proliferation of metastatic CRPC (mCRPC). The expression of SETD1A was significantly correlated with the survival rate of patients with prostate cancer. SETD1A, which is expressed at a higher level in mCRPC than in primary prostate cancer cells, promotes the expression of FOXM1, a gene encoding a cell proliferation-specific transcription factor. SETD1A is recruited to the promoter region of FOXM1 (forkhead box M1) upon binding to E2F1, a protein that regulates the transcription of FOXM1 and contributes to the trimethylation of H3K4 in the FOXM1 promoter region. In addition, SETD1A is essential for the expression of stem cell factor (e.g., OCT4, octamer-binding transcription factor 4) and stem cell formation in mCRPC, suggesting the importance of SETD1A expression in mCRPC tumor formation. Notably, poor prognosis is associated with high expression of the SETD1A–FOXM1 pair in clinical data sets. Therefore, our study suggests that SETD1A plays an important role in the proliferation of mCRPC by regulating FOXM1 transcription.","author":[{"dropping-particle":"","family":"Yang","given":"Liu","non-dropping-particle":"","parse-names":false,"suffix":""},{"dropping-particle":"","family":"Jin","given":"Mingli","non-dropping-particle":"","parse-names":false,"suffix":""},{"dropping-particle":"","family":"Park","given":"Sung Jean","non-dropping-particle":"","parse-names":false,"suffix":""},{"dropping-particle":"","family":"Seo","given":"Seung Yong","non-dropping-particle":"","parse-names":false,"suffix":""},{"dropping-particle":"","family":"Jeong","given":"Kwang Won","non-dropping-particle":"","parse-names":false,"suffix":""}],"container-title":"Cancers","id":"ITEM-1","issue":"7","issued":{"date-parts":[["2020"]]},"title":"Setd1a promotes proliferation of castration-resistant prostate cancer cells via FOXM1 transcription","type":"article-journal","volume":"12"},"uris":["http://www.mendeley.com/documents/?uuid=b3b04867-5749-31bd-8d63-c4e707f4f0b2"]}],"mendeley":{"formattedCitation":"[5]","plainTextFormattedCitation":"[5]","previouslyFormattedCitation":"[5]"},"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[5]</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7</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CBFB</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 and translational regulation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{"citationItems":[{"id":"ITEM-1","itemData":{"DOI":"10.1038/s41467-019-10102-6","ISSN":"20411723","abstract":"Translation and transcription are frequently dysregulated in cancer. These two processes are generally regulated by distinct sets of factors. The CBFB gene, which encodes a transcription factor, has recently emerged as a highly mutated driver in a variety of human cancers including breast cancer. Here we report a noncanonical role of CBFB in translation regulation. RNA immunoprecipitation followed by deep sequencing (RIP-seq) reveals that cytoplasmic CBFB binds to hundreds of transcripts and regulates their translation. CBFB binds to mRNAs via hnRNPK and enhances translation through eIF4B, a general translation initiation factor. Interestingly, the RUNX1 mRNA, which encodes the transcriptional partner of CBFB, is bound and translationally regulated by CBFB. Furthermore, nuclear CBFB/RUNX1 complex transcriptionally represses the oncogenic NOTCH signaling pathway in breast cancer. Thus, our data reveal an unexpected function of CBFB in translation regulation and propose that breast cancer cells evade translation and transcription surveillance simultaneously through downregulating CBFB.","author":[{"dropping-particle":"","family":"Malik","given":"Navdeep","non-dropping-particle":"","parse-names":false,"suffix":""},{"dropping-particle":"","family":"Yan","given":"Hualong","non-dropping-particle":"","parse-names":false,"suffix":""},{"dropping-particle":"","family":"Moshkovich","given":"Nellie","non-dropping-particle":"","parse-names":false,"suffix":""},{"dropping-particle":"","family":"Palangat","given":"Murali","non-dropping-particle":"","parse-names":false,"suffix":""},{"dropping-particle":"","family":"Yang","given":"Howard","non-dropping-particle":"","parse-names":false,"suffix":""},{"dropping-particle":"","family":"Sanchez","given":"Vanesa","non-dropping-particle":"","parse-names":false,"suffix":""},{"dropping-particle":"","family":"Cai","given":"Zhuo","non-dropping-particle":"","parse-names":false,"suffix":""},{"dropping-particle":"","family":"Peat","given":"Tyler J.","non-dropping-particle":"","parse-names":false,"suffix":""},{"dropping-particle":"","family":"Jiang","given":"Shunlin","non-dropping-particle":"","parse-names":false,"suffix":""},{"dropping-particle":"","family":"Liu","given":"Chengyu","non-dropping-particle":"","parse-names":false,"suffix":""},{"dropping-particle":"","family":"Lee","given":"Maxwell","non-dropping-particle":"","parse-names":false,"suffix":""},{"dropping-particle":"","family":"Mock","given":"Beverly A.","non-dropping-particle":"","parse-names":false,"suffix":""},{"dropping-particle":"","family":"Yuspa","given":"Stuart H.","non-dropping-particle":"","parse-names":false,"suffix":""},{"dropping-particle":"","family":"Larson","given":"Daniel","non-dropping-particle":"","parse-names":false,"suffix":""},{"dropping-particle":"","family":"Wakefield","given":"Lalage M.","non-dropping-particle":"","parse-names":false,"suffix":""},{"dropping-particle":"","family":"Huang","given":"Jing","non-dropping-particle":"","parse-names":false,"suffix":""}],"container-title":"Nature Communications","id":"ITEM-1","issue":"1","issued":{"date-parts":[["2019"]]},"title":"The transcription factor CBFB suppresses breast cancer through orchestrating translation and transcription","type":"article-journal","volume":"10"},"uris":["http://www.mendeley.com/documents/?uuid=6a9f000b-9b98-371d-9f4b-d6cc05044208"]}],"mendeley":{"formattedCitation":"[6]","plainTextFormattedCitation":"[6]","previouslyFormattedCitation":"[6]"},"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[6]</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8</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INO80</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Chromatin remodelling</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{"citationItems":[{"id":"ITEM-1","itemData":{"DOI":"10.1016/j.celrep.2017.12.079","ISSN":"22111247","abstract":"Adaptive survival requires the coordination of nutrient availability with expenditure of cellular resources. For example, in nutrient-limited environments, 50% of all S. cerevisiae genes synchronize and exhibit periodic bursts of expression in coordination with respiration and cell division in the yeast metabolic cycle (YMC). Despite the importance of metabolic and proliferative synchrony, the majority of YMC regulators are currently unknown. Here, we demonstrate that the INO80 chromatin-remodeling complex is required to coordinate respiration and cell division with periodic gene expression. Specifically, INO80 mutants have severe defects in oxygen consumption and promiscuous cell division that is no longer coupled with metabolic status. In mutant cells, chromatin accessibility of periodic genes, including TORC1-responsive genes, is relatively static, concomitant with severely attenuated gene expression. Collectively, these results reveal that the INO80 complex mediates metabolic signaling to chromatin to restrict proliferation to metabolically optimal states. Gowans et al. reveal that the INO80 complex is needed to coordinate cell division with nutrient availability in S. cerevisiae. In metabolically synchronized INO80 mutants, oscillations of metabolic gene expression and chromatin accessibility are severely attenuated compared with wild-type cells.","author":[{"dropping-particle":"","family":"Gowans","given":"Graeme J.","non-dropping-particle":"","parse-names":false,"suffix":""},{"dropping-particle":"","family":"Schep","given":"Alicia N.","non-dropping-particle":"","parse-names":false,"suffix":""},{"dropping-particle":"","family":"Wong","given":"Ka Man","non-dropping-particle":"","parse-names":false,"suffix":""},{"dropping-particle":"","family":"King","given":"Devin A.","non-dropping-particle":"","parse-names":false,"suffix":""},{"dropping-particle":"","family":"Greenleaf","given":"William J.","non-dropping-particle":"","parse-names":false,"suffix":""},{"dropping-particle":"","family":"Morrison","given":"Ashby J.","non-dropping-particle":"","parse-names":false,"suffix":""}],"container-title":"Cell Reports","id":"ITEM-1","issue":"3","issued":{"date-parts":[["2018"]]},"title":"INO80 Chromatin Remodeling Coordinates Metabolic Homeostasis with Cell Division","type":"article-journal","volume":"22"},"uris":["http://www.mendeley.com/documents/?uuid=1242f1f0-ac9f-342c-8808-efb82a8146f4"]}],"mendeley":{"formattedCitation":"[7]","plainTextFormattedCitation":"[7]","previouslyFormattedCitation":"[7]"},"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[7]</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9</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MYC</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Recruits transcription machinery to promoters</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{"citationItems":[{"id":"ITEM-1","itemData":{"DOI":"10.1016/j.tcb.2022.07.006","ISSN":"18793088","abstract":"The MYC protooncogene functions as a universal amplifier of transcription through interaction with numerous factors and complexes that regulate almost every cellular process. However, a comprehensive model that explains MYC's actions and the interplay governing the complicated dynamics of components of the transcription and replication machinery is still lacking. Here, we review the potency of MYC as an oncogenic driver and how it regulates the broad spectrum of complexes (effectors and regulators). We propose a ‘hand-over model’ for differential partitioning and trafficking of unstructured MYC via a loose interaction network between various gene-regulatory complexes and factors. Additionally, the article discusses how unstructured-MYC energetically favors efficient modulation of the energy landscape of the transcription cycle.","author":[{"dropping-particle":"","family":"Das","given":"Subhendu K.","non-dropping-particle":"","parse-names":false,"suffix":""},{"dropping-particle":"","family":"Lewis","given":"Brian A.","non-dropping-particle":"","parse-names":false,"suffix":""},{"dropping-particle":"","family":"Levens","given":"David","non-dropping-particle":"","parse-names":false,"suffix":""}],"container-title":"Trends in Cell Biology","id":"ITEM-1","issue":"3","issued":{"date-parts":[["2023"]]},"title":"MYC: a complex problem","type":"article","volume":"33"},"uris":["http://www.mendeley.com/documents/?uuid=c379f580-521f-3bc7-960d-a144e1ca0eea"]}],"mendeley":{"formattedCitation":"[8]","plainTextFormattedCitation":"[8]","previouslyFormattedCitation":"[8]"},"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[8]</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10</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TET3</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Chromatin modification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{"citationItems":[{"id":"ITEM-1","itemData":{"DOI":"10.1038/s41467-019-09665-1","ISSN":"20411723","abstract":"Ten-eleven-translocation (TET) proteins catalyze DNA hydroxylation, playing an important role in demethylation of DNA in mammals. Remarkably, although hydroxymethylation levels are high in the mouse brain, the potential role of TET proteins in adult neurogenesis is unknown. We show here that a non-catalytic action of TET3 is essentially required for the maintenance of the neural stem cell (NSC) pool in the adult subventricular zone (SVZ) niche by preventing premature differentiation of NSCs into non-neurogenic astrocytes. This occurs through direct binding of TET3 to the paternal transcribed allele of the imprinted gene Small nuclear ribonucleoprotein-associated polypeptide N (Snrpn), contributing to transcriptional repression of the gene. The study also identifies BMP2 as an effector of the astrocytic terminal differentiation mediated by SNRPN. Our work describes a novel mechanism of control of an imprinted gene in the regulation of adult neurogenesis through an unconventional role of TET3.","author":[{"dropping-particle":"","family":"Montalbán-Loro","given":"Raquel","non-dropping-particle":"","parse-names":false,"suffix":""},{"dropping-particle":"","family":"Lozano-Ureña","given":"Anna","non-dropping-particle":"","parse-names":false,"suffix":""},{"dropping-particle":"","family":"Ito","given":"Mitsuteru","non-dropping-particle":"","parse-names":false,"suffix":""},{"dropping-particle":"","family":"Krueger","given":"Christel","non-dropping-particle":"","parse-names":false,"suffix":""},{"dropping-particle":"","family":"Reik","given":"Wolf","non-dropping-particle":"","parse-names":false,"suffix":""},{"dropping-particle":"","family":"Ferguson-Smith","given":"Anne C.","non-dropping-particle":"","parse-names":false,"suffix":""},{"dropping-particle":"","family":"Ferrón","given":"Sacri R.","non-dropping-particle":"","parse-names":false,"suffix":""}],"container-title":"Nature Communications","id":"ITEM-1","issue":"1","issued":{"date-parts":[["2019"]]},"title":"TET3 prevents terminal differentiation of adult NSCs by a non-catalytic action at Snrpn","type":"article-journal","volume":"10"},"uris":["http://www.mendeley.com/documents/?uuid=a2e2b476-5061-3ff2-a1a1-d0ea9643d448"]}],"mendeley":{"formattedCitation":"[9]","plainTextFormattedCitation":"[9]","previouslyFormattedCitation":"[9]"},"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[9]</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11</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EZH1</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Chromatin modification, a component of polycomb repressive complex</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{"citationItems":[{"id":"ITEM-1","itemData":{"DOI":"10.1016/j.molcel.2008.11.004","ISSN":"10972765","abstract":"Polycomb group proteins are critical to maintaining gene repression established during Drosophila development. Part of this group forms the PRC2 complex containing Ez that catalyzes di- and trimethylation of histone H3 lysine 27 (H3K37me2/3), marks repressive to transcription. We report that the mammalian homologs Ezh1 and Ezh2 form similar PRC2 complexes but exhibit contrasting repressive roles. While PRC2-Ezh2 catalyzes H3K27me2/3 and its knockdown affects global H3K27me2/3 levels, PRC2-Ezh1 performs this function weakly. In accordance, Ezh1 knockdown was ineffectual on global H3K27me2/3 levels. Instead, PRC2-Ezh1 directly and robustly represses transcription from chromatinized templates and compacts chromatin in the absence of the methyltransferase cofactor SAM, as evidenced by electron microscopy. Ezh1 targets a subset of Ezh2 genes, yet Ezh1 is more abundant in nonproliferative adult organs while Ezh2 expression is tightly associated with proliferation, as evidenced when analyzing aging mouse kidney. These results might reflect subfunctionalization of a PcG protein during evolution. © 2008 Elsevier Inc. All rights reserved.","author":[{"dropping-particle":"","family":"Margueron","given":"Raphael","non-dropping-particle":"","parse-names":false,"suffix":""},{"dropping-particle":"","family":"Li","given":"Guohong","non-dropping-particle":"","parse-names":false,"suffix":""},{"dropping-particle":"","family":"Sarma","given":"Kavitha","non-dropping-particle":"","parse-names":false,"suffix":""},{"dropping-particle":"","family":"Blais","given":"Alexandre","non-dropping-particle":"","parse-names":false,"suffix":""},{"dropping-particle":"","family":"Zavadil","given":"Jiri","non-dropping-particle":"","parse-names":false,"suffix":""},{"dropping-particle":"","family":"Woodcock","given":"Christopher L.","non-dropping-particle":"","parse-names":false,"suffix":""},{"dropping-particle":"","family":"Dynlacht","given":"Brian D.","non-dropping-particle":"","parse-names":false,"suffix":""},{"dropping-particle":"","family":"Reinberg","given":"Danny","non-dropping-particle":"","parse-names":false,"suffix":""}],"container-title":"Molecular Cell","id":"ITEM-1","issue":"4","issued":{"date-parts":[["2008"]]},"title":"Ezh1 and Ezh2 Maintain Repressive Chromatin through Different Mechanisms","type":"article-journal","volume":"32"},"uris":["http://www.mendeley.com/documents/?uuid=0c875a06-4efb-3f97-babb-d0fa0f8277d2"]}],"mendeley":{"formattedCitation":"[10]","plainTextFormattedCitation":"[10]","previouslyFormattedCitation":"[10]"},"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[10]</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12</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MAX</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regulation; a component of Myc/Max/Mad network</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{"citationItems":[{"id":"ITEM-1","itemData":{"DOI":"10.1146/annurev.cellbio.16.1.653","ISSN":"10810706","abstract":"The Myc/Max/Mad network comprises a group of transcription factors whose distinct interactions result in gene-specific transcriptional activation or repression. A great deal of research indicates that the functions of the network play roles in cell proliferation, differentiation, and death. In this review we focus on the Myc and Mad protein families and attempt to relate their biological functions to their transcriptional activities and gene targets. Both Myc and Mad, as well as the more recently described Mnt and Mga proteins, form heterodimers with Max, permitting binding to specific DNA sequences. These DNA-bound heterodimers recruit coactivator or corepressor complexes that generate alterations in chromatin structure, which in turn modulate transcription. Initial identification of target genes suggests that the network regulates genes involved in the cell cycle, growth, life span, and morphology. Because Myc and Mad proteins are expressed in response to diverse signaling pathways, the network can be viewed as a functional module which acts to convert environmental signals into specific gene-regulatory programs.","author":[{"dropping-particle":"","family":"Grandori","given":"C.","non-dropping-particle":"","parse-names":false,"suffix":""},{"dropping-particle":"","family":"Cowley","given":"S. M.","non-dropping-particle":"","parse-names":false,"suffix":""},{"dropping-particle":"","family":"James","given":"L. P.","non-dropping-particle":"","parse-names":false,"suffix":""},{"dropping-particle":"","family":"Eisenman","given":"R. N.","non-dropping-particle":"","parse-names":false,"suffix":""}],"container-title":"Annual Review of Cell and Developmental Biology","id":"ITEM-1","issued":{"date-parts":[["2000"]]},"title":"The Myc/Max/Mad network and the transcriptional control of cell behavior","type":"article","volume":"16"},"uris":["http://www.mendeley.com/documents/?uuid=04d0ebd3-978b-337f-971a-ffcc1b674cec"]}],"mendeley":{"formattedCitation":"[11]","plainTextFormattedCitation":"[11]","previouslyFormattedCitation":"[11]"},"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[11]</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13</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BCL11B</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Activation/repression of gene expression by direct binding to DNA or by associating with other transcription factors.</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{"citationItems":[{"id":"ITEM-1","itemData":{"DOI":"10.3389/fncel.2017.00089","ISSN":"16625102","abstract":"B cell leukemia 11b (Bcl11b) is a zinc finger protein transcription factor with a multiplicity of functions. It works as both a genetic suppressor and activator, acting directly, attaching to promoter regions, as well as indirectly, attaching to promoter-bound transcription factors. Bcl11b is a fundamental transcription factor in fetal development, with important roles for the differentiation and development of various neuronal subtypes in the central nervous system (CNS). It has been used as a specific marker of layer V subcerebral projection neurons as well as striatal interneurons. Bcl11b also has critical developmental functions in the immune, integumentary and cardiac systems, to the extent that Bcl11b knockout mice are incompatible with extra-uterine life. Bcl11b has been implicated in a number of disease states including Huntington’s disease, Alzheimer’s disease, HIV and T-Cell malignancy, amongst others. Bcl11b is a fascinating protein whose critical roles in the CNS and other parts of the body are yet to be fully explicated. This review summarizes the current literature on Bcl11b and its functions in development, health, and disease as well as future directions for research.","author":[{"dropping-particle":"","family":"Lennon","given":"Matthew J.","non-dropping-particle":"","parse-names":false,"suffix":""},{"dropping-particle":"","family":"Jones","given":"Simon P.","non-dropping-particle":"","parse-names":false,"suffix":""},{"dropping-particle":"","family":"Lovelace","given":"Michael D.","non-dropping-particle":"","parse-names":false,"suffix":""},{"dropping-particle":"","family":"Guillemin","given":"Gilles J.","non-dropping-particle":"","parse-names":false,"suffix":""},{"dropping-particle":"","family":"Brew","given":"Bruce J.","non-dropping-particle":"","parse-names":false,"suffix":""}],"container-title":"Frontiers in Cellular Neuroscience","id":"ITEM-1","issued":{"date-parts":[["2017"]]},"title":"Bcl11b-A critical neurodevelopmental transcription factor-roles in health and disease","type":"article","volume":"11"},"uris":["http://www.mendeley.com/documents/?uuid=3b9e2aaf-b360-3d6d-abac-4ad76d680ffc"]}],"mendeley":{"formattedCitation":"[12]","plainTextFormattedCitation":"[12]","previouslyFormattedCitation":"[12]"},"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[12]</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14</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E2F1</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activator important for progression through the G1/S transition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{"citationItems":[{"id":"ITEM-1","itemData":{"DOI":"10.1038/35106593","ISSN":"00280836","abstract":"The retinoblastoma tumour suppressor (Rb) pathway is believed to have a critical role in the control of cellular proliferation by regulating E2F activities1, 2. E2F1, E2F2 and E2F3 belong to a subclass of E2F factors thought to act as transcriptional activators important for progression through the G1/S transition3. Here we show, by taking a conditional gene targeting approach, that the combined loss of these three E2F factors severely affects E2F target expression and completely abolishes the ability of mouse embryonic fibroblasts to enter S phase, progress through mitosis and proliferate. Loss of E2F function results in an elevation of p21 Cip 1 protein, leading to a decrease in cyclin-dependent kinase activity and Rb phosphorylation. These findings suggest a function for this subclass of E2F transcriptional activators in a positive feedback loop, through down-modulation of p21Cip 1, that leads to the inactivation of Rb-dependent repression and S phase entry. By targeting the entire subclass of E2F transcriptional activators we provide direct genetic evidence for their essential role in cell cycle progression, proliferation and development.","author":[{"dropping-particle":"","family":"Wu","given":"Lizhao","non-dropping-particle":"","parse-names":false,"suffix":""},{"dropping-particle":"","family":"Timmers","given":"Cynthia","non-dropping-particle":"","parse-names":false,"suffix":""},{"dropping-particle":"","family":"Malti","given":"Baidehi","non-dropping-particle":"","parse-names":false,"suffix":""},{"dropping-particle":"","family":"Saavedra","given":"Harold I.","non-dropping-particle":"","parse-names":false,"suffix":""},{"dropping-particle":"","family":"Sang","given":"Ling","non-dropping-particle":"","parse-names":false,"suffix":""},{"dropping-particle":"","family":"Chong","given":"Gabriel T.","non-dropping-particle":"","parse-names":false,"suffix":""},{"dropping-particle":"","family":"Nuckolls","given":"Faison","non-dropping-particle":"","parse-names":false,"suffix":""},{"dropping-particle":"","family":"Giangrande","given":"Paloma","non-dropping-particle":"","parse-names":false,"suffix":""},{"dropping-particle":"","family":"Wright","given":"Fred A.","non-dropping-particle":"","parse-names":false,"suffix":""},{"dropping-particle":"","family":"Field","given":"Seth J.","non-dropping-particle":"","parse-names":false,"suffix":""},{"dropping-particle":"","family":"Greenberg","given":"Michael E.","non-dropping-particle":"","parse-names":false,"suffix":""},{"dropping-particle":"","family":"Orkin","given":"Stuart","non-dropping-particle":"","parse-names":false,"suffix":""},{"dropping-particle":"","family":"Nevins","given":"Joseph R.","non-dropping-particle":"","parse-names":false,"suffix":""},{"dropping-particle":"","family":"Robinson","given":"Michael L.","non-dropping-particle":"","parse-names":false,"suffix":""},{"dropping-particle":"","family":"Leone","given":"Gustavo","non-dropping-particle":"","parse-names":false,"suffix":""}],"container-title":"Nature","id":"ITEM-1","issue":"6862","issued":{"date-parts":[["2001"]]},"title":"The E2F1-3 transcription factors are essential for cellular proliferation","type":"article-journal","volume":"414"},"uris":["http://www.mendeley.com/documents/?uuid=3d9a03ce-f6ba-3eeb-86ec-43a391c417ce"]}],"mendeley":{"formattedCitation":"[13]","plainTextFormattedCitation":"[13]","previouslyFormattedCitation":"[13]"},"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[13]</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15</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CDK9</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Regulation of transcription by RNA pol II</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{"citationItems":[{"id":"ITEM-1","itemData":{"DOI":"10.1080/21541264.2018.1523668","ISSN":"21541272","abstract":"Cyclin-dependent kinase 9 (CDK9) is critical for RNA Polymerase II (Pol II) transcription initiation, elongation, and termination in several key biological processes including development, differentiation, and cell fate responses. A broad range of diseases are characterized by CDK9 malfunction, illustrating its importance in maintaining transcriptional homeostasis in basal- and signal-regulated conditions. Here we provide a historical recount of CDK9 discovery and the current models suggesting CDK9 is a central hub necessary for proper execution of different steps in the transcription cycle. Finally, we discuss the current therapeutic strategies to treat CDK9 malfunction in several disease states. Abbreviations: CDK: Cyclin-dependent kinase; Pol II: RNA Polymerase II; PIC: Pre-initiation Complex; TFIIH: Transcription Factor-II H; snoRNA: small nucleolar RNA; CycT: CyclinT1/T2; P-TEFb: Positive Transcription Elongation Factor Complex; snRNP: small nuclear ribonucleo-protein; HEXIM: Hexamethylene Bis-acetamide-inducible Protein 1/2; LARP7: La-related Protein 7; MePCE: Methylphosphate Capping Enzyme; HIV: human immunodeficiency virus; TAT: trans-activator of transcription; TAR: Trans-activation response element; Hsp70: Heat Shock Protein 70; Hsp90/Cdc37: Hsp90- Hsp90 co-chaperone Cdc37; DSIF: DRB Sensitivity Inducing Factor; NELF: Negative Elongation Factor; CPSF: cleavage and polyadenylation-specific factor; CSTF: cleavage-stimulatory factor; eRNA: enhancer RNA; BRD4: Bromodomain-containing protein 4; JMJD6: Jumonji C-domain-containing protein 6; SEC: Super Elongation Complex; ELL: eleven-nineteen Lys-rich leukemia; ENL: eleven-nineteen leukemia; MLL: mixed lineage leukemia; BEC: BRD4-containing Elongation Complex; SEC-L2/L3: SEC-like complexes; KAP1: Kruppel-associated box-protein 1; KEC: KAP1-7SK Elongation Complex; DRB: Dichloro-1-ß-D-Ribofuranosylbenzimidazole; H2Bub1: H2B mono-ubiquitination; KM: KM05382; PP1: Protein Phosphatase 1; CDK9i: CDK9 inhibitor; SHAPE: Selective 2’-hydroxyl acylation analyzed by primer extension; TE: Typical enhancer; SE : Super enhancer.","author":[{"dropping-particle":"","family":"Bacon","given":"Curtis W.","non-dropping-particle":"","parse-names":false,"suffix":""},{"dropping-particle":"","family":"D’Orso","given":"Iván","non-dropping-particle":"","parse-names":false,"suffix":""}],"container-title":"Transcription","id":"ITEM-1","issue":"2","issued":{"date-parts":[["2019"]]},"title":"CDK9: a signaling hub for transcriptional control","type":"article","volume":"10"},"uris":["http://www.mendeley.com/documents/?uuid=a79e25b8-3166-314b-a0b1-4ee7f9d2d2f5"]}],"mendeley":{"formattedCitation":"[14]","plainTextFormattedCitation":"[14]","previouslyFormattedCitation":"[14]"},"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[14]</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16</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NCAPH2</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Chromatin condensation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{"citationItems":[{"id":"ITEM-1","itemData":{"DOI":"10.1182/blood-2021-151957","ISSN":"0006-4971","abstract":"Erythropoiesis requires dramatic changes in gene expression in a cell that is rapidly proliferating and undergoing progressive nuclear condensation in anticipation of enucleation. Disruption of this process is associated with myelodysplastic syndromes and congenital anemias. Our lab has demonstrated that Setd8, the sole histone methyltransferase that can generate H4K20me1, plays an essential role in this process (Malik 2019). H4K20me1 accumulates during terminal erythroid maturation (Murphy Blood 2021) and can regulate chromatin structure and gene expression through interaction with multiple partners, including the Condensin II Complex. The Condensin II complex is a ring-like structure composed of two conserved SMC components (SMC2 and SMC4), two HEAT subunits (NCAPG2 and NCAPD3), and a kleisin subunit NCAPH2. The Condensin II complex plays an important role in chromatin condensation during mitosis, and establishing higher-order chromatin interactions in interphase cells, with some studies suggesting it also regulates gene expression (Yuen Science Adv 2017; Iwasaki Nature Comm 2019). Similar to Setd8, many subunits of the Condensin II complex are highly expressed in erythroid cells compared to most other cell types (biogps.org). We hypothesized that the Condensin II complex, in conjunction with Setd8 and H4K20me1, is important for establishing appropriate patterns of chromatin architecture and gene expression in maturing erythroblasts.To address this hypothesis, we deleted the NCAPH2 subunit in erythroid cells by crossing mice with floxed alleles of NCAPH2 with mice expressing cre-recombinase under the direction of the Erythropoietin receptor promotor (EpoRCre). Homozygous disruption of NCAPH2 was embryonic lethal by E13.5. NCAPH2 mutant embryos were similar in appearance to littermate controls until E12.5 when they developed notable pallor and a dramatic decline in the number of benzidine positive cells. Cell cycle analyses demonstrated that an accumulation of cells in G2/M preceded the dramatic decline in erythroblast numbers at E12.5. In contrast to cells from littermate controls, the NCAPH2 mutant cells were very heterogenous in cell and nuclear size and morphology. Surpisingly, most NCAPH2 mutant cells appeared to be hemoglobinized, suggesting sufficient iron accumulation and heme synthesis. In vitro cultures derived from primitive erythroid progenitors replicated in vivo findings, including normal early erythropoeisis, with significant abnormaliti…","author":[{"dropping-particle":"","family":"Murphy","given":"Zachary C.","non-dropping-particle":"","parse-names":false,"suffix":""},{"dropping-particle":"","family":"Wells","given":"Maeve","non-dropping-particle":"","parse-names":false,"suffix":""},{"dropping-particle":"","family":"Murphy","given":"Kristin","non-dropping-particle":"","parse-names":false,"suffix":""},{"dropping-particle":"","family":"Getman","given":"Michael","non-dropping-particle":"","parse-names":false,"suffix":""},{"dropping-particle":"","family":"Steiner","given":"Laurie A.","non-dropping-particle":"","parse-names":false,"suffix":""}],"container-title":"Blood","id":"ITEM-1","issue":"Supplement 1","issued":{"date-parts":[["2021"]]},"title":"The Condensin II Complex Subunit NCAPH2 Is Essential for Erythropoiesis and Regulates Erythroid Gene Expression","type":"article-journal","volume":"138"},"uris":["http://www.mendeley.com/documents/?uuid=595a3e99-9b13-3deb-b105-863dbe9631cf"]}],"mendeley":{"formattedCitation":"[15]","plainTextFormattedCitation":"[15]","previouslyFormattedCitation":"[15]"},"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[15]</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17</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TRIM25</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A global transcriptional regulator</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{"citationItems":[{"id":"ITEM-1","itemData":{"DOI":"10.1038/s41467-020-17926-7","ISSN":"20411723","PMID":"32826889","abstract":"Oncogenic processes exert their greatest effect by targeting regulators of cell proliferation. Studying the mechanism underlying growth augmentation is expected to improve clinical therapies. The ovarian tumor (OTU) subfamily deubiquitinases have been implicated in the regulation of critical cell-signaling cascades, but most OTUs functions remain to be investigated. Through an unbiased RNAi screen, knockdown of OTUD5 is shown to significantly accelerate cell growth. Further investigation reveals that OTUD5 depletion leads to the enhanced transcriptional activity of TRIM25 and the inhibited expression of PML by altering the ubiquitination level of TRIM25. Importantly, OTUD5 knockdown accelerates tumor growth in a nude mouse model. OTUD5 expression is markedly downregulated in tumor tissues. The reduced OTUD5 level is associated with an aggressive phenotype and a poor clinical outcome for cancers patients. Our findings reveal a mechanism whereby OTUD5 regulates gene transcription and suppresses tumorigenesis by deubiquitinating TRIM25, providing a potential target for oncotherapy.","author":[{"dropping-particle":"","family":"Li","given":"Fangzhou","non-dropping-particle":"","parse-names":false,"suffix":""},{"dropping-particle":"","family":"Sun","given":"Qianqian","non-dropping-particle":"","parse-names":false,"suffix":""},{"dropping-particle":"","family":"Liu","given":"Kun","non-dropping-particle":"","parse-names":false,"suffix":""},{"dropping-particle":"","family":"Zhang","given":"Ling","non-dropping-particle":"","parse-names":false,"suffix":""},{"dropping-particle":"","family":"Lin","given":"Ning","non-dropping-particle":"","parse-names":false,"suffix":""},{"dropping-particle":"","family":"You","given":"Kaiqiang","non-dropping-particle":"","parse-names":false,"suffix":""},{"dropping-particle":"","family":"Liu","given":"Mingwei","non-dropping-particle":"","parse-names":false,"suffix":""},{"dropping-particle":"","family":"Kon","given":"Ning","non-dropping-particle":"","parse-names":false,"suffix":""},{"dropping-particle":"","family":"Tian","given":"Feng","non-dropping-particle":"","parse-names":false,"suffix":""},{"dropping-particle":"","family":"Mao","given":"Zebin","non-dropping-particle":"","parse-names":false,"suffix":""},{"dropping-particle":"","family":"Li","given":"Tingting","non-dropping-particle":"","parse-names":false,"suffix":""},{"dropping-particle":"","family":"Tong","given":"Tanjun","non-dropping-particle":"","parse-names":false,"suffix":""},{"dropping-particle":"","family":"Qin","given":"Jun","non-dropping-particle":"","parse-names":false,"suffix":""},{"dropping-particle":"","family":"Gu","given":"Wei","non-dropping-particle":"","parse-names":false,"suffix":""},{"dropping-particle":"","family":"Li","given":"Dawei","non-dropping-particle":"","parse-names":false,"suffix":""},{"dropping-particle":"","family":"Zhao","given":"Wenhui","non-dropping-particle":"","parse-names":false,"suffix":""}],"container-title":"Nature Communications","id":"ITEM-1","issue":"1","issued":{"date-parts":[["2020"]]},"title":"OTUD5 cooperates with TRIM25 in transcriptional regulation and tumor progression via deubiquitination activity","type":"article-journal","volume":"11"},"uris":["http://www.mendeley.com/documents/?uuid=6bfc1f68-d51d-4da1-891b-4ab655b20378"]}],"mendeley":{"formattedCitation":"[16]","plainTextFormattedCitation":"[16]","previouslyFormattedCitation":"[16]"},"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[16]</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18</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KLF9</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regulation by binding to regulatory DNA</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{"citationItems":[{"id":"ITEM-1","itemData":{"DOI":"10.3389/fcell.2021.727037","ISSN":"2296634X","abstract":"Krüppel-like factor 9 (Klf9) is a feedforward regulator of glucocorticoid receptor (GR) signaling. Here we show that in zebrafish klf9 is expressed with GR-dependent oscillatory dynamics in synchrony with fkbp5, a GR target that encodes a negative feedback regulator of GR signaling. We found that fkbp5 transcript levels are elevated in klf9–/– mutants and that Klf9 associates with chromatin at the fkbp5 promoter, which becomes hyperacetylated in klf9–/– mutants, suggesting that the GR regulates fkbp5 via an incoherent feedforward loop with klf9. As both the GR and Fkbp5 are known to regulate metabolism, we asked how loss of Klf9 affects metabolic rate and gene expression. We found that klf9–/– mutants have a decreased oxygen consumption rate (OCR) and upregulate glycolytic genes, the promoter regions of which are enriched for potential Klf9 binding motifs. Our results suggest that Klf9 functions downstream of the GR to regulate cellular glucocorticoid responsivity and metabolic homeostasis.","author":[{"dropping-particle":"","family":"Gans","given":"Ian M.","non-dropping-particle":"","parse-names":false,"suffix":""},{"dropping-particle":"","family":"Grendler","given":"Janelle","non-dropping-particle":"","parse-names":false,"suffix":""},{"dropping-particle":"","family":"Babich","given":"Remy","non-dropping-particle":"","parse-names":false,"suffix":""},{"dropping-particle":"","family":"Jayasundara","given":"Nishad","non-dropping-particle":"","parse-names":false,"suffix":""},{"dropping-particle":"","family":"Coffman","given":"James A.","non-dropping-particle":"","parse-names":false,"suffix":""}],"container-title":"Frontiers in Cell and Developmental Biology","id":"ITEM-1","issued":{"date-parts":[["2021"]]},"title":"Glucocorticoid-Responsive Transcription Factor Krüppel-Like Factor 9 Regulates fkbp5 and Metabolism","type":"article-journal","volume":"9"},"uris":["http://www.mendeley.com/documents/?uuid=c4e7c20f-b9c8-3d3e-b3e5-c4b348decb9d"]}],"mendeley":{"formattedCitation":"[17]","plainTextFormattedCitation":"[17]","previouslyFormattedCitation":"[17]"},"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[17]</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19</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PCGF1</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A component of polycomb repressive complexes involved in chromatin modifications</w:t>
            </w:r>
          </w:p>
        </w:tc>
        <w:tc>
          <w:tcPr>
            <w:tcW w:w="1560" w:type="dxa"/>
          </w:tcPr>
          <w:p w:rsidR="00FF045A" w:rsidRPr="00741BF4" w:rsidRDefault="00FF045A" w:rsidP="0004429A">
            <w:pPr>
              <w:ind w:left="488" w:hanging="488"/>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{"citationItems":[{"id":"ITEM-1","itemData":{"DOI":"10.1016/j.molcel.2019.04.002","ISSN":"10974164","abstract":"Polycomb repressive complexes 1 and 2 (PRC1 and PRC2) control cell identity by establishing facultative heterochromatin repressive domains at common sets of target genes. PRC1, which deposits H2Aub1 through the E3 ligases RING1A/B, forms six biochemically distinct subcomplexes depending on the assembled PCGF protein (PCGF1–PCGF6); however, it is yet unclear whether these subcomplexes have also specific activities. Here we show that PCGF1 and PCGF2 largely compensate for each other, while other PCGF proteins have high levels of specificity for distinct target genes. PCGF2 associates with transcription repression, whereas PCGF3 and PCGF6 associate with actively transcribed genes. Notably, PCGF3 and PCGF6 complexes can assemble and be recruited to several active sites independently of RING1A/B activity (therefore, of PRC1). For chromatin recruitment, the PCGF6 complex requires the combinatorial activities of its MGA-MAX and E2F6-DP1 subunits, while PCGF3 requires an interaction with the USF1 DNA binding transcription factor. PRC1 encompasses different sub-complexes with distinct biochemical properties. Scelfo et al. dissect these activities, highlighting their little redundancy and high functional specificity. PRC1 sub-complexes associate specifically with transcriptional repression or activation, can function independently of the core RING1A/B enzymes, and can be recruited to chromatin by specific DNA binding activities.","author":[{"dropping-particle":"","family":"Scelfo","given":"Andrea","non-dropping-particle":"","parse-names":false,"suffix":""},{"dropping-particle":"","family":"Fernández-Pérez","given":"Daniel","non-dropping-particle":"","parse-names":false,"suffix":""},{"dropping-particle":"","family":"Tamburri","given":"Simone","non-dropping-particle":"","parse-names":false,"suffix":""},{"dropping-particle":"","family":"Zanotti","given":"Marika","non-dropping-particle":"","parse-names":false,"suffix":""},{"dropping-particle":"","family":"Lavarone","given":"Elisa","non-dropping-particle":"","parse-names":false,"suffix":""},{"dropping-particle":"","family":"Soldi","given":"Monica","non-dropping-particle":"","parse-names":false,"suffix":""},{"dropping-particle":"","family":"Bonaldi","given":"Tiziana","non-dropping-particle":"","parse-names":false,"suffix":""},{"dropping-particle":"","family":"Ferrari","given":"Karin Johanna","non-dropping-particle":"","parse-names":false,"suffix":""},{"dropping-particle":"","family":"Pasini","given":"Diego","non-dropping-particle":"","parse-names":false,"suffix":""}],"container-title":"Molecular Cell","id":"ITEM-1","issue":"5","issued":{"date-parts":[["2019"]]},"title":"Functional Landscape of PCGF Proteins Reveals Both RING1A/B-Dependent-and RING1A/B-Independent-Specific Activities","type":"article-journal","volume":"74"},"uris":["http://www.mendeley.com/documents/?uuid=82bfca41-5424-3133-87bf-f21061b52cd1"]}],"mendeley":{"formattedCitation":"[18]","plainTextFormattedCitation":"[18]","previouslyFormattedCitation":"[18]"},"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[18]</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20</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MBD2</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Epigenetic modifier</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{"citationItems":[{"id":"ITEM-1","itemData":{"DOI":"10.3389/fgene.2014.00428","ISSN":"16648021","abstract":"Deoxyribonucleic acid methylation is a long known epigenetic mark involved in many biological processes and the 'readers' of this mark belong to several distinct protein families that 'read' and 'translate' the methylation mark into a function. Methyl-CpG binding domain proteins belong to one of these families that are associated with transcriptional activation/repression, regulation of chromatin structure, pluripotency, development, and differentiation. Discovered decades ago, the systematic determination of the genomic binding sites of these readers and their epigenome make-up at a genome-wide level revealed the tip of the functional iceberg. This review focuses on two members of the methyl binding proteins, namely MBD2 and MBD3 that reside in very similar complexes, yet appear to have very different biological roles. We provide a comprehensive comparison of their genome-wide binding features and emerging roles in gene regulation.","author":[{"dropping-particle":"","family":"Menafra","given":"Roberta","non-dropping-particle":"","parse-names":false,"suffix":""},{"dropping-particle":"","family":"Stunnenberg","given":"Hendrik G.","non-dropping-particle":"","parse-names":false,"suffix":""}],"container-title":"Frontiers in Genetics","id":"ITEM-1","issue":"DEC","issued":{"date-parts":[["2014"]]},"title":"MBD2 and MBD3: Elusive functions and mechanisms","type":"article","volume":"5"},"uris":["http://www.mendeley.com/documents/?uuid=e85a4ebd-c4a9-39e9-96ee-23a6ba3f6d28"]}],"mendeley":{"formattedCitation":"[19]","plainTextFormattedCitation":"[19]","previouslyFormattedCitation":"[19]"},"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[19]</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21</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SPIN1</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Histone code reader</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{"citationItems":[{"id":"ITEM-1","itemData":{"DOI":"10.1038/cddis.2017.468","ISSN":"20414889","abstract":"While several studies correlated increased expression of the histone code reader Spin1 with tumor formation or growth, little is known about physiological functions of the protein. We generated Spin1M5 mice with ablation of Spin1 in myoblast precursors using the Myf5-Cre deleter strain. Most Spin1M5 mice die shortly after birth displaying severe sarcomere disorganization and necrosis. Surviving Spin1M5 mice are growth-retarded and exhibit the most prominent defects in soleus, tibialis anterior, and diaphragm muscle. Transcriptome analyses of limb muscle at embryonic day (E) 15.5, E16.5, and at three weeks of age provided evidence for aberrant fetal myogenesis and identified deregulated skeletal muscle (SkM) functional networks. Determination of genome-wide chromatin occupancy in primary myoblast revealed direct Spin1 target genes and suggested that deregulated basic helix-loop-helix transcription factor networks account for developmental defects in Spin1M5 fetuses. Furthermore, correlating histological and transcriptome analyses, we show that aberrant expression of titin-associated proteins, abnormal glycogen metabolism, and neuromuscular junction defects contribute to SkM pathology in Spin1M5 mice. Together, we describe the first example of a histone code reader controlling SkM development in mice, which hints at Spin1 as a potential player in human SkM disease.","author":[{"dropping-particle":"","family":"Greschik","given":"Holger","non-dropping-particle":"","parse-names":false,"suffix":""},{"dropping-particle":"","family":"Duteil","given":"Delphine","non-dropping-particle":"","parse-names":false,"suffix":""},{"dropping-particle":"","family":"Messaddeq","given":"Nadia","non-dropping-particle":"","parse-names":false,"suffix":""},{"dropping-particle":"","family":"Willmann","given":"Dominica","non-dropping-particle":"","parse-names":false,"suffix":""},{"dropping-particle":"","family":"Arrigoni","given":"Laura","non-dropping-particle":"","parse-names":false,"suffix":""},{"dropping-particle":"","family":"Sum","given":"Manuela","non-dropping-particle":"","parse-names":false,"suffix":""},{"dropping-particle":"","family":"Jung","given":"Manfred","non-dropping-particle":"","parse-names":false,"suffix":""},{"dropping-particle":"","family":"Metzger","given":"Daniel","non-dropping-particle":"","parse-names":false,"suffix":""},{"dropping-particle":"","family":"Manke","given":"Thomas","non-dropping-particle":"","parse-names":false,"suffix":""},{"dropping-particle":"","family":"Günther","given":"Thomas","non-dropping-particle":"","parse-names":false,"suffix":""},{"dropping-particle":"","family":"Schüle","given":"Roland","non-dropping-particle":"","parse-names":false,"suffix":""}],"container-title":"Cell Death and Disease","id":"ITEM-1","issue":"11","issued":{"date-parts":[["2017"]]},"title":"The histone code reader Spin1 controls skeletal muscle development","type":"article-journal","volume":"8"},"uris":["http://www.mendeley.com/documents/?uuid=ae411f90-a83e-3363-a989-fdecb4b669df"]}],"mendeley":{"formattedCitation":"[20]","plainTextFormattedCitation":"[20]","previouslyFormattedCitation":"[20]"},"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[20]</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22</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PHF6</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Chromatin modifier</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{"citationItems":[{"id":"ITEM-1","itemData":{"DOI":"10.1101/gad.295857.117","ISSN":"15495477","abstract":"Developmental and lineage plasticity have been observed in numerous malignancies and have been correlated with tumor progression and drug resistance. However, little is known about the molecular mechanisms that enable such plasticity to occur. Here, we describe the function of the plant homeodomain finger protein 6 (PHF6) in leukemia and define its role in regulating chromatin accessibility to lineage-specific transcription factors. We show that loss of Phf6 in B-cell leukemia results in systematic changes in gene expression via alteration of the chromatin landscape at the transcriptional start sites of B-cell-and T-cell-specific factors. Additionally, Phf6KO cells showsignificant downregulation of genes involved in the development and function of normal B cells, show up-regulation of genes involved in T-cell signaling, and give rise to mixed-lineage lymphoma in vivo. Engagement of divergent transcriptional programs results in phenotypic plasticity that leads to altered disease presentation in vivo, tolerance of aberrant oncogenic signaling, and differential sensitivity to frontline and targeted therapies. These findings suggest that active maintenance of a precise chromatin landscape is essential for sustaining proper leukemia cell identity and that loss of a single factor (PHF6) can cause focal changes in chromatin accessibility and nucleosome positioning that render cells susceptible to lineage transition.","author":[{"dropping-particle":"","family":"Feliciano","given":"Yadira M.Soto","non-dropping-particle":"","parse-names":false,"suffix":""},{"dropping-particle":"","family":"Bartlebaugh","given":"Jordan M.E.","non-dropping-particle":"","parse-names":false,"suffix":""},{"dropping-particle":"","family":"Liu","given":"Yunpeng","non-dropping-particle":"","parse-names":false,"suffix":""},{"dropping-particle":"","family":"Rivera","given":"Francisco J.Sánchez","non-dropping-particle":"","parse-names":false,"suffix":""},{"dropping-particle":"","family":"Bhutkar","given":"Arjun","non-dropping-particle":"","parse-names":false,"suffix":""},{"dropping-particle":"","family":"Weintraub","given":"Abraham S.","non-dropping-particle":"","parse-names":false,"suffix":""},{"dropping-particle":"","family":"Buenrostro","given":"Jason D.","non-dropping-particle":"","parse-names":false,"suffix":""},{"dropping-particle":"","family":"Cheng","given":"Christine S.","non-dropping-particle":"","parse-names":false,"suffix":""},{"dropping-particle":"","family":"Regev","given":"Aviv","non-dropping-particle":"","parse-names":false,"suffix":""},{"dropping-particle":"","family":"Jacks","given":"Tyler E.","non-dropping-particle":"","parse-names":false,"suffix":""},{"dropping-particle":"","family":"Young","given":"Richard A.","non-dropping-particle":"","parse-names":false,"suffix":""},{"dropping-particle":"","family":"Hemann","given":"Michael T.","non-dropping-particle":"","parse-names":false,"suffix":""}],"container-title":"Genes and Development","id":"ITEM-1","issue":"10","issued":{"date-parts":[["2017"]]},"title":"PHF6 regulates phenotypic plasticity through chromatin organization within lineage-specific genes","type":"article-journal","volume":"31"},"uris":["http://www.mendeley.com/documents/?uuid=46efbd6c-5273-3a83-8ed1-894eab3bac56"]}],"mendeley":{"formattedCitation":"[21]","plainTextFormattedCitation":"[21]","previouslyFormattedCitation":"[21]"},"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[21]</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23</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MAZ</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Controls transcription initiation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{"citationItems":[{"id":"ITEM-1","itemData":{"DOI":"10.1111/ajco.13748","ISSN":"17437563","abstract":"As an important transcription factor that is widely expressed in most tissues of the human body, Myc-associated zinc finger protein (MAZ) has been reported highly expressed in many malignant tumors and thought to be a promising therapeutic target for cancer treatment. In this review, we aim to offer a comprehensive understanding of MAZ regulation in malignant tumors. The carboxy terminal of MAZ protein contains six C2H2 zinc fingers, and its regulation of transcription is based on the interaction between the GC-rich DNA binding sites of target genes and its carboxy-terminal zinc finger motifs. MAZ protein has been found to activate or inhibit the transcriptional initiation process of many target genes, as well as play an important role in the transcriptional termination process of some target genes, so MAZ poses dual regulatory functions in the initiation and termination process of gene transcription. Through the transcriptional regulation of c-myc and Ras gene family, MAZ poses an important role in the occurrence and development of breast cancer, pancreatic cancer, prostate cancer, glioblastoma, neuroblastoma, and other malignant tumors. Our review shows a vital role of MAZ in many malignant tumors and provides novel insight for cancer diagnosis and treatment.","author":[{"dropping-particle":"","family":"Zheng","given":"Chuanjun","non-dropping-particle":"","parse-names":false,"suffix":""},{"dropping-particle":"","family":"Wu","given":"Hongmei","non-dropping-particle":"","parse-names":false,"suffix":""},{"dropping-particle":"","family":"Jin","given":"Song","non-dropping-particle":"","parse-names":false,"suffix":""},{"dropping-particle":"","family":"Li","given":"Di","non-dropping-particle":"","parse-names":false,"suffix":""},{"dropping-particle":"","family":"Tan","given":"Shengkui","non-dropping-particle":"","parse-names":false,"suffix":""},{"dropping-particle":"","family":"Zhu","given":"Xiaonian","non-dropping-particle":"","parse-names":false,"suffix":""}],"container-title":"Asia-Pacific Journal of Clinical Oncology","id":"ITEM-1","issue":"6","issued":{"date-parts":[["2022"]]},"title":"Roles of Myc-associated zinc finger protein in malignant tumors","type":"article","volume":"18"},"uris":["http://www.mendeley.com/documents/?uuid=2cff2c89-1dc5-3db7-a9ba-edf8c1ea5b9b"]}],"mendeley":{"formattedCitation":"[22]","plainTextFormattedCitation":"[22]","previouslyFormattedCitation":"[22]"},"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[22]</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24</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MYH11</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regulation via multiple mechanisms</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10.1016/j.exphem.2013.05.198","ISSN":"0301472X","author":[{"dropping-particle":"","family":"Martens","given":"Joost","non-dropping-particle":"","parse-names":false,"suffix":""},{"dropping-particle":"","family":"Mandoli","given":"Amit","non-dropping-particle":"","parse-names":false,"suffix":""},{"dropping-particle":"","family":"Singh","given":"Abhishek","non-dropping-particle":"","parse-names":false,"suffix":""},{"dropping-particle":"","family":"Jansen","given":"Pascal","non-dropping-particle":"","parse-names":false,"suffix":""},{"dropping-particle":"","family":"Wierenga","given":"Bart-Jan","non-dropping-particle":"","parse-names":false,"suffix":""},{"dropping-particle":"","family":"Riahi","given":"Human","non-dropping-particle":"","parse-names":false,"suffix":""},{"dropping-particle":"","family":"Franci","given":"Gianluigi","non-dropping-particle":"","parse-names":false,"suffix":""},{"dropping-particle":"","family":"Prange","given":"Koen","non-dropping-particle":"","parse-names":false,"suffix":""},{"dropping-particle":"","family":"Saeed","given":"Sadia","non-dropping-particle":"","parse-names":false,"suffix":""},{"dropping-particle":"","family":"Vellenga","given":"Edo","non-dropping-particle":"","parse-names":false,"suffix":""},{"dropping-particle":"","family":"Vermeulen","given":"Michiel","non-dropping-particle":"","parse-names":false,"suffix":""},{"dropping-particle":"","family":"Stunnenberg","given":"Henk","non-dropping-particle":"","parse-names":false,"suffix":""}],"container-title":"Experimental Hematology","id":"ITEM-1","issue":"8","issued":{"date-parts":[["2013"]]},"title":"CBFB-MYH11/RUNX1 together with a compendium of hematopoietic regulators, chromatin modifiers and basal transcription factors occupies self-renewal genes in inv(16) acute myeloid leukemia","type":"article-journal","volume":"41"},"uris":["http://www.mendeley.com/documents/?uuid=e255d869-8aaa-3c9d-b254-010e308580b4"]}],"mendeley":{"formattedCitation":"[23]","plainTextFormattedCitation":"[23]","previouslyFormattedCitation":"[23]"},"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[23]</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25</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HDAC1</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Histone modification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{"citationItems":[{"id":"ITEM-1","itemData":{"DOI":"10.1038/sj.cr.7310149","ISSN":"10010602","abstract":"Histone deacetylases (HDACs) and histone acetyl transferases (HATs) are two counteracting enzyme families whose enzymatic activity controls the acetylation state of protein lysine residues, notably those contained in the N-terminal extensions of the core histones. Acetylation of histones affects gene expression through its influence on chromatin conformation. In addition, several non-histone proteins are regulated in their stability or biological function by the acetylation state of specific lysine residues. HDACs intervene in a multitude of biological processes and are part of a multiprotein family in which each member has its specialized functions. In addition, HDAC activity is tightly controlled through targeted recruitment, protein-protein interactions and post-translational modifications. Control of cell cycle progression, cell survival and differentiation are among the most important roles of these enzymes. Since these processes are affected by malignant transformation, HDAC inhibitors were developed as antineoplastic drugs and are showing encouraging efficacy in cancer patients. © 2007 IBCB, SIBS, CAS. All rights reserved.","author":[{"dropping-particle":"","family":"Gallinari","given":"Paola","non-dropping-particle":"","parse-names":false,"suffix":""},{"dropping-particle":"","family":"Marco","given":"Stefania","non-dropping-particle":"Di","parse-names":false,"suffix":""},{"dropping-particle":"","family":"Jones","given":"Phillip","non-dropping-particle":"","parse-names":false,"suffix":""},{"dropping-particle":"","family":"Pallaoro","given":"Michele","non-dropping-particle":"","parse-names":false,"suffix":""},{"dropping-particle":"","family":"Steinkühler","given":"Christian","non-dropping-particle":"","parse-names":false,"suffix":""}],"container-title":"Cell Research","id":"ITEM-1","issue":"3","issued":{"date-parts":[["2007"]]},"title":"HDACs, histone deacetylation and gene transcription: From molecular biology to cancer therapeutics","type":"article-journal","volume":"17"},"uris":["http://www.mendeley.com/documents/?uuid=7bb992f9-6516-3a92-9c69-c684d717bbd5"]}],"mendeley":{"formattedCitation":"[24]","plainTextFormattedCitation":"[24]","previouslyFormattedCitation":"[24]"},"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[24]</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26</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DDX21</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Ribosomal RNA processing, RNA polymerase II-mediated transcription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{"citationItems":[{"id":"ITEM-1","itemData":{"DOI":"10.1016/j.cell.2022.12.004","ISSN":"10974172","abstract":"Glucose is a universal bioenergy source; however, its role in controlling protein interactions is unappreciated, as are its actions during differentiation-associated intracellular glucose elevation. Azido-glucose click chemistry identified glucose binding to a variety of RNA binding proteins (RBPs), including the DDX21 RNA helicase, which was found to be essential for epidermal differentiation. Glucose bound the ATP-binding domain of DDX21, altering protein conformation, inhibiting helicase activity, and dissociating DDX21 dimers. Glucose elevation during differentiation was associated with DDX21 re-localization from the nucleolus to the nucleoplasm where DDX21 assembled into larger protein complexes containing RNA splicing factors. DDX21 localized to specific SCUGSDGC motif in mRNA introns in a glucose-dependent manner and promoted the splicing of key pro-differentiation genes, including GRHL3, KLF4, OVOL1, and RBPJ. These findings uncover a biochemical mechanism of action for glucose in modulating the dimerization and function of an RNA helicase essential for tissue differentiation.","author":[{"dropping-particle":"","family":"Miao","given":"Weili","non-dropping-particle":"","parse-names":false,"suffix":""},{"dropping-particle":"","family":"Porter","given":"Douglas F.","non-dropping-particle":"","parse-names":false,"suffix":""},{"dropping-particle":"","family":"Lopez-Pajares","given":"Vanessa","non-dropping-particle":"","parse-names":false,"suffix":""},{"dropping-particle":"","family":"Siprashvili","given":"Zurab","non-dropping-particle":"","parse-names":false,"suffix":""},{"dropping-particle":"","family":"Meyers","given":"Robin M.","non-dropping-particle":"","parse-names":false,"suffix":""},{"dropping-particle":"","family":"Bai","given":"Yunhao","non-dropping-particle":"","parse-names":false,"suffix":""},{"dropping-particle":"","family":"Nguyen","given":"Duy T.","non-dropping-particle":"","parse-names":false,"suffix":""},{"dropping-particle":"","family":"Ko","given":"Lisa A.","non-dropping-particle":"","parse-names":false,"suffix":""},{"dropping-particle":"","family":"Zarnegar","given":"Brian J.","non-dropping-particle":"","parse-names":false,"suffix":""},{"dropping-particle":"","family":"Ferguson","given":"Ian D.","non-dropping-particle":"","parse-names":false,"suffix":""},{"dropping-particle":"","family":"Mills","given":"Matthew M.","non-dropping-particle":"","parse-names":false,"suffix":""},{"dropping-particle":"","family":"Jilly-Rehak","given":"Christie E.","non-dropping-particle":"","parse-names":false,"suffix":""},{"dropping-particle":"","family":"Wu","given":"Cheng Guo","non-dropping-particle":"","parse-names":false,"suffix":""},{"dropping-particle":"","family":"Yang","given":"Yen Yu","non-dropping-particle":"","parse-names":false,"suffix":""},{"dropping-particle":"","family":"Meyers","given":"Jordan M.","non-dropping-particle":"","parse-names":false,"suffix":""},{"dropping-particle":"","family":"Hong","given":"Audrey W.","non-dropping-particle":"","parse-names":false,"suffix":""},{"dropping-particle":"","family":"Reynolds","given":"David L.","non-dropping-particle":"","parse-names":false,"suffix":""},{"dropping-particle":"","family":"Ramanathan","given":"Muthukumar","non-dropping-particle":"","parse-names":false,"suffix":""},{"dropping-particle":"","family":"Tao","given":"Shiying","non-dropping-particle":"","parse-names":false,"suffix":""},{"dropping-particle":"","family":"Jiang","given":"Sizun","non-dropping-particle":"","parse-names":false,"suffix":""},{"dropping-particle":"","family":"Flynn","given":"Ryan A.","non-dropping-particle":"","parse-names":false,"suffix":""},{"dropping-particle":"","family":"Wang","given":"Yinsheng","non-dropping-particle":"","parse-names":false,"suffix":""},{"dropping-particle":"","family":"Nolan","given":"Garry P.","non-dropping-particle":"","parse-names":false,"suffix":""},{"dropping-particle":"","family":"Khavari","given":"Paul A.","non-dropping-particle":"","parse-names":false,"suffix":""}],"container-title":"Cell","id":"ITEM-1","issue":"1","issued":{"date-parts":[["2023"]]},"title":"Glucose dissociates DDX21 dimers to regulate mRNA splicing and tissue differentiation","type":"article-journal","volume":"186"},"uris":["http://www.mendeley.com/documents/?uuid=ed682d83-407a-395e-bf1a-9944385386a4"]}],"mendeley":{"formattedCitation":"[25]","plainTextFormattedCitation":"[25]","previouslyFormattedCitation":"[25]"},"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[25]</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27</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EGR1</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regulation, brain epigenetic reprogramming</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{"citationItems":[{"id":"ITEM-1","itemData":{"DOI":"10.1038/s41467-019-11905-3","ISSN":"20411723","abstract":"Life experience can leave lasting marks, such as epigenetic changes, in the brain. How life experience is translated into storable epigenetic information remains largely unknown. With unbiased data-driven approaches, we predicted that Egr1, a transcription factor important for memory formation, plays an essential role in brain epigenetic programming. We performed EGR1 ChIP-seq and validated thousands of EGR1 binding sites with methylation patterns established during postnatal brain development. More specifically, these EGR1 binding sites become hypomethylated in mature neurons but remain heavily methylated in glia. We further demonstrated that EGR1 recruits a DNA demethylase TET1 to remove the methylation marks and activate downstream genes. The frontal cortices from the knockout mice lacking Egr1 or Tet1 share strikingly similar profiles in both gene expression and DNA methylation. In summary, our study reveals EGR1 programs the brain methylome together with TET1 providing new insight into how life experience may shape the brain methylome.","author":[{"dropping-particle":"","family":"Sun","given":"Zhixiong","non-dropping-particle":"","parse-names":false,"suffix":""},{"dropping-particle":"","family":"Xu","given":"Xiguang","non-dropping-particle":"","parse-names":false,"suffix":""},{"dropping-particle":"","family":"He","given":"Jianlin","non-dropping-particle":"","parse-names":false,"suffix":""},{"dropping-particle":"","family":"Murray","given":"Alexander","non-dropping-particle":"","parse-names":false,"suffix":""},{"dropping-particle":"","family":"Sun","given":"Ming an","non-dropping-particle":"","parse-names":false,"suffix":""},{"dropping-particle":"","family":"Wei","given":"Xiaoran","non-dropping-particle":"","parse-names":false,"suffix":""},{"dropping-particle":"","family":"Wang","given":"Xia","non-dropping-particle":"","parse-names":false,"suffix":""},{"dropping-particle":"","family":"McCoig","given":"Emmarose","non-dropping-particle":"","parse-names":false,"suffix":""},{"dropping-particle":"","family":"Xie","given":"Evan","non-dropping-particle":"","parse-names":false,"suffix":""},{"dropping-particle":"","family":"Jiang","given":"Xi","non-dropping-particle":"","parse-names":false,"suffix":""},{"dropping-particle":"","family":"Li","given":"Liwu","non-dropping-particle":"","parse-names":false,"suffix":""},{"dropping-particle":"","family":"Zhu","given":"Jinsong","non-dropping-particle":"","parse-names":false,"suffix":""},{"dropping-particle":"","family":"Chen","given":"Jianjun","non-dropping-particle":"","parse-names":false,"suffix":""},{"dropping-particle":"","family":"Morozov","given":"Alexei","non-dropping-particle":"","parse-names":false,"suffix":""},{"dropping-particle":"","family":"Pickrell","given":"Alicia M.","non-dropping-particle":"","parse-names":false,"suffix":""},{"dropping-particle":"","family":"Theus","given":"Michelle H.","non-dropping-particle":"","parse-names":false,"suffix":""},{"dropping-particle":"","family":"Xie","given":"Hehuang","non-dropping-particle":"","parse-names":false,"suffix":""}],"container-title":"Nature Communications","id":"ITEM-1","issue":"1","issued":{"date-parts":[["2019"]]},"title":"EGR1 recruits TET1 to shape the brain methylome during development and upon neuronal activity","type":"article-journal","volume":"10"},"uris":["http://www.mendeley.com/documents/?uuid=c018d277-b8af-3650-8f96-17f98a5a51b6"]}],"mendeley":{"formattedCitation":"[26]","plainTextFormattedCitation":"[26]","previouslyFormattedCitation":"[26]"},"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[26]</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28</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KMT2A</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regulation and histone modification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{"citationItems":[{"id":"ITEM-1","itemData":{"DOI":"10.1186/s13045-021-01057-7","ISSN":"17568722","abstract":"Mixed lineage leukemia 1 (MLL1, also known as MLL or KMT2A) is an important transcription factor and histone-H3 lysine-4 (H3K4) methyltransferase. It is a master regulator for transcription of important genes (e.g., Hox genes) for embryonic development and hematopoiesis. However, it is largely dispensable in matured cells. Dysregulation of MLL1 leads to overexpression of certain Hox genes and eventually leukemia initiation. Chromosome translocations involving MLL1 cause ~ 75% of acute leukemia in infants and 5–10% in children and adults with a poor prognosis. Targeted therapeutics against oncogenic fusion MLL1 (onco-MLL1) are therefore needed. Onco-MLL1 consists of the N-terminal DNA-interacting domains of MLL1 fused with one of &gt; 70 fusion partners, among which transcription cofactors AF4, AF9 and its paralog ENL, and ELL are the most frequent. Wild-type (WT)- and onco-MLL1 involve numerous protein–protein interactions (PPI), which play critical roles in regulating gene expression in normal physiology and leukemia. Moreover, WT-MLL1 has been found to be essential for MLL1-rearranged (MLL1-r) leukemia. Rigorous studies of such PPIs have been performed and much progress has been achieved in understanding their structures, structure–function relationships and the mechanisms for activating gene transcription as well as leukemic transformation. Inhibition of several critical PPIs by peptides, peptidomimetic or small-molecule compounds has been explored as a therapeutic approach for MLL1-r leukemia. This review summarizes the biological functions, biochemistry, structure and inhibition of the critical PPIs involving MLL1 and its fusion partner proteins. In addition, challenges and perspectives of drug discovery targeting these PPIs for the treatment of MLL1-r leukemia are discussed.","author":[{"dropping-particle":"","family":"Li","given":"Xin","non-dropping-particle":"","parse-names":false,"suffix":""},{"dropping-particle":"","family":"Song","given":"Yongcheng","non-dropping-particle":"","parse-names":false,"suffix":""}],"container-title":"Journal of Hematology and Oncology","id":"ITEM-1","issue":"1","issued":{"date-parts":[["2021"]]},"title":"Structure, function and inhibition of critical protein–protein interactions involving mixed lineage leukemia 1 and its fusion oncoproteins","type":"article","volume":"14"},"uris":["http://www.mendeley.com/documents/?uuid=01062027-8b6f-366f-8d2b-c4fbf6f87a97"]}],"mendeley":{"formattedCitation":"[27]","plainTextFormattedCitation":"[27]","previouslyFormattedCitation":"[27]"},"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[27]</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29</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SP1</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regulation by interacting with corepressors or coactivators</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{"citationItems":[{"id":"ITEM-1","itemData":{"DOI":"10.1186/gb-2003-4-2-206","ISSN":"14656906","abstract":"like proteins and Krüppel-like factors (KLFs) are highly related zinc-finger proteins that are important components of the eukaryotic cellular transcriptional machinery. By regulating the expression of a large number of genes that have GC-rich promoters, Sp1-like/KLF transcription regulators may take part in virtually all facets of cellular function, including cell proliferation, apoptosis, differentiation, and neoplastic transformation. Individual members of the Sp1-like/KLF family can function as activators or repressors depending on which promoter they bind and the coregulators with which they interact. A long-standing research aim has been to define the mechanisms by which Sp1-like factors and KLFs regulate gene expression and cellular function in a cell- and promoter-specific manner. Most members of this family have been identified in mammals, with at least 21 Sp1-like/KLF proteins encoded in the human genome, and members are also found in frogs, worms and flies. Sp1-like/KLF proteins have highly conserved carboxy-terminal zinc-finger domains that function in DNA binding. The amino terminus, containing the transcription activation domain, can vary significantly between family members.","author":[{"dropping-particle":"","family":"Kaczynski","given":"Joanna","non-dropping-particle":"","parse-names":false,"suffix":""},{"dropping-particle":"","family":"Cook","given":"Tiffany","non-dropping-particle":"","parse-names":false,"suffix":""},{"dropping-particle":"","family":"Urrutia","given":"Raul","non-dropping-particle":"","parse-names":false,"suffix":""}],"container-title":"Genome Biology","id":"ITEM-1","issue":"2","issued":{"date-parts":[["2003"]]},"title":"Sp1- and Krüppel-like transcription factors","type":"article","volume":"4"},"uris":["http://www.mendeley.com/documents/?uuid=e4126a5e-f2b2-3598-8fad-5ec5f17418ad"]}],"mendeley":{"formattedCitation":"[28]","plainTextFormattedCitation":"[28]","previouslyFormattedCitation":"[28]"},"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[28]</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30</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RYBP</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Epigenetic modification, a component of polycomb complex</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{"citationItems":[{"id":"ITEM-1","itemData":{"DOI":"10.1098/rsob.220305","ISSN":"20462441","abstract":"RING1 and YY1 binding protein (RYBP) is primarily known to function as a repressor being a core component of the non-canonical polycomb repressive complexes 1 (ncPRC1s). However, several ncPRC1-independent functions of RYBP have also been described. We previously reported that RYBP is essential for mouse embryonic development and that Rybp null mutant embryonic stem cells cannot form contractile cardiomyocytes (CMCs) in vitro. We also showed that PLAGL1, a cardiac transcription factor, which is often mutated in congenital heart diseases (CHDs), is not expressed in Rybp-null mutant CMCs. However, the underlying mechanism of how RYBP regulates Plagl1 expression was not revealed. Here, we demonstrate that RYBP cooperated with NKX2-5 to transcriptionally activate the P1 and P3 promoters of the Plagl1 gene and that this activation is ncPRC1-independent. We also show that two non-coding RNAs residing in the Plagl1 locus can also regulate the Plagl1 promoters. Finally, PLAGL1 was able to activate Tnnt2, a gene important for contractility of CMCs in transfected HEK293 cells. Our study shows that the activation of Plagl1 by RYBP is important for sarcomere development and contractility, and suggests that RYBP, via its regulatory functions, may contribute to the development of CHDs.","author":[{"dropping-particle":"","family":"Henry","given":"Surya","non-dropping-particle":"","parse-names":false,"suffix":""},{"dropping-particle":"","family":"Kokity","given":"Lilla","non-dropping-particle":"","parse-names":false,"suffix":""},{"dropping-particle":"","family":"Pirity","given":"Melinda Katalin","non-dropping-particle":"","parse-names":false,"suffix":""}],"container-title":"Open Biology","id":"ITEM-1","issue":"2","issued":{"date-parts":[["2023"]]},"title":"Polycomb protein RYBP activates transcription factor Plagl1 during in vitro cardiac differentiation of mouse embryonic stem cells","type":"article-journal","volume":"13"},"uris":["http://www.mendeley.com/documents/?uuid=be69807d-25f6-3176-9207-1080a4245375"]}],"mendeley":{"formattedCitation":"[29]","plainTextFormattedCitation":"[29]","previouslyFormattedCitation":"[29]"},"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[29]</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31</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ZBTB14</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regulation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{"citationItems":[{"id":"ITEM-1","itemData":{"DOI":"10.7554/eLife.80760","ISSN":"2050084X","abstract":"Macrophages and their precursor cells, monocytes, are the first line of defense of the body against foreign pathogens and tissue damage. Although the origins of macrophages are diverse, some common transcription factors (such as PU.1) are required to ensure proper development of monocytes/macrophages. Here, we report that the deficiency of zbtb14, a transcription repressor gene belonging to ZBTB family, leads to an aberrant expansion of monocyte/macrophage population in zebrafish. Mechanistically, Zbtb14 functions as a negative regulator of pu.1, and SUMOylation on a conserved lysine is essential for the repression activity of Zbtb14. Moreover, a serine to phenylalanine mutation found in an acute myeloid leukemia (AML) patient could target ZBTB14 protein to autophagic degradation. Hence, ZBTB14 is a newly identified gene implicated in both normal and malignant myelopoiesis.","author":[{"dropping-particle":"","family":"Deng","given":"Yun","non-dropping-particle":"","parse-names":false,"suffix":""},{"dropping-particle":"","family":"Wang","given":"Haihong","non-dropping-particle":"","parse-names":false,"suffix":""},{"dropping-particle":"","family":"Liu","given":"Xiaohui","non-dropping-particle":"","parse-names":false,"suffix":""},{"dropping-particle":"","family":"Yuan","given":"Hao","non-dropping-particle":"","parse-names":false,"suffix":""},{"dropping-particle":"","family":"Xu","given":"Jin","non-dropping-particle":"","parse-names":false,"suffix":""},{"dropping-particle":"","family":"Thé","given":"Hugues","non-dropping-particle":"de","parse-names":false,"suffix":""},{"dropping-particle":"","family":"Zhou","given":"Jun","non-dropping-particle":"","parse-names":false,"suffix":""},{"dropping-particle":"","family":"Zhu","given":"Jun","non-dropping-particle":"","parse-names":false,"suffix":""}],"container-title":"eLife","id":"ITEM-1","issued":{"date-parts":[["2022"]]},"title":"Zbtb14 regulates monocyte and macrophage development through inhibiting pu.1 expression in zebrafish","type":"article-journal","volume":"11"},"uris":["http://www.mendeley.com/documents/?uuid=2f42823f-8404-3d3d-a6e5-a237414a2637"]}],"mendeley":{"formattedCitation":"[30]","plainTextFormattedCitation":"[30]","previouslyFormattedCitation":"[30]"},"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[30]</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32</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POLR2A</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regulation, a component of RNA pol II machinery</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{"citationItems":[{"id":"ITEM-1","itemData":{"DOI":"10.3389/fgene.2021.688575","ISSN":"16648021","abstract":"RNA polymerase II subunit A (POLR2A) is the largest subunit encoding RNA polymerase II and closely related to cancer progression. However, the biological role and underlying molecular mechanism of POLR2A in gastric cancer (GC) are still unclear. Our study demonstrated that POLR2A was highly expressed in GC tissue and promoted the proliferation of GC in vitro and in vivo. We also found that POLR2A participated in the transcriptional regulation of cyclins and cyclin-dependent kinases (CDKs) at each stage and promoted their expression, indicated POLR2A’s overall promotion of cell cycle progression. Moreover, POLR2A inhibited GC cell apoptosis and promoted GC cell migration. Our results indicate that POLR2A play an oncogene role in GC, which may be an important factor involved in the occurrence and development of GC.","author":[{"dropping-particle":"","family":"Jiang","given":"Qiuyu","non-dropping-particle":"","parse-names":false,"suffix":""},{"dropping-particle":"","family":"Zhang","given":"Jinyuan","non-dropping-particle":"","parse-names":false,"suffix":""},{"dropping-particle":"","family":"Li","given":"Fang","non-dropping-particle":"","parse-names":false,"suffix":""},{"dropping-particle":"","family":"Ma","given":"Xiaoping","non-dropping-particle":"","parse-names":false,"suffix":""},{"dropping-particle":"","family":"Wu","given":"Fei","non-dropping-particle":"","parse-names":false,"suffix":""},{"dropping-particle":"","family":"Miao","given":"Jiyu","non-dropping-particle":"","parse-names":false,"suffix":""},{"dropping-particle":"","family":"Li","given":"Qian","non-dropping-particle":"","parse-names":false,"suffix":""},{"dropping-particle":"","family":"Wang","given":"Xiaofei","non-dropping-particle":"","parse-names":false,"suffix":""},{"dropping-particle":"","family":"Sun","given":"Ruifang","non-dropping-particle":"","parse-names":false,"suffix":""},{"dropping-particle":"","family":"Yang","given":"Yang","non-dropping-particle":"","parse-names":false,"suffix":""},{"dropping-particle":"","family":"Zhao","given":"Lingyu","non-dropping-particle":"","parse-names":false,"suffix":""},{"dropping-particle":"","family":"Huang","given":"Chen","non-dropping-particle":"","parse-names":false,"suffix":""}],"container-title":"Frontiers in Genetics","id":"ITEM-1","issued":{"date-parts":[["2021"]]},"title":"POLR2A Promotes the Proliferation of Gastric Cancer Cells by Advancing the Overall Cell Cycle Progression","type":"article-journal","volume":"12"},"uris":["http://www.mendeley.com/documents/?uuid=5b7ffbb1-1447-37db-aa2a-f2f025f86636"]}],"mendeley":{"formattedCitation":"[31]","plainTextFormattedCitation":"[31]","previouslyFormattedCitation":"[31]"},"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[31]</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33</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ZNF282</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co-activation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{"citationItems":[{"id":"ITEM-1","itemData":{"DOI":"10.18632/oncotarget.2630","ISSN":"19492553","abstract":"Zinc finger protein 282 (ZNF282) is a newly identified transcription factor and little is known about its expression and function. Originally, ZNF282 is known to bind U5RE (U5 repressive element) of HLTV-1 (human T cell leukemia virus type 1) with a repressive effect. Recently we reported that ZNF282 functions as an estrogen receptor co-activator and plays an essential role in breast tumorigenesis. Although these results suggest the possible role of ZNF282 in cancers, clinical significance and function of ZNF282 are completely unknown in most of cancers. Here we found that ZNF282 was frequently overexpressed in esophageal squamous cell carcinoma (ESCC) (n=165) compared with normal esophageal epithelium and its overexpression was correlated with adverse clinical outcome. Multivariate survival analysis indicated that ZNF282 expression was an independent prognostic predictor for poor survival in ESCC (HR: 2.56 (95% CI 1.54-4.26), p &lt; 0.001). In addition, depletion of ZNF282 inhibited the cell cycle progression, migration, and invasion of ESCC cells and reduced the tumorigenicity of ESCC xenograft in nude mouse. We further showed that ZNF282 is required for E2F1-mediated gene expression in ESCC cells. Thus, ZNF282 is E2F1 co-activator involved in ESCC and elevated expression of ZNF282 is an independent adverse prognostic factor in ESCC.","author":[{"dropping-particle":"","family":"Yeo","given":"So Young","non-dropping-particle":"","parse-names":false,"suffix":""},{"dropping-particle":"","family":"Ha","given":"Sang Yun","non-dropping-particle":"","parse-names":false,"suffix":""},{"dropping-particle":"","family":"Yu","given":"Eun Ji","non-dropping-particle":"","parse-names":false,"suffix":""},{"dropping-particle":"","family":"Lee","given":"Keun Woo","non-dropping-particle":"","parse-names":false,"suffix":""},{"dropping-particle":"","family":"Kim","given":"Jeong Hoon","non-dropping-particle":"","parse-names":false,"suffix":""},{"dropping-particle":"","family":"Kim","given":"Seok Hyung","non-dropping-particle":"","parse-names":false,"suffix":""}],"container-title":"Oncotarget","id":"ITEM-1","issue":"23","issued":{"date-parts":[["2014"]]},"title":"ZNF282 (Zinc finger protein 282), a novel E2F1 co-activator, promotes esophageal squamous cell carcinoma","type":"article-journal","volume":"5"},"uris":["http://www.mendeley.com/documents/?uuid=af73023b-6732-390f-8478-f1a345af7d97"]}],"mendeley":{"formattedCitation":"[32]","plainTextFormattedCitation":"[32]","previouslyFormattedCitation":"[32]"},"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[32]</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34</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PHF8</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Histone modifications</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{"citationItems":[{"id":"ITEM-1","itemData":{"DOI":"10.1016/j.molcel.2010.03.002","ISSN":"10972765","abstract":"X-linked mental retardation (XLMR) is an inherited disorder that mostly affects males and is caused by mutations in genes located on the X chromosome. Here, we show that the XLMR protein PHF8 and a C. elegans homolog F29B9.2 catalyze demethylation of di- and monomethylated lysine 9 of histone H3 (H3K9me2/me1). The PHD domain of PHF8 binds to H3K4me3 and colocalizes with H3K4me3 at transcription initiation sites. Furthermore, PHF8 interacts with another XMLR protein, ZNF711, which binds to a subset of PHF8 target genes, including the XLMR gene JARID1C. Of interest, the C. elegans PHF8 homolog is highly expressed in neurons, and mutant animals show impaired locomotion. Taken together, our results functionally link the XLMR gene PHF8 to two other XLMR genes, ZNF711 and JARID1C, indicating that MR genes may be functionally linked in pathways, causing the complex phenotypes observed in patients developing MR. © 2010 Elsevier Inc. All rights reserved.","author":[{"dropping-particle":"","family":"Kleine-Kohlbrecher","given":"Daniela","non-dropping-particle":"","parse-names":false,"suffix":""},{"dropping-particle":"","family":"Christensen","given":"Jesper","non-dropping-particle":"","parse-names":false,"suffix":""},{"dropping-particle":"","family":"Vandamme","given":"Julien","non-dropping-particle":"","parse-names":false,"suffix":""},{"dropping-particle":"","family":"Abarrategui","given":"Iratxe","non-dropping-particle":"","parse-names":false,"suffix":""},{"dropping-particle":"","family":"Bak","given":"Mads","non-dropping-particle":"","parse-names":false,"suffix":""},{"dropping-particle":"","family":"Tommerup","given":"Niels","non-dropping-particle":"","parse-names":false,"suffix":""},{"dropping-particle":"","family":"Shi","given":"Xiaobing","non-dropping-particle":"","parse-names":false,"suffix":""},{"dropping-particle":"","family":"Gozani","given":"Or","non-dropping-particle":"","parse-names":false,"suffix":""},{"dropping-particle":"","family":"Rappsilber","given":"Juri","non-dropping-particle":"","parse-names":false,"suffix":""},{"dropping-particle":"","family":"Salcini","given":"Anna Elisabetta","non-dropping-particle":"","parse-names":false,"suffix":""},{"dropping-particle":"","family":"Helin","given":"Kristian","non-dropping-particle":"","parse-names":false,"suffix":""}],"container-title":"Molecular Cell","id":"ITEM-1","issue":"2","issued":{"date-parts":[["2010"]]},"title":"A Functional Link between the Histone Demethylase PHF8 and the Transcription Factor ZNF711 in X-Linked Mental Retardation","type":"article-journal","volume":"38"},"uris":["http://www.mendeley.com/documents/?uuid=aa030ee6-b0ea-3e0b-9fed-577323ce2f0b"]}],"mendeley":{"formattedCitation":"[33]","plainTextFormattedCitation":"[33]","previouslyFormattedCitation":"[33]"},"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[33]</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35</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ZBTB7A</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Chromatin remodelling, epigenetic regulation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{"citationItems":[{"id":"ITEM-1","itemData":{"DOI":"10.1186/s40246-019-0252-0","ISSN":"14797364","abstract":"Transcription factors (TFs) consisting of zinc fingers combined with BTB (for broad-complex, tram-track, and bric-a-brac) domain (ZBTB) are a highly conserved protein family that comprises a multifunctional and heterogeneous group of TFs, mainly modulating cell developmental events and cell fate. LRF/ZBTB7A, in particular, is reported to be implicated in a wide variety of physiological and cancer-related cell events. These physiological processes include regulation of erythrocyte maturation, B/T cell differentiation, adipogenesis, and thymic insulin expression affecting consequently insulin self-tolerance. In cancer, LRF/ZBTB7A has been reported to act either as oncogenic or as oncosuppressive factor by affecting specific cell processes (proliferation, apoptosis, invasion, migration, metastasis, etc) in opposed ways, depending on cancer type and molecular interactions. The molecular mechanisms via which LRF/ZBTB7A is known to exert either physiological or cancer-related cellular effects include chromatin organization and remodeling, regulation of the Notch signaling axis, cellular response to DNA damage stimulus, epigenetic-dependent regulation of transcription, regulation of the expression and activity of NF-κB and p53, and regulation of aerobic glycolysis and oxidative phosphorylation (Warburg effect). It is a pleiotropic TF, and thus, alterations to its expression status become detrimental for cell survival. This review summarizes its implication in different cellular activities and the commonly invoked molecular mechanisms triggered by LRF/ZBTB7A's orchestrated action.","author":[{"dropping-particle":"","family":"Constantinou","given":"Caterina","non-dropping-particle":"","parse-names":false,"suffix":""},{"dropping-particle":"","family":"Spella","given":"Magda","non-dropping-particle":"","parse-names":false,"suffix":""},{"dropping-particle":"","family":"Chondrou","given":"Vasiliki","non-dropping-particle":"","parse-names":false,"suffix":""},{"dropping-particle":"","family":"Patrinos","given":"George P.","non-dropping-particle":"","parse-names":false,"suffix":""},{"dropping-particle":"","family":"Papachatzopoulou","given":"Adamantia","non-dropping-particle":"","parse-names":false,"suffix":""},{"dropping-particle":"","family":"Sgourou","given":"Argyro","non-dropping-particle":"","parse-names":false,"suffix":""}],"container-title":"Human Genomics","id":"ITEM-1","issue":"1","issued":{"date-parts":[["2019"]]},"title":"The multi-faceted functioning portrait of LRF/ZBTB7A","type":"article","volume":"13"},"uris":["http://www.mendeley.com/documents/?uuid=2fe8e972-3685-3d4d-838e-9f4cdf2e417c"]}],"mendeley":{"formattedCitation":"[34]","plainTextFormattedCitation":"[34]","previouslyFormattedCitation":"[34]"},"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[34]</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36</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KLF12</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co-activation and co-repression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{"citationItems":[{"id":"ITEM-1","itemData":{"DOI":"10.1093/gbe/evv141","ISSN":"17596653","abstract":"The Krü ppel-like factor and specificity protein (KLF/SP) genes play key roles in critical biological processes including stem cell maintenance, cell proliferation, embryonic development, tissue differentiation, and metabolism and their dysregulation has been implicated in a number of human diseases and cancers. Although many KLF/SP genes have been characterized in a handful of bilaterian lineages, little is known about the KLF/SP gene family in nonbilaterians and virtually nothing is known outside the metazoans. Here, we analyze and discuss the origins and evolutionary history of the KLF/SP transcription factor family and associated transactivation/repression domains. We have identified and characterized the complete KLF/SP gene complement from the genomes of 48 species spanning the Eukarya. We have also examined the phylogenetic distribution of transactivation/repression domains associated with this gene family. We report that the origin of the KLF/SP gene family predates the divergence of the Metazoa. Furthermore, the expansion of the KLF/SP gene family is paralleled by diversification of transactivation domains via both acquisitions of pre-existing ancient domains as well as by the appearance of novel domains exclusive to this gene family and is strongly associated with the expansion of cell type complexity.","author":[{"dropping-particle":"","family":"Presnell","given":"Jason S.","non-dropping-particle":"","parse-names":false,"suffix":""},{"dropping-particle":"","family":"Schnitzler","given":"Christine E.","non-dropping-particle":"","parse-names":false,"suffix":""},{"dropping-particle":"","family":"Browne","given":"William E.","non-dropping-particle":"","parse-names":false,"suffix":""}],"container-title":"Genome Biology and Evolution","id":"ITEM-1","issue":"8","issued":{"date-parts":[["2015"]]},"title":"KLF/SP transcription factor family evolution: Expansion, diversification, and innovation in eukaryotes","type":"article-journal","volume":"7"},"uris":["http://www.mendeley.com/documents/?uuid=0181019d-9382-32e7-80ec-edf4f6edf2b4"]}],"mendeley":{"formattedCitation":"[35]","plainTextFormattedCitation":"[35]","previouslyFormattedCitation":"[35]"},"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[35]</w:t>
            </w:r>
            <w:r w:rsidRPr="00741BF4">
              <w:rPr>
                <w:rFonts w:ascii="Times New Roman" w:hAnsi="Times New Roman" w:cs="Times New Roman"/>
              </w:rPr>
              <w:fldChar w:fldCharType="end"/>
            </w:r>
          </w:p>
        </w:tc>
      </w:tr>
      <w:tr w:rsidR="00FF045A" w:rsidRPr="00741BF4" w:rsidTr="0004429A">
        <w:tc>
          <w:tcPr>
            <w:tcW w:w="0" w:type="auto"/>
          </w:tcPr>
          <w:p w:rsidR="00FF045A" w:rsidRPr="00741BF4" w:rsidRDefault="00FF045A" w:rsidP="0004429A">
            <w:pPr>
              <w:rPr>
                <w:rFonts w:ascii="Times New Roman" w:hAnsi="Times New Roman" w:cs="Times New Roman"/>
              </w:rPr>
            </w:pPr>
            <w:r w:rsidRPr="00741BF4">
              <w:rPr>
                <w:rFonts w:ascii="Times New Roman" w:hAnsi="Times New Roman" w:cs="Times New Roman"/>
              </w:rPr>
              <w:t>37</w:t>
            </w:r>
          </w:p>
        </w:tc>
        <w:tc>
          <w:tcPr>
            <w:tcW w:w="965"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ZFX</w:t>
            </w:r>
          </w:p>
        </w:tc>
        <w:tc>
          <w:tcPr>
            <w:tcW w:w="678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t>Transcriptional regulation</w:t>
            </w:r>
          </w:p>
        </w:tc>
        <w:tc>
          <w:tcPr>
            <w:tcW w:w="1560" w:type="dxa"/>
          </w:tcPr>
          <w:p w:rsidR="00FF045A" w:rsidRPr="00741BF4" w:rsidRDefault="00FF045A" w:rsidP="0004429A">
            <w:pPr>
              <w:rPr>
                <w:rFonts w:ascii="Times New Roman" w:hAnsi="Times New Roman" w:cs="Times New Roman"/>
              </w:rPr>
            </w:pPr>
            <w:r w:rsidRPr="00741BF4">
              <w:rPr>
                <w:rFonts w:ascii="Times New Roman" w:hAnsi="Times New Roman" w:cs="Times New Roman"/>
              </w:rPr>
              <w:fldChar w:fldCharType="begin" w:fldLock="1"/>
            </w:r>
            <w:r w:rsidRPr="00741BF4">
              <w:rPr>
                <w:rFonts w:ascii="Times New Roman" w:hAnsi="Times New Roman" w:cs="Times New Roman"/>
              </w:rPr>
              <w:instrText>ADDIN CSL_CITATION {"citationItems":[{"id":"ITEM-1","itemData":{"DOI":"10.1101/gr.228809.117","ISSN":"15495469","abstract":"High expression of the transcription factor ZFX is correlated with proliferation, tumorigenesis, and patient survival in multiple types of human cancers. However, the mechanism by which ZFX influences transcriptional regulation has not been determined. We performed ChIP-seq in four cancer cell lines (representing kidney, colon, prostate, and breast cancers) to identify ZFX binding sites throughout the human genome. We identified roughly 9000 ZFX binding sites and found that most of the sites are in CpG island promoters. Moreover, genes with promoters bound by ZFX are expressed at higher levels than genes with promoters not bound by ZFX. To determine if ZFX contributes to regulation of the promoters to which it is bound, we performed RNA-seq analysis after knockdown of ZFX by siRNA in prostate and breast cancer cells. Many genes with promoters bound by ZFX were down-regulated upon ZFX knockdown, supporting the hypothesis that ZFX acts as a transcriptional activator. Surprisingly, ZFX binds at +240 bp downstream from the TSS of the responsive promoters. Using Nucleosome Occupancy and Methylome Sequencing (NOMe-seq), we show that ZFX binds between the open chromatin region at the TSS and the first downstream nucleosome, suggesting that ZFX may play a critical role in promoter architecture. We have also shown that a closely related zinc finger protein ZNF711 has a similar binding pattern at CpG island promoters, but ZNF711 may play a subordinate role to ZFX. This functional characterization of ZFX provides important new insights into transcription, chromatin structure, and the regulation of the cancer transcriptome.","author":[{"dropping-particle":"","family":"Rhie","given":"Suhn Kyong","non-dropping-particle":"","parse-names":false,"suffix":""},{"dropping-particle":"","family":"Yao","given":"Lijun","non-dropping-particle":"","parse-names":false,"suffix":""},{"dropping-particle":"","family":"Luo","given":"Zhifei","non-dropping-particle":"","parse-names":false,"suffix":""},{"dropping-particle":"","family":"Witt","given":"Heather","non-dropping-particle":"","parse-names":false,"suffix":""},{"dropping-particle":"","family":"Schreiner","given":"Shannon","non-dropping-particle":"","parse-names":false,"suffix":""},{"dropping-particle":"","family":"Guo","given":"Yu","non-dropping-particle":"","parse-names":false,"suffix":""},{"dropping-particle":"","family":"Perez","given":"Andrew A.","non-dropping-particle":"","parse-names":false,"suffix":""},{"dropping-particle":"","family":"Farnham","given":"Peggy J.","non-dropping-particle":"","parse-names":false,"suffix":""}],"container-title":"Genome Research","id":"ITEM-1","issue":"3","issued":{"date-parts":[["2018"]]},"title":"ZFX acts as a transcriptional activator in multiple types of human tumors by binding downstream from transcription start sites at the majority of CpG island promoters","type":"article-journal","volume":"28"},"uris":["http://www.mendeley.com/documents/?uuid=9a247d4d-1275-34c4-b00f-9a4ed75690bf"]}],"mendeley":{"formattedCitation":"[36]","plainTextFormattedCitation":"[36]"},"properties":{"noteIndex":0},"schema":"https://github.com/citation-style-language/schema/raw/master/csl-citation.json"}</w:instrText>
            </w:r>
            <w:r w:rsidRPr="00741BF4">
              <w:rPr>
                <w:rFonts w:ascii="Times New Roman" w:hAnsi="Times New Roman" w:cs="Times New Roman"/>
              </w:rPr>
              <w:fldChar w:fldCharType="separate"/>
            </w:r>
            <w:r w:rsidRPr="00741BF4">
              <w:rPr>
                <w:rFonts w:ascii="Times New Roman" w:hAnsi="Times New Roman" w:cs="Times New Roman"/>
                <w:noProof/>
              </w:rPr>
              <w:t>[36]</w:t>
            </w:r>
            <w:r w:rsidRPr="00741BF4">
              <w:rPr>
                <w:rFonts w:ascii="Times New Roman" w:hAnsi="Times New Roman" w:cs="Times New Roman"/>
              </w:rPr>
              <w:fldChar w:fldCharType="end"/>
            </w:r>
          </w:p>
        </w:tc>
      </w:tr>
    </w:tbl>
    <w:p w:rsidR="00FF045A" w:rsidRPr="00741BF4" w:rsidRDefault="00FF045A" w:rsidP="00FF045A">
      <w:pPr>
        <w:spacing w:before="240"/>
        <w:rPr>
          <w:rFonts w:ascii="Times New Roman" w:hAnsi="Times New Roman" w:cs="Times New Roman"/>
          <w:b/>
        </w:rPr>
      </w:pPr>
      <w:r w:rsidRPr="00741BF4">
        <w:rPr>
          <w:rFonts w:ascii="Times New Roman" w:hAnsi="Times New Roman" w:cs="Times New Roman"/>
          <w:b/>
        </w:rPr>
        <w:t>References</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rPr>
        <w:fldChar w:fldCharType="begin" w:fldLock="1"/>
      </w:r>
      <w:r w:rsidRPr="00741BF4">
        <w:rPr>
          <w:rFonts w:ascii="Times New Roman" w:hAnsi="Times New Roman" w:cs="Times New Roman"/>
        </w:rPr>
        <w:instrText xml:space="preserve">ADDIN Mendeley Bibliography CSL_BIBLIOGRAPHY </w:instrText>
      </w:r>
      <w:r w:rsidRPr="00741BF4">
        <w:rPr>
          <w:rFonts w:ascii="Times New Roman" w:hAnsi="Times New Roman" w:cs="Times New Roman"/>
        </w:rPr>
        <w:fldChar w:fldCharType="separate"/>
      </w:r>
      <w:r w:rsidRPr="00741BF4">
        <w:rPr>
          <w:rFonts w:ascii="Times New Roman" w:hAnsi="Times New Roman" w:cs="Times New Roman"/>
          <w:noProof/>
          <w:szCs w:val="24"/>
        </w:rPr>
        <w:t xml:space="preserve">1. </w:t>
      </w:r>
      <w:r w:rsidRPr="00741BF4">
        <w:rPr>
          <w:rFonts w:ascii="Times New Roman" w:hAnsi="Times New Roman" w:cs="Times New Roman"/>
          <w:noProof/>
          <w:szCs w:val="24"/>
        </w:rPr>
        <w:tab/>
        <w:t>Park J, Park S, Lee JS (2023) Role of the Paf1 complex in the maintenance of stem cell pluripotency and development. FEBS J. 290</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2. </w:t>
      </w:r>
      <w:r w:rsidRPr="00741BF4">
        <w:rPr>
          <w:rFonts w:ascii="Times New Roman" w:hAnsi="Times New Roman" w:cs="Times New Roman"/>
          <w:noProof/>
          <w:szCs w:val="24"/>
        </w:rPr>
        <w:tab/>
        <w:t xml:space="preserve">Song JJ, Kingston RE (2008) WDR5 interacts with mixed lineage leukemia (MLL) protein via </w:t>
      </w:r>
      <w:r w:rsidRPr="00741BF4">
        <w:rPr>
          <w:rFonts w:ascii="Times New Roman" w:hAnsi="Times New Roman" w:cs="Times New Roman"/>
          <w:noProof/>
          <w:szCs w:val="24"/>
        </w:rPr>
        <w:lastRenderedPageBreak/>
        <w:t>the histone H3-binding pocket. J Biol Chem 283:. https://doi.org/10.1074/jbc.M806900200</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3. </w:t>
      </w:r>
      <w:r w:rsidRPr="00741BF4">
        <w:rPr>
          <w:rFonts w:ascii="Times New Roman" w:hAnsi="Times New Roman" w:cs="Times New Roman"/>
          <w:noProof/>
          <w:szCs w:val="24"/>
        </w:rPr>
        <w:tab/>
        <w:t>Tycko J, DelRosso N, Hess GT, et al (2020) High-Throughput Discovery and Characterization of Human Transcriptional Effectors. Cell 183:. https://doi.org/10.1016/j.cell.2020.11.024</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4. </w:t>
      </w:r>
      <w:r w:rsidRPr="00741BF4">
        <w:rPr>
          <w:rFonts w:ascii="Times New Roman" w:hAnsi="Times New Roman" w:cs="Times New Roman"/>
          <w:noProof/>
          <w:szCs w:val="24"/>
        </w:rPr>
        <w:tab/>
        <w:t>Xiao Q, Zhang Y, Qi X, et al (2020) AFF4 regulates osteogenic differentiation of human dental follicle cells. Int J Oral Sci 12:. https://doi.org/10.1038/s41368-020-0083-9</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5. </w:t>
      </w:r>
      <w:r w:rsidRPr="00741BF4">
        <w:rPr>
          <w:rFonts w:ascii="Times New Roman" w:hAnsi="Times New Roman" w:cs="Times New Roman"/>
          <w:noProof/>
          <w:szCs w:val="24"/>
        </w:rPr>
        <w:tab/>
        <w:t>Yang L, Jin M, Park SJ, et al (2020) Setd1a promotes proliferation of castration-resistant prostate cancer cells via FOXM1 transcription. Cancers (Basel) 12:. https://doi.org/10.3390/cancers12071736</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6. </w:t>
      </w:r>
      <w:r w:rsidRPr="00741BF4">
        <w:rPr>
          <w:rFonts w:ascii="Times New Roman" w:hAnsi="Times New Roman" w:cs="Times New Roman"/>
          <w:noProof/>
          <w:szCs w:val="24"/>
        </w:rPr>
        <w:tab/>
        <w:t>Malik N, Yan H, Moshkovich N, et al (2019) The transcription factor CBFB suppresses breast cancer through orchestrating translation and transcription. Nat Commun 10:. https://doi.org/10.1038/s41467-019-10102-6</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7. </w:t>
      </w:r>
      <w:r w:rsidRPr="00741BF4">
        <w:rPr>
          <w:rFonts w:ascii="Times New Roman" w:hAnsi="Times New Roman" w:cs="Times New Roman"/>
          <w:noProof/>
          <w:szCs w:val="24"/>
        </w:rPr>
        <w:tab/>
        <w:t>Gowans GJ, Schep AN, Wong KM, et al (2018) INO80 Chromatin Remodeling Coordinates Metabolic Homeostasis with Cell Division. Cell Rep 22:. https://doi.org/10.1016/j.celrep.2017.12.079</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8. </w:t>
      </w:r>
      <w:r w:rsidRPr="00741BF4">
        <w:rPr>
          <w:rFonts w:ascii="Times New Roman" w:hAnsi="Times New Roman" w:cs="Times New Roman"/>
          <w:noProof/>
          <w:szCs w:val="24"/>
        </w:rPr>
        <w:tab/>
        <w:t>Das SK, Lewis BA, Levens D (2023) MYC: a complex problem. Trends Cell Biol. 33</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9. </w:t>
      </w:r>
      <w:r w:rsidRPr="00741BF4">
        <w:rPr>
          <w:rFonts w:ascii="Times New Roman" w:hAnsi="Times New Roman" w:cs="Times New Roman"/>
          <w:noProof/>
          <w:szCs w:val="24"/>
        </w:rPr>
        <w:tab/>
        <w:t>Montalbán-Loro R, Lozano-Ureña A, Ito M, et al (2019) TET3 prevents terminal differentiation of adult NSCs by a non-catalytic action at Snrpn. Nat Commun 10:. https://doi.org/10.1038/s41467-019-09665-1</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10. </w:t>
      </w:r>
      <w:r w:rsidRPr="00741BF4">
        <w:rPr>
          <w:rFonts w:ascii="Times New Roman" w:hAnsi="Times New Roman" w:cs="Times New Roman"/>
          <w:noProof/>
          <w:szCs w:val="24"/>
        </w:rPr>
        <w:tab/>
        <w:t>Margueron R, Li G, Sarma K, et al (2008) Ezh1 and Ezh2 Maintain Repressive Chromatin through Different Mechanisms. Mol Cell 32:. https://doi.org/10.1016/j.molcel.2008.11.004</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11. </w:t>
      </w:r>
      <w:r w:rsidRPr="00741BF4">
        <w:rPr>
          <w:rFonts w:ascii="Times New Roman" w:hAnsi="Times New Roman" w:cs="Times New Roman"/>
          <w:noProof/>
          <w:szCs w:val="24"/>
        </w:rPr>
        <w:tab/>
        <w:t>Grandori C, Cowley SM, James LP, Eisenman RN (2000) The Myc/Max/Mad network and the transcriptional control of cell behavior. Annu. Rev. Cell Dev. Biol. 16</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12. </w:t>
      </w:r>
      <w:r w:rsidRPr="00741BF4">
        <w:rPr>
          <w:rFonts w:ascii="Times New Roman" w:hAnsi="Times New Roman" w:cs="Times New Roman"/>
          <w:noProof/>
          <w:szCs w:val="24"/>
        </w:rPr>
        <w:tab/>
        <w:t>Lennon MJ, Jones SP, Lovelace MD, et al (2017) Bcl11b-A critical neurodevelopmental transcription factor-roles in health and disease. Front. Cell. Neurosci. 11</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13. </w:t>
      </w:r>
      <w:r w:rsidRPr="00741BF4">
        <w:rPr>
          <w:rFonts w:ascii="Times New Roman" w:hAnsi="Times New Roman" w:cs="Times New Roman"/>
          <w:noProof/>
          <w:szCs w:val="24"/>
        </w:rPr>
        <w:tab/>
        <w:t>Wu L, Timmers C, Malti B, et al (2001) The E2F1-3 transcription factors are essential for cellular proliferation. Nature 414:. https://doi.org/10.1038/35106593</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14. </w:t>
      </w:r>
      <w:r w:rsidRPr="00741BF4">
        <w:rPr>
          <w:rFonts w:ascii="Times New Roman" w:hAnsi="Times New Roman" w:cs="Times New Roman"/>
          <w:noProof/>
          <w:szCs w:val="24"/>
        </w:rPr>
        <w:tab/>
        <w:t>Bacon CW, D’Orso I (2019) CDK9: a signaling hub for transcriptional control. Transcription 10</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15. </w:t>
      </w:r>
      <w:r w:rsidRPr="00741BF4">
        <w:rPr>
          <w:rFonts w:ascii="Times New Roman" w:hAnsi="Times New Roman" w:cs="Times New Roman"/>
          <w:noProof/>
          <w:szCs w:val="24"/>
        </w:rPr>
        <w:tab/>
        <w:t>Murphy ZC, Wells M, Murphy K, et al (2021) The Condensin II Complex Subunit NCAPH2 Is Essential for Erythropoiesis and Regulates Erythroid Gene Expression. Blood 138:. https://doi.org/10.1182/blood-2021-151957</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16. </w:t>
      </w:r>
      <w:r w:rsidRPr="00741BF4">
        <w:rPr>
          <w:rFonts w:ascii="Times New Roman" w:hAnsi="Times New Roman" w:cs="Times New Roman"/>
          <w:noProof/>
          <w:szCs w:val="24"/>
        </w:rPr>
        <w:tab/>
        <w:t>Li F, Sun Q, Liu K, et al (2020) OTUD5 cooperates with TRIM25 in transcriptional regulation and tumor progression via deubiquitination activity. Nat Commun 11:. https://doi.org/10.1038/s41467-020-17926-7</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17. </w:t>
      </w:r>
      <w:r w:rsidRPr="00741BF4">
        <w:rPr>
          <w:rFonts w:ascii="Times New Roman" w:hAnsi="Times New Roman" w:cs="Times New Roman"/>
          <w:noProof/>
          <w:szCs w:val="24"/>
        </w:rPr>
        <w:tab/>
        <w:t>Gans IM, Grendler J, Babich R, et al (2021) Glucocorticoid-Responsive Transcription Factor Krüppel-Like Factor 9 Regulates fkbp5 and Metabolism. Front Cell Dev Biol 9:. https://doi.org/10.3389/fcell.2021.727037</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18. </w:t>
      </w:r>
      <w:r w:rsidRPr="00741BF4">
        <w:rPr>
          <w:rFonts w:ascii="Times New Roman" w:hAnsi="Times New Roman" w:cs="Times New Roman"/>
          <w:noProof/>
          <w:szCs w:val="24"/>
        </w:rPr>
        <w:tab/>
        <w:t>Scelfo A, Fernández-Pérez D, Tamburri S, et al (2019) Functional Landscape of PCGF Proteins Reveals Both RING1A/B-Dependent-and RING1A/B-Independent-Specific Activities. Mol Cell 74:. https://doi.org/10.1016/j.molcel.2019.04.002</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19. </w:t>
      </w:r>
      <w:r w:rsidRPr="00741BF4">
        <w:rPr>
          <w:rFonts w:ascii="Times New Roman" w:hAnsi="Times New Roman" w:cs="Times New Roman"/>
          <w:noProof/>
          <w:szCs w:val="24"/>
        </w:rPr>
        <w:tab/>
        <w:t>Menafra R, Stunnenberg HG (2014) MBD2 and MBD3: Elusive functions and mechanisms. Front. Genet. 5</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20. </w:t>
      </w:r>
      <w:r w:rsidRPr="00741BF4">
        <w:rPr>
          <w:rFonts w:ascii="Times New Roman" w:hAnsi="Times New Roman" w:cs="Times New Roman"/>
          <w:noProof/>
          <w:szCs w:val="24"/>
        </w:rPr>
        <w:tab/>
        <w:t>Greschik H, Duteil D, Messaddeq N, et al (2017) The histone code reader Spin1 controls skeletal muscle development. Cell Death Dis 8:. https://doi.org/10.1038/cddis.2017.468</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21. </w:t>
      </w:r>
      <w:r w:rsidRPr="00741BF4">
        <w:rPr>
          <w:rFonts w:ascii="Times New Roman" w:hAnsi="Times New Roman" w:cs="Times New Roman"/>
          <w:noProof/>
          <w:szCs w:val="24"/>
        </w:rPr>
        <w:tab/>
        <w:t xml:space="preserve">Feliciano YMS, Bartlebaugh JME, Liu Y, et al (2017) PHF6 regulates phenotypic plasticity through chromatin organization within lineage-specific genes. Genes Dev 31:. </w:t>
      </w:r>
      <w:r w:rsidRPr="00741BF4">
        <w:rPr>
          <w:rFonts w:ascii="Times New Roman" w:hAnsi="Times New Roman" w:cs="Times New Roman"/>
          <w:noProof/>
          <w:szCs w:val="24"/>
        </w:rPr>
        <w:lastRenderedPageBreak/>
        <w:t>https://doi.org/10.1101/gad.295857.117</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22. </w:t>
      </w:r>
      <w:r w:rsidRPr="00741BF4">
        <w:rPr>
          <w:rFonts w:ascii="Times New Roman" w:hAnsi="Times New Roman" w:cs="Times New Roman"/>
          <w:noProof/>
          <w:szCs w:val="24"/>
        </w:rPr>
        <w:tab/>
        <w:t>Zheng C, Wu H, Jin S, et al (2022) Roles of Myc-associated zinc finger protein in malignant tumors. Asia. Pac. J. Clin. Oncol. 18</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23. </w:t>
      </w:r>
      <w:r w:rsidRPr="00741BF4">
        <w:rPr>
          <w:rFonts w:ascii="Times New Roman" w:hAnsi="Times New Roman" w:cs="Times New Roman"/>
          <w:noProof/>
          <w:szCs w:val="24"/>
        </w:rPr>
        <w:tab/>
        <w:t>Martens J, Mandoli A, Singh A, et al (2013) CBFB-MYH11/RUNX1 together with a compendium of hematopoietic regulators, chromatin modifiers and basal transcription factors occupies self-renewal genes in inv(16) acute myeloid leukemia. Exp Hematol 41:. https://doi.org/10.1016/j.exphem.2013.05.198</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24. </w:t>
      </w:r>
      <w:r w:rsidRPr="00741BF4">
        <w:rPr>
          <w:rFonts w:ascii="Times New Roman" w:hAnsi="Times New Roman" w:cs="Times New Roman"/>
          <w:noProof/>
          <w:szCs w:val="24"/>
        </w:rPr>
        <w:tab/>
        <w:t>Gallinari P, Di Marco S, Jones P, et al (2007) HDACs, histone deacetylation and gene transcription: From molecular biology to cancer therapeutics. Cell Res 17:. https://doi.org/10.1038/sj.cr.7310149</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25. </w:t>
      </w:r>
      <w:r w:rsidRPr="00741BF4">
        <w:rPr>
          <w:rFonts w:ascii="Times New Roman" w:hAnsi="Times New Roman" w:cs="Times New Roman"/>
          <w:noProof/>
          <w:szCs w:val="24"/>
        </w:rPr>
        <w:tab/>
        <w:t>Miao W, Porter DF, Lopez-Pajares V, et al (2023) Glucose dissociates DDX21 dimers to regulate mRNA splicing and tissue differentiation. Cell 186:. https://doi.org/10.1016/j.cell.2022.12.004</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26. </w:t>
      </w:r>
      <w:r w:rsidRPr="00741BF4">
        <w:rPr>
          <w:rFonts w:ascii="Times New Roman" w:hAnsi="Times New Roman" w:cs="Times New Roman"/>
          <w:noProof/>
          <w:szCs w:val="24"/>
        </w:rPr>
        <w:tab/>
        <w:t>Sun Z, Xu X, He J, et al (2019) EGR1 recruits TET1 to shape the brain methylome during development and upon neuronal activity. Nat Commun 10:. https://doi.org/10.1038/s41467-019-11905-3</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27. </w:t>
      </w:r>
      <w:r w:rsidRPr="00741BF4">
        <w:rPr>
          <w:rFonts w:ascii="Times New Roman" w:hAnsi="Times New Roman" w:cs="Times New Roman"/>
          <w:noProof/>
          <w:szCs w:val="24"/>
        </w:rPr>
        <w:tab/>
        <w:t>Li X, Song Y (2021) Structure, function and inhibition of critical protein–protein interactions involving mixed lineage leukemia 1 and its fusion oncoproteins. J. Hematol. Oncol. 14</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28. </w:t>
      </w:r>
      <w:r w:rsidRPr="00741BF4">
        <w:rPr>
          <w:rFonts w:ascii="Times New Roman" w:hAnsi="Times New Roman" w:cs="Times New Roman"/>
          <w:noProof/>
          <w:szCs w:val="24"/>
        </w:rPr>
        <w:tab/>
        <w:t>Kaczynski J, Cook T, Urrutia R (2003) Sp1- and Krüppel-like transcription factors. Genome Biol. 4</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29. </w:t>
      </w:r>
      <w:r w:rsidRPr="00741BF4">
        <w:rPr>
          <w:rFonts w:ascii="Times New Roman" w:hAnsi="Times New Roman" w:cs="Times New Roman"/>
          <w:noProof/>
          <w:szCs w:val="24"/>
        </w:rPr>
        <w:tab/>
        <w:t>Henry S, Kokity L, Pirity MK (2023) Polycomb protein RYBP activates transcription factor Plagl1 during in vitro cardiac differentiation of mouse embryonic stem cells. Open Biol 13:. https://doi.org/10.1098/rsob.220305</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30. </w:t>
      </w:r>
      <w:r w:rsidRPr="00741BF4">
        <w:rPr>
          <w:rFonts w:ascii="Times New Roman" w:hAnsi="Times New Roman" w:cs="Times New Roman"/>
          <w:noProof/>
          <w:szCs w:val="24"/>
        </w:rPr>
        <w:tab/>
        <w:t>Deng Y, Wang H, Liu X, et al (2022) Zbtb14 regulates monocyte and macrophage development through inhibiting pu.1 expression in zebrafish. Elife 11:. https://doi.org/10.7554/eLife.80760</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31. </w:t>
      </w:r>
      <w:r w:rsidRPr="00741BF4">
        <w:rPr>
          <w:rFonts w:ascii="Times New Roman" w:hAnsi="Times New Roman" w:cs="Times New Roman"/>
          <w:noProof/>
          <w:szCs w:val="24"/>
        </w:rPr>
        <w:tab/>
        <w:t>Jiang Q, Zhang J, Li F, et al (2021) POLR2A Promotes the Proliferation of Gastric Cancer Cells by Advancing the Overall Cell Cycle Progression. Front Genet 12:. https://doi.org/10.3389/fgene.2021.688575</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32. </w:t>
      </w:r>
      <w:r w:rsidRPr="00741BF4">
        <w:rPr>
          <w:rFonts w:ascii="Times New Roman" w:hAnsi="Times New Roman" w:cs="Times New Roman"/>
          <w:noProof/>
          <w:szCs w:val="24"/>
        </w:rPr>
        <w:tab/>
        <w:t>Yeo SY, Ha SY, Yu EJ, et al (2014) ZNF282 (Zinc finger protein 282), a novel E2F1 co-activator, promotes esophageal squamous cell carcinoma. Oncotarget 5:. https://doi.org/10.18632/oncotarget.2630</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33. </w:t>
      </w:r>
      <w:r w:rsidRPr="00741BF4">
        <w:rPr>
          <w:rFonts w:ascii="Times New Roman" w:hAnsi="Times New Roman" w:cs="Times New Roman"/>
          <w:noProof/>
          <w:szCs w:val="24"/>
        </w:rPr>
        <w:tab/>
        <w:t>Kleine-Kohlbrecher D, Christensen J, Vandamme J, et al (2010) A Functional Link between the Histone Demethylase PHF8 and the Transcription Factor ZNF711 in X-Linked Mental Retardation. Mol Cell 38:. https://doi.org/10.1016/j.molcel.2010.03.002</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34. </w:t>
      </w:r>
      <w:r w:rsidRPr="00741BF4">
        <w:rPr>
          <w:rFonts w:ascii="Times New Roman" w:hAnsi="Times New Roman" w:cs="Times New Roman"/>
          <w:noProof/>
          <w:szCs w:val="24"/>
        </w:rPr>
        <w:tab/>
        <w:t>Constantinou C, Spella M, Chondrou V, et al (2019) The multi-faceted functioning portrait of LRF/ZBTB7A. Hum. Genomics 13</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szCs w:val="24"/>
        </w:rPr>
      </w:pPr>
      <w:r w:rsidRPr="00741BF4">
        <w:rPr>
          <w:rFonts w:ascii="Times New Roman" w:hAnsi="Times New Roman" w:cs="Times New Roman"/>
          <w:noProof/>
          <w:szCs w:val="24"/>
        </w:rPr>
        <w:t xml:space="preserve">35. </w:t>
      </w:r>
      <w:r w:rsidRPr="00741BF4">
        <w:rPr>
          <w:rFonts w:ascii="Times New Roman" w:hAnsi="Times New Roman" w:cs="Times New Roman"/>
          <w:noProof/>
          <w:szCs w:val="24"/>
        </w:rPr>
        <w:tab/>
        <w:t>Presnell JS, Schnitzler CE, Browne WE (2015) KLF/SP transcription factor family evolution: Expansion, diversification, and innovation in eukaryotes. Genome Biol Evol 7:. https://doi.org/10.1093/gbe/evv141</w:t>
      </w:r>
    </w:p>
    <w:p w:rsidR="00FF045A" w:rsidRPr="00741BF4" w:rsidRDefault="00FF045A" w:rsidP="00FF045A">
      <w:pPr>
        <w:widowControl w:val="0"/>
        <w:autoSpaceDE w:val="0"/>
        <w:autoSpaceDN w:val="0"/>
        <w:adjustRightInd w:val="0"/>
        <w:spacing w:line="240" w:lineRule="auto"/>
        <w:ind w:left="640" w:hanging="640"/>
        <w:rPr>
          <w:rFonts w:ascii="Times New Roman" w:hAnsi="Times New Roman" w:cs="Times New Roman"/>
          <w:noProof/>
        </w:rPr>
      </w:pPr>
      <w:r w:rsidRPr="00741BF4">
        <w:rPr>
          <w:rFonts w:ascii="Times New Roman" w:hAnsi="Times New Roman" w:cs="Times New Roman"/>
          <w:noProof/>
          <w:szCs w:val="24"/>
        </w:rPr>
        <w:t xml:space="preserve">36. </w:t>
      </w:r>
      <w:r w:rsidRPr="00741BF4">
        <w:rPr>
          <w:rFonts w:ascii="Times New Roman" w:hAnsi="Times New Roman" w:cs="Times New Roman"/>
          <w:noProof/>
          <w:szCs w:val="24"/>
        </w:rPr>
        <w:tab/>
        <w:t>Rhie SK, Yao L, Luo Z, et al (2018) ZFX acts as a transcriptional activator in multiple types of human tumors by binding downstream from transcription start sites at the majority of CpG island promoters. Genome Res 28:. https://doi.org/10.1101/gr.228809.117</w:t>
      </w:r>
    </w:p>
    <w:p w:rsidR="00FF045A" w:rsidRDefault="00FF045A" w:rsidP="00FF045A">
      <w:pPr>
        <w:rPr>
          <w:rFonts w:ascii="Times New Roman" w:hAnsi="Times New Roman" w:cs="Times New Roman"/>
        </w:rPr>
      </w:pPr>
      <w:r w:rsidRPr="00741BF4">
        <w:rPr>
          <w:rFonts w:ascii="Times New Roman" w:hAnsi="Times New Roman" w:cs="Times New Roman"/>
        </w:rPr>
        <w:fldChar w:fldCharType="end"/>
      </w:r>
    </w:p>
    <w:p w:rsidR="00FF045A" w:rsidRDefault="00FF045A" w:rsidP="00E13DC3">
      <w:pPr>
        <w:ind w:left="-284" w:right="-330"/>
        <w:jc w:val="both"/>
        <w:rPr>
          <w:rFonts w:ascii="Times New Roman" w:hAnsi="Times New Roman" w:cs="Times New Roman"/>
        </w:rPr>
      </w:pPr>
    </w:p>
    <w:p w:rsidR="00FF045A" w:rsidRDefault="00FF045A" w:rsidP="00E13DC3">
      <w:pPr>
        <w:ind w:left="-284" w:right="-330"/>
        <w:jc w:val="both"/>
        <w:rPr>
          <w:rFonts w:ascii="Times New Roman" w:hAnsi="Times New Roman" w:cs="Times New Roman"/>
        </w:rPr>
      </w:pPr>
    </w:p>
    <w:p w:rsidR="00FF045A" w:rsidRPr="005210D3" w:rsidRDefault="00FF045A" w:rsidP="00E13DC3">
      <w:pPr>
        <w:ind w:left="-284" w:right="-330"/>
        <w:jc w:val="both"/>
        <w:rPr>
          <w:rFonts w:ascii="Times New Roman" w:hAnsi="Times New Roman" w:cs="Times New Roman"/>
        </w:rPr>
      </w:pPr>
    </w:p>
    <w:sectPr w:rsidR="00FF045A" w:rsidRPr="005210D3" w:rsidSect="007C4FF9">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D153E"/>
    <w:multiLevelType w:val="hybridMultilevel"/>
    <w:tmpl w:val="62D875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4FB"/>
    <w:rsid w:val="00010C8D"/>
    <w:rsid w:val="0004521C"/>
    <w:rsid w:val="00054412"/>
    <w:rsid w:val="00065ECD"/>
    <w:rsid w:val="000A3386"/>
    <w:rsid w:val="000B0AA2"/>
    <w:rsid w:val="000B3A82"/>
    <w:rsid w:val="000C6C48"/>
    <w:rsid w:val="00124AF2"/>
    <w:rsid w:val="001C0EAE"/>
    <w:rsid w:val="001E3468"/>
    <w:rsid w:val="00234B00"/>
    <w:rsid w:val="002411CB"/>
    <w:rsid w:val="00245B37"/>
    <w:rsid w:val="00245D8B"/>
    <w:rsid w:val="002463A1"/>
    <w:rsid w:val="00250023"/>
    <w:rsid w:val="002558C9"/>
    <w:rsid w:val="00265879"/>
    <w:rsid w:val="0027178C"/>
    <w:rsid w:val="002735D0"/>
    <w:rsid w:val="0028124A"/>
    <w:rsid w:val="00281903"/>
    <w:rsid w:val="00290554"/>
    <w:rsid w:val="00291CE0"/>
    <w:rsid w:val="002B065C"/>
    <w:rsid w:val="002B5B34"/>
    <w:rsid w:val="0030439D"/>
    <w:rsid w:val="00332C03"/>
    <w:rsid w:val="00356AC6"/>
    <w:rsid w:val="00356DB9"/>
    <w:rsid w:val="00360A98"/>
    <w:rsid w:val="0037483E"/>
    <w:rsid w:val="00386575"/>
    <w:rsid w:val="003C406D"/>
    <w:rsid w:val="003C77A1"/>
    <w:rsid w:val="003F4382"/>
    <w:rsid w:val="003F5DA0"/>
    <w:rsid w:val="003F719F"/>
    <w:rsid w:val="00406C32"/>
    <w:rsid w:val="0041243A"/>
    <w:rsid w:val="00413D90"/>
    <w:rsid w:val="00460612"/>
    <w:rsid w:val="00485DC2"/>
    <w:rsid w:val="004C1886"/>
    <w:rsid w:val="004D3BBC"/>
    <w:rsid w:val="004E75A4"/>
    <w:rsid w:val="00513344"/>
    <w:rsid w:val="005210D3"/>
    <w:rsid w:val="00532206"/>
    <w:rsid w:val="00536AC0"/>
    <w:rsid w:val="005402DA"/>
    <w:rsid w:val="00554940"/>
    <w:rsid w:val="0056463C"/>
    <w:rsid w:val="00570B63"/>
    <w:rsid w:val="005831D7"/>
    <w:rsid w:val="005E17FF"/>
    <w:rsid w:val="005E3DE2"/>
    <w:rsid w:val="006047FA"/>
    <w:rsid w:val="00614689"/>
    <w:rsid w:val="00621A09"/>
    <w:rsid w:val="00643BB4"/>
    <w:rsid w:val="006624FB"/>
    <w:rsid w:val="006801E5"/>
    <w:rsid w:val="0069529B"/>
    <w:rsid w:val="006B23C8"/>
    <w:rsid w:val="006B43CB"/>
    <w:rsid w:val="006B7298"/>
    <w:rsid w:val="006F466D"/>
    <w:rsid w:val="00742790"/>
    <w:rsid w:val="007513AF"/>
    <w:rsid w:val="007858C8"/>
    <w:rsid w:val="00790538"/>
    <w:rsid w:val="00792AC5"/>
    <w:rsid w:val="007B093B"/>
    <w:rsid w:val="007B4035"/>
    <w:rsid w:val="007C4FF9"/>
    <w:rsid w:val="007F741E"/>
    <w:rsid w:val="007F792A"/>
    <w:rsid w:val="00814AD5"/>
    <w:rsid w:val="008367B5"/>
    <w:rsid w:val="00864FF8"/>
    <w:rsid w:val="00883197"/>
    <w:rsid w:val="008A4085"/>
    <w:rsid w:val="008A7059"/>
    <w:rsid w:val="008B2A3D"/>
    <w:rsid w:val="008C3F55"/>
    <w:rsid w:val="008D5AD6"/>
    <w:rsid w:val="008F100D"/>
    <w:rsid w:val="008F7103"/>
    <w:rsid w:val="0090200E"/>
    <w:rsid w:val="009200A6"/>
    <w:rsid w:val="00932A0C"/>
    <w:rsid w:val="00950977"/>
    <w:rsid w:val="009972B3"/>
    <w:rsid w:val="009C67F4"/>
    <w:rsid w:val="009C767D"/>
    <w:rsid w:val="009F79AC"/>
    <w:rsid w:val="00A06B1C"/>
    <w:rsid w:val="00A21312"/>
    <w:rsid w:val="00A6356F"/>
    <w:rsid w:val="00A65F19"/>
    <w:rsid w:val="00A9214C"/>
    <w:rsid w:val="00AA5D16"/>
    <w:rsid w:val="00AB1396"/>
    <w:rsid w:val="00AB2525"/>
    <w:rsid w:val="00AB2E31"/>
    <w:rsid w:val="00AB3CA3"/>
    <w:rsid w:val="00AC5FA2"/>
    <w:rsid w:val="00AE07F8"/>
    <w:rsid w:val="00AE6DC8"/>
    <w:rsid w:val="00B27A7E"/>
    <w:rsid w:val="00B3180F"/>
    <w:rsid w:val="00B3584C"/>
    <w:rsid w:val="00B373BE"/>
    <w:rsid w:val="00B54EFD"/>
    <w:rsid w:val="00C156F3"/>
    <w:rsid w:val="00C15AC3"/>
    <w:rsid w:val="00C5684B"/>
    <w:rsid w:val="00C73920"/>
    <w:rsid w:val="00C77C57"/>
    <w:rsid w:val="00C844A0"/>
    <w:rsid w:val="00CB5E74"/>
    <w:rsid w:val="00D21990"/>
    <w:rsid w:val="00D235AE"/>
    <w:rsid w:val="00D25876"/>
    <w:rsid w:val="00D459AB"/>
    <w:rsid w:val="00D548A0"/>
    <w:rsid w:val="00D559FC"/>
    <w:rsid w:val="00D676D0"/>
    <w:rsid w:val="00D67747"/>
    <w:rsid w:val="00D821B9"/>
    <w:rsid w:val="00D97499"/>
    <w:rsid w:val="00DB76F8"/>
    <w:rsid w:val="00DD7F00"/>
    <w:rsid w:val="00DF40B7"/>
    <w:rsid w:val="00E13DC3"/>
    <w:rsid w:val="00E475BD"/>
    <w:rsid w:val="00E52F9E"/>
    <w:rsid w:val="00E70D66"/>
    <w:rsid w:val="00E86A3C"/>
    <w:rsid w:val="00EA263C"/>
    <w:rsid w:val="00EA4D1F"/>
    <w:rsid w:val="00EC0175"/>
    <w:rsid w:val="00F06A98"/>
    <w:rsid w:val="00F42D6C"/>
    <w:rsid w:val="00F735F1"/>
    <w:rsid w:val="00F7766E"/>
    <w:rsid w:val="00F975BF"/>
    <w:rsid w:val="00FD4298"/>
    <w:rsid w:val="00FF045A"/>
    <w:rsid w:val="00FF0FCD"/>
    <w:rsid w:val="00FF50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576A"/>
  <w15:chartTrackingRefBased/>
  <w15:docId w15:val="{BE437522-A461-4DDD-9122-CFAB35CF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741E"/>
    <w:rPr>
      <w:color w:val="0563C1" w:themeColor="hyperlink"/>
      <w:u w:val="single"/>
    </w:rPr>
  </w:style>
  <w:style w:type="table" w:styleId="TableGrid">
    <w:name w:val="Table Grid"/>
    <w:basedOn w:val="TableNormal"/>
    <w:uiPriority w:val="39"/>
    <w:rsid w:val="00FF0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04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67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2A95883-38F1-45C7-A177-3CC88C70F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5</Pages>
  <Words>16903</Words>
  <Characters>96353</Characters>
  <Application>Microsoft Office Word</Application>
  <DocSecurity>0</DocSecurity>
  <Lines>802</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smile</dc:creator>
  <cp:keywords/>
  <dc:description/>
  <cp:lastModifiedBy>smile</cp:lastModifiedBy>
  <cp:revision>226</cp:revision>
  <cp:lastPrinted>2023-06-15T07:06:00Z</cp:lastPrinted>
  <dcterms:created xsi:type="dcterms:W3CDTF">2023-04-20T10:19:00Z</dcterms:created>
  <dcterms:modified xsi:type="dcterms:W3CDTF">2024-07-24T14:02:00Z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1d394a2f-5c55-3ab3-b34d-edf879f5c229</vt:lpwstr>
  </property>
  <property fmtid="{D5CDD505-2E9C-101B-9397-08002B2CF9AE}" pid="4" name="Mendeley Citation Style_1">
    <vt:lpwstr>http://www.zotero.org/styles/european-archives-of-psychiatry-and-clinical-neuroscience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http://www.zotero.org/styles/european-archives-of-psychiatry-and-clinical-neuroscience</vt:lpwstr>
  </property>
  <property fmtid="{D5CDD505-2E9C-101B-9397-08002B2CF9AE}" pid="16" name="Mendeley Recent Style Name 5_1">
    <vt:lpwstr>European Archives of Psychiatry and Clinical Neuroscience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http://www.zotero.org/styles/molecular-biology-reports</vt:lpwstr>
  </property>
  <property fmtid="{D5CDD505-2E9C-101B-9397-08002B2CF9AE}" pid="20" name="Mendeley Recent Style Name 7_1">
    <vt:lpwstr>Molecular Biology Reports</vt:lpwstr>
  </property>
  <property fmtid="{D5CDD505-2E9C-101B-9397-08002B2CF9AE}" pid="21" name="Mendeley Recent Style Id 8_1">
    <vt:lpwstr>http://www.zotero.org/styles/physiology-and-molecular-biology-of-plants</vt:lpwstr>
  </property>
  <property fmtid="{D5CDD505-2E9C-101B-9397-08002B2CF9AE}" pid="22" name="Mendeley Recent Style Name 8_1">
    <vt:lpwstr>Physiology and Molecular Biology of Plants</vt:lpwstr>
  </property>
  <property fmtid="{D5CDD505-2E9C-101B-9397-08002B2CF9AE}" pid="23" name="Mendeley Recent Style Id 9_1">
    <vt:lpwstr>http://www.zotero.org/styles/protoplasma</vt:lpwstr>
  </property>
  <property fmtid="{D5CDD505-2E9C-101B-9397-08002B2CF9AE}" pid="24" name="Mendeley Recent Style Name 9_1">
    <vt:lpwstr>Protoplasma</vt:lpwstr>
  </property>
</Properties>
</file>