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124B1"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Supplementary Tables</w:t>
      </w:r>
    </w:p>
    <w:p w14:paraId="244A3EF6">
      <w:r>
        <w:rPr>
          <w:rFonts w:ascii="Times New Roman" w:hAnsi="Times New Roman" w:eastAsia="Times New Roman"/>
          <w:b/>
          <w:i w:val="0"/>
          <w:sz w:val="24"/>
        </w:rPr>
        <w:t>Supplementary Table S</w:t>
      </w:r>
      <w:r>
        <w:rPr>
          <w:rFonts w:hint="eastAsia" w:ascii="Times New Roman" w:hAnsi="Times New Roman" w:eastAsia="宋体"/>
          <w:b/>
          <w:i w:val="0"/>
          <w:sz w:val="24"/>
          <w:lang w:val="en-US" w:eastAsia="zh-CN"/>
        </w:rPr>
        <w:t>1</w:t>
      </w:r>
      <w:r>
        <w:rPr>
          <w:rFonts w:ascii="Times New Roman" w:hAnsi="Times New Roman" w:eastAsia="Times New Roman"/>
          <w:b/>
          <w:i w:val="0"/>
          <w:sz w:val="24"/>
        </w:rPr>
        <w:t>. Sequencing and bioinformatic parameters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A15A044">
        <w:tc>
          <w:tcPr>
            <w:tcW w:w="2880" w:type="dxa"/>
          </w:tcPr>
          <w:p w14:paraId="6487265E">
            <w:r>
              <w:t>Workflow component</w:t>
            </w:r>
          </w:p>
        </w:tc>
        <w:tc>
          <w:tcPr>
            <w:tcW w:w="2880" w:type="dxa"/>
          </w:tcPr>
          <w:p w14:paraId="681EB418">
            <w:r>
              <w:t>Parameter</w:t>
            </w:r>
          </w:p>
        </w:tc>
        <w:tc>
          <w:tcPr>
            <w:tcW w:w="2880" w:type="dxa"/>
          </w:tcPr>
          <w:p w14:paraId="626E50FB">
            <w:r>
              <w:t>Description</w:t>
            </w:r>
          </w:p>
        </w:tc>
      </w:tr>
      <w:tr w14:paraId="7F542F09">
        <w:tc>
          <w:tcPr>
            <w:tcW w:w="2880" w:type="dxa"/>
          </w:tcPr>
          <w:p w14:paraId="68DCEBAA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MLPA</w:t>
            </w:r>
          </w:p>
        </w:tc>
        <w:tc>
          <w:tcPr>
            <w:tcW w:w="2880" w:type="dxa"/>
          </w:tcPr>
          <w:p w14:paraId="70A066DC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Assay</w:t>
            </w:r>
          </w:p>
        </w:tc>
        <w:tc>
          <w:tcPr>
            <w:tcW w:w="2880" w:type="dxa"/>
          </w:tcPr>
          <w:p w14:paraId="60D7DE4C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SALSA MLPA P034/P035 DMD/Becker; ABI 3500 XL capillary electrophoresis; Coffalyser.Net analysis</w:t>
            </w:r>
          </w:p>
        </w:tc>
      </w:tr>
      <w:tr w14:paraId="0F1FE5CA">
        <w:tc>
          <w:tcPr>
            <w:tcW w:w="2880" w:type="dxa"/>
          </w:tcPr>
          <w:p w14:paraId="31164950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MLPA</w:t>
            </w:r>
          </w:p>
        </w:tc>
        <w:tc>
          <w:tcPr>
            <w:tcW w:w="2880" w:type="dxa"/>
          </w:tcPr>
          <w:p w14:paraId="7E9D45F5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DNA input</w:t>
            </w:r>
          </w:p>
        </w:tc>
        <w:tc>
          <w:tcPr>
            <w:tcW w:w="2880" w:type="dxa"/>
          </w:tcPr>
          <w:p w14:paraId="10B45773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Approximately</w:t>
            </w:r>
            <w:r>
              <w:rPr>
                <w:rFonts w:hint="eastAsia" w:ascii="Times New Roman" w:hAnsi="Times New Roman" w:eastAsia="宋体"/>
                <w:b w:val="0"/>
                <w:i w:val="0"/>
                <w:sz w:val="18"/>
                <w:lang w:val="en-US" w:eastAsia="zh-CN"/>
              </w:rPr>
              <w:t xml:space="preserve"> 200</w:t>
            </w: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 xml:space="preserve"> ng genomic DNA per reaction, adjusted according to kit requirements and DNA quality</w:t>
            </w:r>
          </w:p>
        </w:tc>
      </w:tr>
      <w:tr w14:paraId="5CED0A9F">
        <w:tc>
          <w:tcPr>
            <w:tcW w:w="2880" w:type="dxa"/>
          </w:tcPr>
          <w:p w14:paraId="7C655AF5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Exome sequencing</w:t>
            </w:r>
          </w:p>
        </w:tc>
        <w:tc>
          <w:tcPr>
            <w:tcW w:w="2880" w:type="dxa"/>
          </w:tcPr>
          <w:p w14:paraId="35546773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Platform</w:t>
            </w:r>
          </w:p>
        </w:tc>
        <w:tc>
          <w:tcPr>
            <w:tcW w:w="2880" w:type="dxa"/>
          </w:tcPr>
          <w:p w14:paraId="3BB70E37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AIExome Human Exome Panel V2 Plus; Illumina NovaSeq 6000; paired-end sequencing</w:t>
            </w:r>
          </w:p>
        </w:tc>
      </w:tr>
      <w:tr w14:paraId="759DF60A">
        <w:tc>
          <w:tcPr>
            <w:tcW w:w="2880" w:type="dxa"/>
          </w:tcPr>
          <w:p w14:paraId="5FD20526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Exome sequencing</w:t>
            </w:r>
          </w:p>
        </w:tc>
        <w:tc>
          <w:tcPr>
            <w:tcW w:w="2880" w:type="dxa"/>
          </w:tcPr>
          <w:p w14:paraId="23C8B2EB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Quality metrics</w:t>
            </w:r>
          </w:p>
        </w:tc>
        <w:tc>
          <w:tcPr>
            <w:tcW w:w="2880" w:type="dxa"/>
          </w:tcPr>
          <w:p w14:paraId="3720C0C6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Mean depth &gt;</w:t>
            </w:r>
            <w:r>
              <w:rPr>
                <w:rFonts w:hint="default" w:ascii="Times New Roman" w:hAnsi="Times New Roman" w:eastAsia="Times New Roman"/>
                <w:b w:val="0"/>
                <w:i w:val="0"/>
                <w:sz w:val="18"/>
                <w:lang w:val="en-US"/>
              </w:rPr>
              <w:t>=</w:t>
            </w: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100x; target coverage &gt;=98%</w:t>
            </w:r>
          </w:p>
        </w:tc>
      </w:tr>
      <w:tr w14:paraId="29D33A21">
        <w:tc>
          <w:tcPr>
            <w:tcW w:w="2880" w:type="dxa"/>
          </w:tcPr>
          <w:p w14:paraId="242AE678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Variant annotation</w:t>
            </w:r>
          </w:p>
        </w:tc>
        <w:tc>
          <w:tcPr>
            <w:tcW w:w="2880" w:type="dxa"/>
          </w:tcPr>
          <w:p w14:paraId="5A987C69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Reference</w:t>
            </w:r>
          </w:p>
        </w:tc>
        <w:tc>
          <w:tcPr>
            <w:tcW w:w="2880" w:type="dxa"/>
          </w:tcPr>
          <w:p w14:paraId="4D7E4EF5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DMD transcript NM_004006.4; GRCh3</w:t>
            </w:r>
            <w:r>
              <w:rPr>
                <w:rFonts w:hint="default" w:ascii="Times New Roman" w:hAnsi="Times New Roman" w:eastAsia="Times New Roman"/>
                <w:b w:val="0"/>
                <w:i w:val="0"/>
                <w:sz w:val="18"/>
                <w:lang w:val="en-US"/>
              </w:rPr>
              <w:t>7</w:t>
            </w: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 xml:space="preserve"> or validated clinical pipeline reference build</w:t>
            </w:r>
          </w:p>
        </w:tc>
      </w:tr>
      <w:tr w14:paraId="4BC479A2">
        <w:tc>
          <w:tcPr>
            <w:tcW w:w="2880" w:type="dxa"/>
          </w:tcPr>
          <w:p w14:paraId="05D2261C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Variant filtering</w:t>
            </w:r>
          </w:p>
        </w:tc>
        <w:tc>
          <w:tcPr>
            <w:tcW w:w="2880" w:type="dxa"/>
          </w:tcPr>
          <w:p w14:paraId="7B49436F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Databases</w:t>
            </w:r>
          </w:p>
        </w:tc>
        <w:tc>
          <w:tcPr>
            <w:tcW w:w="2880" w:type="dxa"/>
          </w:tcPr>
          <w:p w14:paraId="59B74933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dbSNP, 1000 Genomes, gnomAD, HGMD and LOVD where available</w:t>
            </w:r>
          </w:p>
        </w:tc>
      </w:tr>
      <w:tr w14:paraId="0C4765FC">
        <w:tc>
          <w:tcPr>
            <w:tcW w:w="2880" w:type="dxa"/>
          </w:tcPr>
          <w:p w14:paraId="7AB9C9D6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Sanger sequencing</w:t>
            </w:r>
          </w:p>
        </w:tc>
        <w:tc>
          <w:tcPr>
            <w:tcW w:w="2880" w:type="dxa"/>
          </w:tcPr>
          <w:p w14:paraId="515746EF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Platform</w:t>
            </w:r>
          </w:p>
        </w:tc>
        <w:tc>
          <w:tcPr>
            <w:tcW w:w="2880" w:type="dxa"/>
          </w:tcPr>
          <w:p w14:paraId="17EA1AFC"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ABI 3500</w:t>
            </w:r>
            <w:r>
              <w:rPr>
                <w:rFonts w:hint="default" w:ascii="Times New Roman" w:hAnsi="Times New Roman" w:eastAsia="Times New Roman"/>
                <w:b w:val="0"/>
                <w:i w:val="0"/>
                <w:sz w:val="18"/>
                <w:lang w:val="en-US"/>
              </w:rPr>
              <w:t>xl</w:t>
            </w: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 xml:space="preserve"> Genetic Analyzer; ABI Sequencing Analysis software</w:t>
            </w:r>
          </w:p>
        </w:tc>
      </w:tr>
    </w:tbl>
    <w:p w14:paraId="627B18CA"/>
    <w:p w14:paraId="7A20B247">
      <w:pPr>
        <w:spacing w:after="160"/>
      </w:pPr>
      <w:r>
        <w:rPr>
          <w:rFonts w:ascii="Arial" w:hAnsi="Arial"/>
          <w:b/>
          <w:sz w:val="24"/>
        </w:rPr>
        <w:t>Supplementary Table S</w:t>
      </w:r>
      <w:r>
        <w:rPr>
          <w:rFonts w:hint="eastAsia" w:ascii="Arial" w:hAnsi="Arial" w:eastAsia="宋体"/>
          <w:b/>
          <w:sz w:val="24"/>
          <w:lang w:val="en-US" w:eastAsia="zh-CN"/>
        </w:rPr>
        <w:t>2</w:t>
      </w:r>
      <w:r>
        <w:rPr>
          <w:rFonts w:ascii="Arial" w:hAnsi="Arial"/>
          <w:b/>
          <w:sz w:val="24"/>
        </w:rPr>
        <w:t>. PCR and Sanger sequencing methodology</w:t>
      </w:r>
    </w:p>
    <w:p w14:paraId="257A05FB">
      <w:pPr>
        <w:spacing w:before="160" w:after="80"/>
      </w:pPr>
      <w:r>
        <w:rPr>
          <w:rFonts w:ascii="Arial" w:hAnsi="Arial"/>
          <w:b/>
          <w:sz w:val="20"/>
        </w:rPr>
        <w:t>Supplementary Table S</w:t>
      </w:r>
      <w:r>
        <w:rPr>
          <w:rFonts w:hint="eastAsia" w:ascii="Arial" w:hAnsi="Arial" w:eastAsia="宋体"/>
          <w:b/>
          <w:sz w:val="20"/>
          <w:lang w:val="en-US" w:eastAsia="zh-CN"/>
        </w:rPr>
        <w:t>2</w:t>
      </w:r>
      <w:r>
        <w:rPr>
          <w:rFonts w:ascii="Arial" w:hAnsi="Arial"/>
          <w:b/>
          <w:sz w:val="20"/>
        </w:rPr>
        <w:t>A. Primer design and PCR setup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8D3F397">
        <w:trPr>
          <w:tblHeader/>
          <w:jc w:val="center"/>
        </w:trPr>
        <w:tc>
          <w:tcPr>
            <w:tcW w:w="4320" w:type="dxa"/>
            <w:shd w:val="clear" w:color="auto" w:fill="D9EAF7"/>
          </w:tcPr>
          <w:p w14:paraId="7B7D8319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Parameter</w:t>
            </w:r>
          </w:p>
        </w:tc>
        <w:tc>
          <w:tcPr>
            <w:tcW w:w="4320" w:type="dxa"/>
            <w:shd w:val="clear" w:color="auto" w:fill="D9EAF7"/>
          </w:tcPr>
          <w:p w14:paraId="7672941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Description</w:t>
            </w:r>
          </w:p>
        </w:tc>
      </w:tr>
      <w:tr w14:paraId="70F5467D">
        <w:trPr>
          <w:jc w:val="center"/>
        </w:trPr>
        <w:tc>
          <w:tcPr>
            <w:tcW w:w="4320" w:type="dxa"/>
            <w:vAlign w:val="center"/>
          </w:tcPr>
          <w:p w14:paraId="2DD89115">
            <w:pPr>
              <w:spacing w:after="0"/>
            </w:pPr>
            <w:r>
              <w:rPr>
                <w:rFonts w:ascii="Arial" w:hAnsi="Arial"/>
                <w:sz w:val="18"/>
              </w:rPr>
              <w:t>Target-sequence source</w:t>
            </w:r>
          </w:p>
        </w:tc>
        <w:tc>
          <w:tcPr>
            <w:tcW w:w="4320" w:type="dxa"/>
            <w:vAlign w:val="center"/>
          </w:tcPr>
          <w:p w14:paraId="4DF412ED">
            <w:pPr>
              <w:spacing w:after="0"/>
            </w:pPr>
            <w:r>
              <w:rPr>
                <w:rFonts w:ascii="Arial" w:hAnsi="Arial"/>
                <w:sz w:val="18"/>
              </w:rPr>
              <w:t>Ensembl Genome Browser</w:t>
            </w:r>
          </w:p>
        </w:tc>
      </w:tr>
      <w:tr w14:paraId="27CB725F">
        <w:trPr>
          <w:jc w:val="center"/>
        </w:trPr>
        <w:tc>
          <w:tcPr>
            <w:tcW w:w="4320" w:type="dxa"/>
            <w:vAlign w:val="center"/>
          </w:tcPr>
          <w:p w14:paraId="5765D5AE">
            <w:pPr>
              <w:spacing w:after="0"/>
            </w:pPr>
            <w:r>
              <w:rPr>
                <w:rFonts w:ascii="Arial" w:hAnsi="Arial"/>
                <w:sz w:val="18"/>
              </w:rPr>
              <w:t>Primer-design software</w:t>
            </w:r>
          </w:p>
        </w:tc>
        <w:tc>
          <w:tcPr>
            <w:tcW w:w="4320" w:type="dxa"/>
            <w:vAlign w:val="center"/>
          </w:tcPr>
          <w:p w14:paraId="6AA45989">
            <w:pPr>
              <w:spacing w:after="0"/>
            </w:pPr>
            <w:r>
              <w:rPr>
                <w:rFonts w:ascii="Arial" w:hAnsi="Arial"/>
                <w:sz w:val="18"/>
              </w:rPr>
              <w:t>Primer3</w:t>
            </w:r>
          </w:p>
        </w:tc>
      </w:tr>
      <w:tr w14:paraId="2FAA8171">
        <w:trPr>
          <w:jc w:val="center"/>
        </w:trPr>
        <w:tc>
          <w:tcPr>
            <w:tcW w:w="4320" w:type="dxa"/>
            <w:vAlign w:val="center"/>
          </w:tcPr>
          <w:p w14:paraId="27C85722">
            <w:pPr>
              <w:spacing w:after="0"/>
            </w:pPr>
            <w:r>
              <w:rPr>
                <w:rFonts w:ascii="Arial" w:hAnsi="Arial"/>
                <w:sz w:val="18"/>
              </w:rPr>
              <w:t>Primer synthesis</w:t>
            </w:r>
          </w:p>
        </w:tc>
        <w:tc>
          <w:tcPr>
            <w:tcW w:w="4320" w:type="dxa"/>
            <w:vAlign w:val="center"/>
          </w:tcPr>
          <w:p w14:paraId="277C2DF3">
            <w:pPr>
              <w:spacing w:after="0"/>
            </w:pPr>
            <w:r>
              <w:rPr>
                <w:rFonts w:ascii="Arial" w:hAnsi="Arial"/>
                <w:sz w:val="18"/>
              </w:rPr>
              <w:t>Sangon Biotech, Shanghai, China</w:t>
            </w:r>
          </w:p>
        </w:tc>
      </w:tr>
      <w:tr w14:paraId="59BFB217">
        <w:trPr>
          <w:jc w:val="center"/>
        </w:trPr>
        <w:tc>
          <w:tcPr>
            <w:tcW w:w="4320" w:type="dxa"/>
            <w:vAlign w:val="center"/>
          </w:tcPr>
          <w:p w14:paraId="1B3D57DE">
            <w:pPr>
              <w:spacing w:after="0"/>
            </w:pPr>
            <w:r>
              <w:rPr>
                <w:rFonts w:ascii="Arial" w:hAnsi="Arial"/>
                <w:sz w:val="18"/>
              </w:rPr>
              <w:t>Primer information</w:t>
            </w:r>
          </w:p>
        </w:tc>
        <w:tc>
          <w:tcPr>
            <w:tcW w:w="4320" w:type="dxa"/>
            <w:vAlign w:val="center"/>
          </w:tcPr>
          <w:p w14:paraId="08E8DB5E">
            <w:pPr>
              <w:spacing w:after="0"/>
            </w:pPr>
            <w:r>
              <w:rPr>
                <w:rFonts w:ascii="Arial" w:hAnsi="Arial"/>
                <w:sz w:val="18"/>
              </w:rPr>
              <w:t>Variant-specific primer sequences are available from the corresponding author upon reasonable request.</w:t>
            </w:r>
          </w:p>
        </w:tc>
      </w:tr>
    </w:tbl>
    <w:p w14:paraId="7E2FD1BA">
      <w:pPr>
        <w:spacing w:before="160" w:after="80"/>
      </w:pPr>
      <w:r>
        <w:rPr>
          <w:rFonts w:ascii="Arial" w:hAnsi="Arial"/>
          <w:b/>
          <w:sz w:val="20"/>
        </w:rPr>
        <w:t>Supplementary Table S</w:t>
      </w:r>
      <w:r>
        <w:rPr>
          <w:rFonts w:hint="eastAsia" w:ascii="Arial" w:hAnsi="Arial" w:eastAsia="宋体"/>
          <w:b/>
          <w:sz w:val="20"/>
          <w:lang w:val="en-US" w:eastAsia="zh-CN"/>
        </w:rPr>
        <w:t>2</w:t>
      </w:r>
      <w:r>
        <w:rPr>
          <w:rFonts w:ascii="Arial" w:hAnsi="Arial"/>
          <w:b/>
          <w:sz w:val="20"/>
        </w:rPr>
        <w:t>B. PCR reaction mixture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2836625">
        <w:trPr>
          <w:tblHeader/>
          <w:jc w:val="center"/>
        </w:trPr>
        <w:tc>
          <w:tcPr>
            <w:tcW w:w="4320" w:type="dxa"/>
            <w:shd w:val="clear" w:color="auto" w:fill="D9EAF7"/>
          </w:tcPr>
          <w:p w14:paraId="5B7B5264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Component</w:t>
            </w:r>
          </w:p>
        </w:tc>
        <w:tc>
          <w:tcPr>
            <w:tcW w:w="4320" w:type="dxa"/>
            <w:shd w:val="clear" w:color="auto" w:fill="D9EAF7"/>
          </w:tcPr>
          <w:p w14:paraId="6DB32665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Volume per reaction (µL)</w:t>
            </w:r>
          </w:p>
        </w:tc>
      </w:tr>
      <w:tr w14:paraId="54097F67">
        <w:trPr>
          <w:jc w:val="center"/>
        </w:trPr>
        <w:tc>
          <w:tcPr>
            <w:tcW w:w="4320" w:type="dxa"/>
            <w:vAlign w:val="center"/>
          </w:tcPr>
          <w:p w14:paraId="0B5D3455">
            <w:pPr>
              <w:spacing w:after="0"/>
            </w:pPr>
            <w:r>
              <w:rPr>
                <w:rFonts w:ascii="Arial" w:hAnsi="Arial"/>
                <w:sz w:val="18"/>
              </w:rPr>
              <w:t>2× Es Taq Master Mix</w:t>
            </w:r>
          </w:p>
        </w:tc>
        <w:tc>
          <w:tcPr>
            <w:tcW w:w="4320" w:type="dxa"/>
            <w:vAlign w:val="center"/>
          </w:tcPr>
          <w:p w14:paraId="3D3393B7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</w:tr>
      <w:tr w14:paraId="71AD56B5">
        <w:trPr>
          <w:jc w:val="center"/>
        </w:trPr>
        <w:tc>
          <w:tcPr>
            <w:tcW w:w="4320" w:type="dxa"/>
            <w:vAlign w:val="center"/>
          </w:tcPr>
          <w:p w14:paraId="5711711F">
            <w:pPr>
              <w:spacing w:after="0"/>
            </w:pPr>
            <w:r>
              <w:rPr>
                <w:rFonts w:ascii="Arial" w:hAnsi="Arial"/>
                <w:sz w:val="18"/>
              </w:rPr>
              <w:t>Forward primer</w:t>
            </w:r>
          </w:p>
        </w:tc>
        <w:tc>
          <w:tcPr>
            <w:tcW w:w="4320" w:type="dxa"/>
            <w:vAlign w:val="center"/>
          </w:tcPr>
          <w:p w14:paraId="6594DC84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14:paraId="3A5CE70B">
        <w:trPr>
          <w:jc w:val="center"/>
        </w:trPr>
        <w:tc>
          <w:tcPr>
            <w:tcW w:w="4320" w:type="dxa"/>
            <w:vAlign w:val="center"/>
          </w:tcPr>
          <w:p w14:paraId="28476B04">
            <w:pPr>
              <w:spacing w:after="0"/>
            </w:pPr>
            <w:r>
              <w:rPr>
                <w:rFonts w:ascii="Arial" w:hAnsi="Arial"/>
                <w:sz w:val="18"/>
              </w:rPr>
              <w:t>Reverse primer</w:t>
            </w:r>
          </w:p>
        </w:tc>
        <w:tc>
          <w:tcPr>
            <w:tcW w:w="4320" w:type="dxa"/>
            <w:vAlign w:val="center"/>
          </w:tcPr>
          <w:p w14:paraId="332DE61A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14:paraId="77643DC1">
        <w:trPr>
          <w:jc w:val="center"/>
        </w:trPr>
        <w:tc>
          <w:tcPr>
            <w:tcW w:w="4320" w:type="dxa"/>
            <w:vAlign w:val="center"/>
          </w:tcPr>
          <w:p w14:paraId="086A2B68">
            <w:pPr>
              <w:spacing w:after="0"/>
            </w:pPr>
            <w:r>
              <w:rPr>
                <w:rFonts w:ascii="Arial" w:hAnsi="Arial"/>
                <w:sz w:val="18"/>
              </w:rPr>
              <w:t>Genomic DNA template</w:t>
            </w:r>
          </w:p>
        </w:tc>
        <w:tc>
          <w:tcPr>
            <w:tcW w:w="4320" w:type="dxa"/>
            <w:vAlign w:val="center"/>
          </w:tcPr>
          <w:p w14:paraId="30AFBFF0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14:paraId="6B92A173">
        <w:trPr>
          <w:jc w:val="center"/>
        </w:trPr>
        <w:tc>
          <w:tcPr>
            <w:tcW w:w="4320" w:type="dxa"/>
            <w:vAlign w:val="center"/>
          </w:tcPr>
          <w:p w14:paraId="22A63D87">
            <w:pPr>
              <w:spacing w:after="0"/>
            </w:pPr>
            <w:r>
              <w:rPr>
                <w:rFonts w:ascii="Arial" w:hAnsi="Arial"/>
                <w:sz w:val="18"/>
              </w:rPr>
              <w:t>ddH₂O</w:t>
            </w:r>
          </w:p>
        </w:tc>
        <w:tc>
          <w:tcPr>
            <w:tcW w:w="4320" w:type="dxa"/>
            <w:vAlign w:val="center"/>
          </w:tcPr>
          <w:p w14:paraId="7096E93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</w:tr>
      <w:tr w14:paraId="49500682">
        <w:trPr>
          <w:jc w:val="center"/>
        </w:trPr>
        <w:tc>
          <w:tcPr>
            <w:tcW w:w="4320" w:type="dxa"/>
            <w:vAlign w:val="center"/>
          </w:tcPr>
          <w:p w14:paraId="33B7B43F">
            <w:pPr>
              <w:spacing w:after="0"/>
            </w:pPr>
            <w:r>
              <w:rPr>
                <w:rFonts w:ascii="Arial" w:hAnsi="Arial"/>
                <w:sz w:val="18"/>
              </w:rPr>
              <w:t>Total volume</w:t>
            </w:r>
          </w:p>
        </w:tc>
        <w:tc>
          <w:tcPr>
            <w:tcW w:w="4320" w:type="dxa"/>
            <w:vAlign w:val="center"/>
          </w:tcPr>
          <w:p w14:paraId="3F863DA5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30</w:t>
            </w:r>
          </w:p>
        </w:tc>
      </w:tr>
    </w:tbl>
    <w:p w14:paraId="541BFE65">
      <w:pPr>
        <w:spacing w:before="160" w:after="80"/>
      </w:pPr>
      <w:r>
        <w:rPr>
          <w:rFonts w:ascii="Arial" w:hAnsi="Arial"/>
          <w:b/>
          <w:sz w:val="20"/>
        </w:rPr>
        <w:t>Supplementary Table S</w:t>
      </w:r>
      <w:r>
        <w:rPr>
          <w:rFonts w:hint="eastAsia" w:ascii="Arial" w:hAnsi="Arial" w:eastAsia="宋体"/>
          <w:b/>
          <w:sz w:val="20"/>
          <w:lang w:val="en-US" w:eastAsia="zh-CN"/>
        </w:rPr>
        <w:t>2</w:t>
      </w:r>
      <w:r>
        <w:rPr>
          <w:rFonts w:ascii="Arial" w:hAnsi="Arial"/>
          <w:b/>
          <w:sz w:val="20"/>
        </w:rPr>
        <w:t>C. PCR cycling conditions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31DE4A6C">
        <w:trPr>
          <w:tblHeader/>
          <w:jc w:val="center"/>
        </w:trPr>
        <w:tc>
          <w:tcPr>
            <w:tcW w:w="2160" w:type="dxa"/>
            <w:shd w:val="clear" w:color="auto" w:fill="D9EAF7"/>
          </w:tcPr>
          <w:p w14:paraId="3BC198C2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Step</w:t>
            </w:r>
          </w:p>
        </w:tc>
        <w:tc>
          <w:tcPr>
            <w:tcW w:w="2160" w:type="dxa"/>
            <w:shd w:val="clear" w:color="auto" w:fill="D9EAF7"/>
          </w:tcPr>
          <w:p w14:paraId="34866760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Temperature</w:t>
            </w:r>
          </w:p>
        </w:tc>
        <w:tc>
          <w:tcPr>
            <w:tcW w:w="2160" w:type="dxa"/>
            <w:shd w:val="clear" w:color="auto" w:fill="D9EAF7"/>
          </w:tcPr>
          <w:p w14:paraId="670832C2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Time</w:t>
            </w:r>
          </w:p>
        </w:tc>
        <w:tc>
          <w:tcPr>
            <w:tcW w:w="2160" w:type="dxa"/>
            <w:shd w:val="clear" w:color="auto" w:fill="D9EAF7"/>
          </w:tcPr>
          <w:p w14:paraId="09B9AF89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Cycles</w:t>
            </w:r>
          </w:p>
        </w:tc>
      </w:tr>
      <w:tr w14:paraId="58695750">
        <w:trPr>
          <w:jc w:val="center"/>
        </w:trPr>
        <w:tc>
          <w:tcPr>
            <w:tcW w:w="2160" w:type="dxa"/>
            <w:vAlign w:val="center"/>
          </w:tcPr>
          <w:p w14:paraId="4E30B5A0">
            <w:pPr>
              <w:spacing w:after="0"/>
            </w:pPr>
            <w:r>
              <w:rPr>
                <w:rFonts w:ascii="Arial" w:hAnsi="Arial"/>
                <w:sz w:val="18"/>
              </w:rPr>
              <w:t>Initial denaturation</w:t>
            </w:r>
          </w:p>
        </w:tc>
        <w:tc>
          <w:tcPr>
            <w:tcW w:w="2160" w:type="dxa"/>
            <w:vAlign w:val="center"/>
          </w:tcPr>
          <w:p w14:paraId="24A057B3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94°C</w:t>
            </w:r>
          </w:p>
        </w:tc>
        <w:tc>
          <w:tcPr>
            <w:tcW w:w="2160" w:type="dxa"/>
            <w:vAlign w:val="center"/>
          </w:tcPr>
          <w:p w14:paraId="19A87D65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2 min</w:t>
            </w:r>
          </w:p>
        </w:tc>
        <w:tc>
          <w:tcPr>
            <w:tcW w:w="2160" w:type="dxa"/>
            <w:vAlign w:val="center"/>
          </w:tcPr>
          <w:p w14:paraId="280561F8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14:paraId="611AB153">
        <w:trPr>
          <w:jc w:val="center"/>
        </w:trPr>
        <w:tc>
          <w:tcPr>
            <w:tcW w:w="2160" w:type="dxa"/>
            <w:vAlign w:val="center"/>
          </w:tcPr>
          <w:p w14:paraId="33ECF941">
            <w:pPr>
              <w:spacing w:after="0"/>
            </w:pPr>
            <w:r>
              <w:rPr>
                <w:rFonts w:ascii="Arial" w:hAnsi="Arial"/>
                <w:sz w:val="18"/>
              </w:rPr>
              <w:t>Denaturation</w:t>
            </w:r>
          </w:p>
        </w:tc>
        <w:tc>
          <w:tcPr>
            <w:tcW w:w="2160" w:type="dxa"/>
            <w:vAlign w:val="center"/>
          </w:tcPr>
          <w:p w14:paraId="3902FCA8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94°C</w:t>
            </w:r>
          </w:p>
        </w:tc>
        <w:tc>
          <w:tcPr>
            <w:tcW w:w="2160" w:type="dxa"/>
            <w:vAlign w:val="center"/>
          </w:tcPr>
          <w:p w14:paraId="2FD031E7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30 s</w:t>
            </w:r>
          </w:p>
        </w:tc>
        <w:tc>
          <w:tcPr>
            <w:tcW w:w="2160" w:type="dxa"/>
            <w:vAlign w:val="center"/>
          </w:tcPr>
          <w:p w14:paraId="29F1FD58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35</w:t>
            </w:r>
          </w:p>
        </w:tc>
      </w:tr>
      <w:tr w14:paraId="34F8554A">
        <w:trPr>
          <w:jc w:val="center"/>
        </w:trPr>
        <w:tc>
          <w:tcPr>
            <w:tcW w:w="2160" w:type="dxa"/>
            <w:vAlign w:val="center"/>
          </w:tcPr>
          <w:p w14:paraId="5AD42D60">
            <w:pPr>
              <w:spacing w:after="0"/>
            </w:pPr>
            <w:r>
              <w:rPr>
                <w:rFonts w:ascii="Arial" w:hAnsi="Arial"/>
                <w:sz w:val="18"/>
              </w:rPr>
              <w:t>Annealing</w:t>
            </w:r>
          </w:p>
        </w:tc>
        <w:tc>
          <w:tcPr>
            <w:tcW w:w="2160" w:type="dxa"/>
            <w:vAlign w:val="center"/>
          </w:tcPr>
          <w:p w14:paraId="4F14F016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60°C</w:t>
            </w:r>
          </w:p>
        </w:tc>
        <w:tc>
          <w:tcPr>
            <w:tcW w:w="2160" w:type="dxa"/>
            <w:vAlign w:val="center"/>
          </w:tcPr>
          <w:p w14:paraId="15C3A068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30 s</w:t>
            </w:r>
          </w:p>
        </w:tc>
        <w:tc>
          <w:tcPr>
            <w:tcW w:w="2160" w:type="dxa"/>
            <w:vAlign w:val="center"/>
          </w:tcPr>
          <w:p w14:paraId="7819877B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35</w:t>
            </w:r>
          </w:p>
        </w:tc>
      </w:tr>
      <w:tr w14:paraId="5054529B">
        <w:trPr>
          <w:jc w:val="center"/>
        </w:trPr>
        <w:tc>
          <w:tcPr>
            <w:tcW w:w="2160" w:type="dxa"/>
            <w:vAlign w:val="center"/>
          </w:tcPr>
          <w:p w14:paraId="209F6F94">
            <w:pPr>
              <w:spacing w:after="0"/>
            </w:pPr>
            <w:r>
              <w:rPr>
                <w:rFonts w:ascii="Arial" w:hAnsi="Arial"/>
                <w:sz w:val="18"/>
              </w:rPr>
              <w:t>Extension</w:t>
            </w:r>
          </w:p>
        </w:tc>
        <w:tc>
          <w:tcPr>
            <w:tcW w:w="2160" w:type="dxa"/>
            <w:vAlign w:val="center"/>
          </w:tcPr>
          <w:p w14:paraId="25F42FA3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72°C</w:t>
            </w:r>
          </w:p>
        </w:tc>
        <w:tc>
          <w:tcPr>
            <w:tcW w:w="2160" w:type="dxa"/>
            <w:vAlign w:val="center"/>
          </w:tcPr>
          <w:p w14:paraId="6E3B8B9F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30 s</w:t>
            </w:r>
          </w:p>
        </w:tc>
        <w:tc>
          <w:tcPr>
            <w:tcW w:w="2160" w:type="dxa"/>
            <w:vAlign w:val="center"/>
          </w:tcPr>
          <w:p w14:paraId="47729674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35</w:t>
            </w:r>
          </w:p>
        </w:tc>
      </w:tr>
      <w:tr w14:paraId="3CEA321A">
        <w:trPr>
          <w:jc w:val="center"/>
        </w:trPr>
        <w:tc>
          <w:tcPr>
            <w:tcW w:w="2160" w:type="dxa"/>
            <w:vAlign w:val="center"/>
          </w:tcPr>
          <w:p w14:paraId="2926CAD6">
            <w:pPr>
              <w:spacing w:after="0"/>
            </w:pPr>
            <w:r>
              <w:rPr>
                <w:rFonts w:ascii="Arial" w:hAnsi="Arial"/>
                <w:sz w:val="18"/>
              </w:rPr>
              <w:t>Final extension</w:t>
            </w:r>
          </w:p>
        </w:tc>
        <w:tc>
          <w:tcPr>
            <w:tcW w:w="2160" w:type="dxa"/>
            <w:vAlign w:val="center"/>
          </w:tcPr>
          <w:p w14:paraId="78E77F8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72°C</w:t>
            </w:r>
          </w:p>
        </w:tc>
        <w:tc>
          <w:tcPr>
            <w:tcW w:w="2160" w:type="dxa"/>
            <w:vAlign w:val="center"/>
          </w:tcPr>
          <w:p w14:paraId="14210D00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2 min</w:t>
            </w:r>
          </w:p>
        </w:tc>
        <w:tc>
          <w:tcPr>
            <w:tcW w:w="2160" w:type="dxa"/>
            <w:vAlign w:val="center"/>
          </w:tcPr>
          <w:p w14:paraId="20580445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14:paraId="07109EC4">
        <w:trPr>
          <w:jc w:val="center"/>
        </w:trPr>
        <w:tc>
          <w:tcPr>
            <w:tcW w:w="2160" w:type="dxa"/>
            <w:vAlign w:val="center"/>
          </w:tcPr>
          <w:p w14:paraId="3A3E4A3D">
            <w:pPr>
              <w:spacing w:after="0"/>
            </w:pPr>
            <w:r>
              <w:rPr>
                <w:rFonts w:ascii="Arial" w:hAnsi="Arial"/>
                <w:sz w:val="18"/>
              </w:rPr>
              <w:t>Hold</w:t>
            </w:r>
          </w:p>
        </w:tc>
        <w:tc>
          <w:tcPr>
            <w:tcW w:w="2160" w:type="dxa"/>
            <w:vAlign w:val="center"/>
          </w:tcPr>
          <w:p w14:paraId="2E7BBAE6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15°C</w:t>
            </w:r>
          </w:p>
        </w:tc>
        <w:tc>
          <w:tcPr>
            <w:tcW w:w="2160" w:type="dxa"/>
            <w:vAlign w:val="center"/>
          </w:tcPr>
          <w:p w14:paraId="05DFBC0E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—</w:t>
            </w:r>
          </w:p>
        </w:tc>
        <w:tc>
          <w:tcPr>
            <w:tcW w:w="2160" w:type="dxa"/>
            <w:vAlign w:val="center"/>
          </w:tcPr>
          <w:p w14:paraId="1C56F8F7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>—</w:t>
            </w:r>
          </w:p>
        </w:tc>
      </w:tr>
    </w:tbl>
    <w:p w14:paraId="14B55405">
      <w:pPr>
        <w:spacing w:before="160" w:after="80"/>
      </w:pPr>
      <w:r>
        <w:rPr>
          <w:rFonts w:ascii="Arial" w:hAnsi="Arial"/>
          <w:b/>
          <w:sz w:val="20"/>
        </w:rPr>
        <w:t>Supplementary Table S</w:t>
      </w:r>
      <w:r>
        <w:rPr>
          <w:rFonts w:hint="eastAsia" w:ascii="Arial" w:hAnsi="Arial" w:eastAsia="宋体"/>
          <w:b/>
          <w:sz w:val="20"/>
          <w:lang w:val="en-US" w:eastAsia="zh-CN"/>
        </w:rPr>
        <w:t>2</w:t>
      </w:r>
      <w:r>
        <w:rPr>
          <w:rFonts w:ascii="Arial" w:hAnsi="Arial"/>
          <w:b/>
          <w:sz w:val="20"/>
        </w:rPr>
        <w:t>D. Amplicon assessment and Sanger sequencing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68066DB">
        <w:trPr>
          <w:tblHeader/>
          <w:jc w:val="center"/>
        </w:trPr>
        <w:tc>
          <w:tcPr>
            <w:tcW w:w="4320" w:type="dxa"/>
            <w:shd w:val="clear" w:color="auto" w:fill="D9EAF7"/>
          </w:tcPr>
          <w:p w14:paraId="4C2A50E1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Parameter</w:t>
            </w:r>
          </w:p>
        </w:tc>
        <w:tc>
          <w:tcPr>
            <w:tcW w:w="4320" w:type="dxa"/>
            <w:shd w:val="clear" w:color="auto" w:fill="D9EAF7"/>
          </w:tcPr>
          <w:p w14:paraId="3BC58FA5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Description</w:t>
            </w:r>
          </w:p>
        </w:tc>
      </w:tr>
      <w:tr w14:paraId="58A4C50C">
        <w:trPr>
          <w:jc w:val="center"/>
        </w:trPr>
        <w:tc>
          <w:tcPr>
            <w:tcW w:w="4320" w:type="dxa"/>
            <w:vAlign w:val="center"/>
          </w:tcPr>
          <w:p w14:paraId="3FAB436D">
            <w:pPr>
              <w:spacing w:after="0"/>
            </w:pPr>
            <w:r>
              <w:rPr>
                <w:rFonts w:ascii="Arial" w:hAnsi="Arial"/>
                <w:sz w:val="18"/>
              </w:rPr>
              <w:t>Agarose-gel electrophoresis</w:t>
            </w:r>
          </w:p>
        </w:tc>
        <w:tc>
          <w:tcPr>
            <w:tcW w:w="4320" w:type="dxa"/>
            <w:vAlign w:val="center"/>
          </w:tcPr>
          <w:p w14:paraId="43012343">
            <w:pPr>
              <w:spacing w:after="0"/>
            </w:pPr>
            <w:r>
              <w:rPr>
                <w:rFonts w:ascii="Arial" w:hAnsi="Arial"/>
                <w:sz w:val="18"/>
              </w:rPr>
              <w:t>1% agarose gel; 5 µL PCR product with 1 µL loading buffer; 120 V for 30 min</w:t>
            </w:r>
          </w:p>
        </w:tc>
      </w:tr>
      <w:tr w14:paraId="787326B1">
        <w:trPr>
          <w:jc w:val="center"/>
        </w:trPr>
        <w:tc>
          <w:tcPr>
            <w:tcW w:w="4320" w:type="dxa"/>
            <w:vAlign w:val="center"/>
          </w:tcPr>
          <w:p w14:paraId="03119036">
            <w:pPr>
              <w:spacing w:after="0"/>
            </w:pPr>
            <w:r>
              <w:rPr>
                <w:rFonts w:ascii="Arial" w:hAnsi="Arial"/>
                <w:sz w:val="18"/>
              </w:rPr>
              <w:t>Gel-imaging system</w:t>
            </w:r>
          </w:p>
        </w:tc>
        <w:tc>
          <w:tcPr>
            <w:tcW w:w="4320" w:type="dxa"/>
            <w:vAlign w:val="center"/>
          </w:tcPr>
          <w:p w14:paraId="1D7AAF2B">
            <w:pPr>
              <w:spacing w:after="0"/>
            </w:pPr>
            <w:r>
              <w:rPr>
                <w:rFonts w:ascii="Arial" w:hAnsi="Arial"/>
                <w:sz w:val="18"/>
              </w:rPr>
              <w:t>BioSpectrum 310</w:t>
            </w:r>
          </w:p>
        </w:tc>
      </w:tr>
      <w:tr w14:paraId="1D99CE48">
        <w:trPr>
          <w:jc w:val="center"/>
        </w:trPr>
        <w:tc>
          <w:tcPr>
            <w:tcW w:w="4320" w:type="dxa"/>
            <w:vAlign w:val="center"/>
          </w:tcPr>
          <w:p w14:paraId="7BBEA80E">
            <w:pPr>
              <w:spacing w:after="0"/>
            </w:pPr>
            <w:r>
              <w:rPr>
                <w:rFonts w:ascii="Arial" w:hAnsi="Arial"/>
                <w:sz w:val="18"/>
              </w:rPr>
              <w:t>Sequencing chemistry</w:t>
            </w:r>
          </w:p>
        </w:tc>
        <w:tc>
          <w:tcPr>
            <w:tcW w:w="4320" w:type="dxa"/>
            <w:vAlign w:val="center"/>
          </w:tcPr>
          <w:p w14:paraId="21224EE8">
            <w:pPr>
              <w:spacing w:after="0"/>
            </w:pPr>
            <w:r>
              <w:rPr>
                <w:rFonts w:ascii="Arial" w:hAnsi="Arial"/>
                <w:sz w:val="18"/>
              </w:rPr>
              <w:t>BigDye Terminator v3.1 Cycle Sequencing Kit</w:t>
            </w:r>
          </w:p>
        </w:tc>
      </w:tr>
      <w:tr w14:paraId="33DBFC37">
        <w:trPr>
          <w:jc w:val="center"/>
        </w:trPr>
        <w:tc>
          <w:tcPr>
            <w:tcW w:w="4320" w:type="dxa"/>
            <w:vAlign w:val="center"/>
          </w:tcPr>
          <w:p w14:paraId="40D65427">
            <w:pPr>
              <w:spacing w:after="0"/>
            </w:pPr>
            <w:r>
              <w:rPr>
                <w:rFonts w:ascii="Arial" w:hAnsi="Arial"/>
                <w:sz w:val="18"/>
              </w:rPr>
              <w:t>Sequencing direction</w:t>
            </w:r>
          </w:p>
        </w:tc>
        <w:tc>
          <w:tcPr>
            <w:tcW w:w="4320" w:type="dxa"/>
            <w:vAlign w:val="center"/>
          </w:tcPr>
          <w:p w14:paraId="0BB59D39">
            <w:pPr>
              <w:spacing w:after="0"/>
            </w:pPr>
            <w:r>
              <w:rPr>
                <w:rFonts w:ascii="Arial" w:hAnsi="Arial"/>
                <w:sz w:val="18"/>
              </w:rPr>
              <w:t>Bidirectional</w:t>
            </w:r>
          </w:p>
        </w:tc>
      </w:tr>
      <w:tr w14:paraId="15BE881A">
        <w:trPr>
          <w:jc w:val="center"/>
        </w:trPr>
        <w:tc>
          <w:tcPr>
            <w:tcW w:w="4320" w:type="dxa"/>
            <w:vAlign w:val="center"/>
          </w:tcPr>
          <w:p w14:paraId="08AE5DC8">
            <w:pPr>
              <w:spacing w:after="0"/>
            </w:pPr>
            <w:r>
              <w:rPr>
                <w:rFonts w:ascii="Arial" w:hAnsi="Arial"/>
                <w:sz w:val="18"/>
              </w:rPr>
              <w:t>Genetic analyzer</w:t>
            </w:r>
          </w:p>
        </w:tc>
        <w:tc>
          <w:tcPr>
            <w:tcW w:w="4320" w:type="dxa"/>
            <w:vAlign w:val="center"/>
          </w:tcPr>
          <w:p w14:paraId="19739422">
            <w:pPr>
              <w:spacing w:after="0"/>
            </w:pPr>
            <w:r>
              <w:rPr>
                <w:rFonts w:ascii="Arial" w:hAnsi="Arial"/>
                <w:sz w:val="18"/>
              </w:rPr>
              <w:t>ABI 3500</w:t>
            </w:r>
            <w:r>
              <w:rPr>
                <w:rFonts w:hint="default" w:ascii="Arial" w:hAnsi="Arial" w:eastAsia="宋体"/>
                <w:sz w:val="18"/>
                <w:lang w:val="en-US" w:eastAsia="zh-CN"/>
              </w:rPr>
              <w:t>xl</w:t>
            </w:r>
            <w:bookmarkStart w:id="0" w:name="_GoBack"/>
            <w:bookmarkEnd w:id="0"/>
            <w:r>
              <w:rPr>
                <w:rFonts w:ascii="Arial" w:hAnsi="Arial"/>
                <w:sz w:val="18"/>
              </w:rPr>
              <w:t xml:space="preserve"> Genetic Analyzer</w:t>
            </w:r>
          </w:p>
        </w:tc>
      </w:tr>
      <w:tr w14:paraId="082728BA">
        <w:trPr>
          <w:jc w:val="center"/>
        </w:trPr>
        <w:tc>
          <w:tcPr>
            <w:tcW w:w="4320" w:type="dxa"/>
            <w:vAlign w:val="center"/>
          </w:tcPr>
          <w:p w14:paraId="4B0A3B34">
            <w:pPr>
              <w:spacing w:after="0"/>
            </w:pPr>
            <w:r>
              <w:rPr>
                <w:rFonts w:ascii="Arial" w:hAnsi="Arial"/>
                <w:sz w:val="18"/>
              </w:rPr>
              <w:t>Chromatogram-analysis software</w:t>
            </w:r>
          </w:p>
        </w:tc>
        <w:tc>
          <w:tcPr>
            <w:tcW w:w="4320" w:type="dxa"/>
            <w:vAlign w:val="center"/>
          </w:tcPr>
          <w:p w14:paraId="217B23BB">
            <w:pPr>
              <w:spacing w:after="0"/>
            </w:pPr>
            <w:r>
              <w:rPr>
                <w:rFonts w:ascii="Arial" w:hAnsi="Arial"/>
                <w:sz w:val="18"/>
              </w:rPr>
              <w:t>Sequencing Analysis software version 5.1</w:t>
            </w:r>
          </w:p>
        </w:tc>
      </w:tr>
      <w:tr w14:paraId="1543AD75">
        <w:trPr>
          <w:jc w:val="center"/>
        </w:trPr>
        <w:tc>
          <w:tcPr>
            <w:tcW w:w="4320" w:type="dxa"/>
            <w:vAlign w:val="center"/>
          </w:tcPr>
          <w:p w14:paraId="66FA8741">
            <w:pPr>
              <w:spacing w:after="0"/>
            </w:pPr>
            <w:r>
              <w:rPr>
                <w:rFonts w:ascii="Arial" w:hAnsi="Arial"/>
                <w:sz w:val="18"/>
              </w:rPr>
              <w:t>Reference transcript and nomenclature</w:t>
            </w:r>
          </w:p>
        </w:tc>
        <w:tc>
          <w:tcPr>
            <w:tcW w:w="4320" w:type="dxa"/>
            <w:vAlign w:val="center"/>
          </w:tcPr>
          <w:p w14:paraId="09F7A21F">
            <w:pPr>
              <w:spacing w:after="0"/>
            </w:pPr>
            <w:r>
              <w:rPr>
                <w:rFonts w:ascii="Arial" w:hAnsi="Arial"/>
                <w:sz w:val="18"/>
              </w:rPr>
              <w:t>DMD NM_004006.4; HGVS recommendations</w:t>
            </w:r>
          </w:p>
        </w:tc>
      </w:tr>
    </w:tbl>
    <w:p w14:paraId="1CC001D1">
      <w:pPr>
        <w:spacing w:after="120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FFA73B"/>
    <w:rsid w:val="3D5F3C7C"/>
    <w:rsid w:val="57FFA6A0"/>
    <w:rsid w:val="65FF75BE"/>
    <w:rsid w:val="6F6F120A"/>
    <w:rsid w:val="77DE87AD"/>
    <w:rsid w:val="7DEE1E16"/>
    <w:rsid w:val="7FDECA92"/>
    <w:rsid w:val="7FF56228"/>
    <w:rsid w:val="AF7791B3"/>
    <w:rsid w:val="F956890A"/>
    <w:rsid w:val="FFF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周润颖</cp:lastModifiedBy>
  <dcterms:modified xsi:type="dcterms:W3CDTF">2026-08-26T23:45:48Z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1B310DC92C7B16BB3E048F6A63966E89_43</vt:lpwstr>
  </property>
</Properties>
</file>