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74901" w14:textId="77777777" w:rsidR="000C7780" w:rsidRDefault="00000000">
      <w:pPr>
        <w:jc w:val="center"/>
      </w:pPr>
      <w:r>
        <w:rPr>
          <w:rFonts w:ascii="Times New Roman" w:hAnsi="Times New Roman"/>
          <w:b/>
          <w:color w:val="1F3A68"/>
          <w:sz w:val="32"/>
        </w:rPr>
        <w:t>SUPPLEMENTARY MATERIAL</w:t>
      </w:r>
    </w:p>
    <w:p w14:paraId="7858A69E" w14:textId="77777777" w:rsidR="000C7780" w:rsidRDefault="00000000">
      <w:pPr>
        <w:jc w:val="center"/>
      </w:pPr>
      <w:r>
        <w:rPr>
          <w:rFonts w:ascii="Times New Roman" w:hAnsi="Times New Roman"/>
          <w:i/>
        </w:rPr>
        <w:t>Association of IL-17A rs2275913 Polymorphism and Serum IL-17A Levels with Recurrent Spontaneous Abortion in Iraqi Women: A Case–Control Study</w:t>
      </w:r>
    </w:p>
    <w:p w14:paraId="7BFCF3E1" w14:textId="77777777" w:rsidR="000C7780" w:rsidRDefault="000C7780"/>
    <w:p w14:paraId="322501F0" w14:textId="77777777" w:rsidR="000C7780" w:rsidRDefault="00000000">
      <w:pPr>
        <w:spacing w:after="120" w:line="360" w:lineRule="auto"/>
      </w:pPr>
      <w:r>
        <w:rPr>
          <w:rFonts w:ascii="Times New Roman" w:hAnsi="Times New Roman"/>
        </w:rPr>
        <w:t>This document provides supplementary details on laboratory methods, assay quality control, internal validation of genotyping results by Sanger sequencing, the full ELISA standard curve, and a forest plot summarising prior studies that examined IL-17A rs2275913 in recurrent spontaneous abortion (RSA).</w:t>
      </w:r>
    </w:p>
    <w:p w14:paraId="50C83020" w14:textId="77777777" w:rsidR="000C7780" w:rsidRDefault="00000000">
      <w:pPr>
        <w:spacing w:before="240" w:after="120"/>
      </w:pPr>
      <w:r>
        <w:rPr>
          <w:rFonts w:ascii="Times New Roman" w:hAnsi="Times New Roman"/>
          <w:b/>
          <w:color w:val="1F3A68"/>
          <w:sz w:val="24"/>
        </w:rPr>
        <w:t>Table S1. Tetra-primer ARMS-PCR primers and thermal cycling conditions for IL-17A rs2275913 (G&gt;A) genotyping</w:t>
      </w:r>
    </w:p>
    <w:tbl>
      <w:tblPr>
        <w:tblStyle w:val="LightGrid-Accent1"/>
        <w:tblW w:w="0" w:type="auto"/>
        <w:jc w:val="center"/>
        <w:tblLook w:val="04A0" w:firstRow="1" w:lastRow="0" w:firstColumn="1" w:lastColumn="0" w:noHBand="0" w:noVBand="1"/>
      </w:tblPr>
      <w:tblGrid>
        <w:gridCol w:w="1394"/>
        <w:gridCol w:w="4294"/>
        <w:gridCol w:w="1317"/>
        <w:gridCol w:w="1181"/>
        <w:gridCol w:w="1436"/>
      </w:tblGrid>
      <w:tr w:rsidR="000C7780" w14:paraId="28B01B20" w14:textId="77777777" w:rsidTr="000C77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1" w:type="dxa"/>
            <w:shd w:val="clear" w:color="auto" w:fill="1F3A68"/>
            <w:vAlign w:val="center"/>
          </w:tcPr>
          <w:p w14:paraId="2AEB1098" w14:textId="77777777" w:rsidR="000C7780" w:rsidRDefault="00000000">
            <w:pPr>
              <w:jc w:val="center"/>
            </w:pPr>
            <w:r>
              <w:rPr>
                <w:rFonts w:ascii="Times New Roman" w:hAnsi="Times New Roman"/>
                <w:color w:val="FFFFFF"/>
                <w:sz w:val="20"/>
              </w:rPr>
              <w:t>Primer</w:t>
            </w:r>
          </w:p>
        </w:tc>
        <w:tc>
          <w:tcPr>
            <w:tcW w:w="1881" w:type="dxa"/>
            <w:shd w:val="clear" w:color="auto" w:fill="1F3A68"/>
            <w:vAlign w:val="center"/>
          </w:tcPr>
          <w:p w14:paraId="16E87050" w14:textId="77777777" w:rsidR="000C7780" w:rsidRDefault="00000000">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olor w:val="FFFFFF"/>
                <w:sz w:val="20"/>
              </w:rPr>
              <w:t>Sequence (5′ → 3′)</w:t>
            </w:r>
          </w:p>
        </w:tc>
        <w:tc>
          <w:tcPr>
            <w:tcW w:w="1881" w:type="dxa"/>
            <w:shd w:val="clear" w:color="auto" w:fill="1F3A68"/>
            <w:vAlign w:val="center"/>
          </w:tcPr>
          <w:p w14:paraId="6E295F69" w14:textId="77777777" w:rsidR="000C7780" w:rsidRDefault="00000000">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olor w:val="FFFFFF"/>
                <w:sz w:val="20"/>
              </w:rPr>
              <w:t>Length (nt)</w:t>
            </w:r>
          </w:p>
        </w:tc>
        <w:tc>
          <w:tcPr>
            <w:tcW w:w="1881" w:type="dxa"/>
            <w:shd w:val="clear" w:color="auto" w:fill="1F3A68"/>
            <w:vAlign w:val="center"/>
          </w:tcPr>
          <w:p w14:paraId="443E41BF" w14:textId="77777777" w:rsidR="000C7780" w:rsidRDefault="00000000">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olor w:val="FFFFFF"/>
                <w:sz w:val="20"/>
              </w:rPr>
              <w:t>Tm (°C)</w:t>
            </w:r>
          </w:p>
        </w:tc>
        <w:tc>
          <w:tcPr>
            <w:tcW w:w="1881" w:type="dxa"/>
            <w:shd w:val="clear" w:color="auto" w:fill="1F3A68"/>
            <w:vAlign w:val="center"/>
          </w:tcPr>
          <w:p w14:paraId="236D06F1" w14:textId="77777777" w:rsidR="000C7780" w:rsidRDefault="00000000">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olor w:val="FFFFFF"/>
                <w:sz w:val="20"/>
              </w:rPr>
              <w:t>Amplicon</w:t>
            </w:r>
          </w:p>
        </w:tc>
      </w:tr>
      <w:tr w:rsidR="000C7780" w14:paraId="0246D999" w14:textId="77777777" w:rsidTr="000C77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1" w:type="dxa"/>
            <w:vAlign w:val="center"/>
          </w:tcPr>
          <w:p w14:paraId="070D70B9" w14:textId="77777777" w:rsidR="000C7780" w:rsidRDefault="00000000">
            <w:r>
              <w:rPr>
                <w:rFonts w:ascii="Times New Roman" w:hAnsi="Times New Roman"/>
                <w:sz w:val="20"/>
              </w:rPr>
              <w:t>Forward outer (FO)</w:t>
            </w:r>
          </w:p>
        </w:tc>
        <w:tc>
          <w:tcPr>
            <w:tcW w:w="1881" w:type="dxa"/>
            <w:vAlign w:val="center"/>
          </w:tcPr>
          <w:p w14:paraId="29AA115F"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CAGAAGACCTACATGTTACTGCA</w:t>
            </w:r>
          </w:p>
        </w:tc>
        <w:tc>
          <w:tcPr>
            <w:tcW w:w="1881" w:type="dxa"/>
            <w:vAlign w:val="center"/>
          </w:tcPr>
          <w:p w14:paraId="7C692AC5"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23</w:t>
            </w:r>
          </w:p>
        </w:tc>
        <w:tc>
          <w:tcPr>
            <w:tcW w:w="1881" w:type="dxa"/>
            <w:vAlign w:val="center"/>
          </w:tcPr>
          <w:p w14:paraId="699ACFC9"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58.9</w:t>
            </w:r>
          </w:p>
        </w:tc>
        <w:tc>
          <w:tcPr>
            <w:tcW w:w="1881" w:type="dxa"/>
            <w:vAlign w:val="center"/>
          </w:tcPr>
          <w:p w14:paraId="7322348C"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464 bp (internal control, with RO)</w:t>
            </w:r>
          </w:p>
        </w:tc>
      </w:tr>
      <w:tr w:rsidR="000C7780" w14:paraId="0CFE09CD" w14:textId="77777777" w:rsidTr="000C778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1" w:type="dxa"/>
            <w:vAlign w:val="center"/>
          </w:tcPr>
          <w:p w14:paraId="73166412" w14:textId="77777777" w:rsidR="000C7780" w:rsidRDefault="00000000">
            <w:r>
              <w:rPr>
                <w:rFonts w:ascii="Times New Roman" w:hAnsi="Times New Roman"/>
                <w:sz w:val="20"/>
              </w:rPr>
              <w:t>Reverse outer (RO)</w:t>
            </w:r>
          </w:p>
        </w:tc>
        <w:tc>
          <w:tcPr>
            <w:tcW w:w="1881" w:type="dxa"/>
            <w:vAlign w:val="center"/>
          </w:tcPr>
          <w:p w14:paraId="3D0A0E2A"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CCCCCAATGAGGTCATAGAAGAATC</w:t>
            </w:r>
          </w:p>
        </w:tc>
        <w:tc>
          <w:tcPr>
            <w:tcW w:w="1881" w:type="dxa"/>
            <w:vAlign w:val="center"/>
          </w:tcPr>
          <w:p w14:paraId="45CE22F8"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25</w:t>
            </w:r>
          </w:p>
        </w:tc>
        <w:tc>
          <w:tcPr>
            <w:tcW w:w="1881" w:type="dxa"/>
            <w:vAlign w:val="center"/>
          </w:tcPr>
          <w:p w14:paraId="10206966"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61.3</w:t>
            </w:r>
          </w:p>
        </w:tc>
        <w:tc>
          <w:tcPr>
            <w:tcW w:w="1881" w:type="dxa"/>
            <w:vAlign w:val="center"/>
          </w:tcPr>
          <w:p w14:paraId="467837B6"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464 bp (internal control, with FO)</w:t>
            </w:r>
          </w:p>
        </w:tc>
      </w:tr>
      <w:tr w:rsidR="000C7780" w14:paraId="0A43D6CE" w14:textId="77777777" w:rsidTr="000C77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1" w:type="dxa"/>
            <w:vAlign w:val="center"/>
          </w:tcPr>
          <w:p w14:paraId="08CAB84C" w14:textId="77777777" w:rsidR="000C7780" w:rsidRDefault="00000000">
            <w:r>
              <w:rPr>
                <w:rFonts w:ascii="Times New Roman" w:hAnsi="Times New Roman"/>
                <w:sz w:val="20"/>
              </w:rPr>
              <w:t>Forward inner (G-allele specific)</w:t>
            </w:r>
          </w:p>
        </w:tc>
        <w:tc>
          <w:tcPr>
            <w:tcW w:w="1881" w:type="dxa"/>
            <w:vAlign w:val="center"/>
          </w:tcPr>
          <w:p w14:paraId="640CDF46"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AACAAGTAAGAATGAAAAGAGGACATGGT</w:t>
            </w:r>
          </w:p>
        </w:tc>
        <w:tc>
          <w:tcPr>
            <w:tcW w:w="1881" w:type="dxa"/>
            <w:vAlign w:val="center"/>
          </w:tcPr>
          <w:p w14:paraId="5CDE6BF3"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29</w:t>
            </w:r>
          </w:p>
        </w:tc>
        <w:tc>
          <w:tcPr>
            <w:tcW w:w="1881" w:type="dxa"/>
            <w:vAlign w:val="center"/>
          </w:tcPr>
          <w:p w14:paraId="5BE03C37"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62.1</w:t>
            </w:r>
          </w:p>
        </w:tc>
        <w:tc>
          <w:tcPr>
            <w:tcW w:w="1881" w:type="dxa"/>
            <w:vAlign w:val="center"/>
          </w:tcPr>
          <w:p w14:paraId="4472FC3F"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297 bp (with RO)</w:t>
            </w:r>
          </w:p>
        </w:tc>
      </w:tr>
      <w:tr w:rsidR="000C7780" w14:paraId="0CA0E0A4" w14:textId="77777777" w:rsidTr="000C778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1" w:type="dxa"/>
            <w:vAlign w:val="center"/>
          </w:tcPr>
          <w:p w14:paraId="67944F1C" w14:textId="77777777" w:rsidR="000C7780" w:rsidRDefault="00000000">
            <w:r>
              <w:rPr>
                <w:rFonts w:ascii="Times New Roman" w:hAnsi="Times New Roman"/>
                <w:sz w:val="20"/>
              </w:rPr>
              <w:t>Reverse inner (A-allele specific)</w:t>
            </w:r>
          </w:p>
        </w:tc>
        <w:tc>
          <w:tcPr>
            <w:tcW w:w="1881" w:type="dxa"/>
            <w:vAlign w:val="center"/>
          </w:tcPr>
          <w:p w14:paraId="3FABE0CE"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GTTTGTGTTGTTATTTTTGAATCTCT</w:t>
            </w:r>
          </w:p>
        </w:tc>
        <w:tc>
          <w:tcPr>
            <w:tcW w:w="1881" w:type="dxa"/>
            <w:vAlign w:val="center"/>
          </w:tcPr>
          <w:p w14:paraId="3FDC0D70"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26</w:t>
            </w:r>
          </w:p>
        </w:tc>
        <w:tc>
          <w:tcPr>
            <w:tcW w:w="1881" w:type="dxa"/>
            <w:vAlign w:val="center"/>
          </w:tcPr>
          <w:p w14:paraId="77FC49EA"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57.8</w:t>
            </w:r>
          </w:p>
        </w:tc>
        <w:tc>
          <w:tcPr>
            <w:tcW w:w="1881" w:type="dxa"/>
            <w:vAlign w:val="center"/>
          </w:tcPr>
          <w:p w14:paraId="24AC9A1C"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209 bp (with FO)</w:t>
            </w:r>
          </w:p>
        </w:tc>
      </w:tr>
    </w:tbl>
    <w:p w14:paraId="12D6BD76" w14:textId="77777777" w:rsidR="000C7780" w:rsidRDefault="00000000">
      <w:pPr>
        <w:spacing w:before="80"/>
      </w:pPr>
      <w:r>
        <w:rPr>
          <w:rFonts w:ascii="Times New Roman" w:hAnsi="Times New Roman"/>
          <w:i/>
          <w:sz w:val="20"/>
        </w:rPr>
        <w:t>Primers are consistent with published T-ARMS-PCR designs for IL-17A rs2275913 (Kawaguchi et al. 2006; Saifi et al. 2018). Tm values were recalculated using the nearest-neighbour method (OligoAnalyzer v3.1, IDT) at 50 mM Na⁺, 1.5 mM Mg²⁺.</w:t>
      </w:r>
    </w:p>
    <w:p w14:paraId="532F0F17" w14:textId="77777777" w:rsidR="000C7780" w:rsidRDefault="00000000">
      <w:pPr>
        <w:spacing w:before="240" w:after="120"/>
      </w:pPr>
      <w:r>
        <w:rPr>
          <w:rFonts w:ascii="Times New Roman" w:hAnsi="Times New Roman"/>
          <w:b/>
          <w:color w:val="1F3A68"/>
          <w:sz w:val="24"/>
        </w:rPr>
        <w:t>PCR cycling protocol</w:t>
      </w:r>
    </w:p>
    <w:tbl>
      <w:tblPr>
        <w:tblStyle w:val="LightGrid-Accent1"/>
        <w:tblW w:w="0" w:type="auto"/>
        <w:jc w:val="center"/>
        <w:tblLook w:val="04A0" w:firstRow="1" w:lastRow="0" w:firstColumn="1" w:lastColumn="0" w:noHBand="0" w:noVBand="1"/>
      </w:tblPr>
      <w:tblGrid>
        <w:gridCol w:w="2351"/>
        <w:gridCol w:w="2351"/>
        <w:gridCol w:w="2351"/>
        <w:gridCol w:w="2351"/>
      </w:tblGrid>
      <w:tr w:rsidR="000C7780" w14:paraId="1E0726CC" w14:textId="77777777" w:rsidTr="000C77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shd w:val="clear" w:color="auto" w:fill="1F3A68"/>
            <w:vAlign w:val="center"/>
          </w:tcPr>
          <w:p w14:paraId="4F62BA2C" w14:textId="77777777" w:rsidR="000C7780" w:rsidRDefault="00000000">
            <w:pPr>
              <w:jc w:val="center"/>
            </w:pPr>
            <w:r>
              <w:rPr>
                <w:rFonts w:ascii="Times New Roman" w:hAnsi="Times New Roman"/>
                <w:color w:val="FFFFFF"/>
                <w:sz w:val="20"/>
              </w:rPr>
              <w:t>Step</w:t>
            </w:r>
          </w:p>
        </w:tc>
        <w:tc>
          <w:tcPr>
            <w:tcW w:w="2351" w:type="dxa"/>
            <w:shd w:val="clear" w:color="auto" w:fill="1F3A68"/>
            <w:vAlign w:val="center"/>
          </w:tcPr>
          <w:p w14:paraId="198D1B81" w14:textId="77777777" w:rsidR="000C7780" w:rsidRDefault="00000000">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olor w:val="FFFFFF"/>
                <w:sz w:val="20"/>
              </w:rPr>
              <w:t>Temperature</w:t>
            </w:r>
          </w:p>
        </w:tc>
        <w:tc>
          <w:tcPr>
            <w:tcW w:w="2351" w:type="dxa"/>
            <w:shd w:val="clear" w:color="auto" w:fill="1F3A68"/>
            <w:vAlign w:val="center"/>
          </w:tcPr>
          <w:p w14:paraId="5564DE75" w14:textId="77777777" w:rsidR="000C7780" w:rsidRDefault="00000000">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olor w:val="FFFFFF"/>
                <w:sz w:val="20"/>
              </w:rPr>
              <w:t>Duration</w:t>
            </w:r>
          </w:p>
        </w:tc>
        <w:tc>
          <w:tcPr>
            <w:tcW w:w="2351" w:type="dxa"/>
            <w:shd w:val="clear" w:color="auto" w:fill="1F3A68"/>
            <w:vAlign w:val="center"/>
          </w:tcPr>
          <w:p w14:paraId="19B709FE" w14:textId="77777777" w:rsidR="000C7780" w:rsidRDefault="00000000">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olor w:val="FFFFFF"/>
                <w:sz w:val="20"/>
              </w:rPr>
              <w:t>Cycles</w:t>
            </w:r>
          </w:p>
        </w:tc>
      </w:tr>
      <w:tr w:rsidR="000C7780" w14:paraId="6EFADC3C" w14:textId="77777777" w:rsidTr="000C77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13682B91" w14:textId="77777777" w:rsidR="000C7780" w:rsidRDefault="00000000">
            <w:r>
              <w:rPr>
                <w:rFonts w:ascii="Times New Roman" w:hAnsi="Times New Roman"/>
                <w:sz w:val="20"/>
              </w:rPr>
              <w:t>Initial denaturation</w:t>
            </w:r>
          </w:p>
        </w:tc>
        <w:tc>
          <w:tcPr>
            <w:tcW w:w="2351" w:type="dxa"/>
            <w:vAlign w:val="center"/>
          </w:tcPr>
          <w:p w14:paraId="1E5C09C8"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95 °C</w:t>
            </w:r>
          </w:p>
        </w:tc>
        <w:tc>
          <w:tcPr>
            <w:tcW w:w="2351" w:type="dxa"/>
            <w:vAlign w:val="center"/>
          </w:tcPr>
          <w:p w14:paraId="4BF008A9"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5 min</w:t>
            </w:r>
          </w:p>
        </w:tc>
        <w:tc>
          <w:tcPr>
            <w:tcW w:w="2351" w:type="dxa"/>
            <w:vAlign w:val="center"/>
          </w:tcPr>
          <w:p w14:paraId="52890E6A"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1</w:t>
            </w:r>
          </w:p>
        </w:tc>
      </w:tr>
      <w:tr w:rsidR="000C7780" w14:paraId="3ADB2D75" w14:textId="77777777" w:rsidTr="000C778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28DFE0EF" w14:textId="77777777" w:rsidR="000C7780" w:rsidRDefault="00000000">
            <w:r>
              <w:rPr>
                <w:rFonts w:ascii="Times New Roman" w:hAnsi="Times New Roman"/>
                <w:sz w:val="20"/>
              </w:rPr>
              <w:t>Denaturation</w:t>
            </w:r>
          </w:p>
        </w:tc>
        <w:tc>
          <w:tcPr>
            <w:tcW w:w="2351" w:type="dxa"/>
            <w:vAlign w:val="center"/>
          </w:tcPr>
          <w:p w14:paraId="2FC50379"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95 °C</w:t>
            </w:r>
          </w:p>
        </w:tc>
        <w:tc>
          <w:tcPr>
            <w:tcW w:w="2351" w:type="dxa"/>
            <w:vAlign w:val="center"/>
          </w:tcPr>
          <w:p w14:paraId="3422F9D9"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30 s</w:t>
            </w:r>
          </w:p>
        </w:tc>
        <w:tc>
          <w:tcPr>
            <w:tcW w:w="2351" w:type="dxa"/>
            <w:vAlign w:val="center"/>
          </w:tcPr>
          <w:p w14:paraId="3CD7B8D9"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35</w:t>
            </w:r>
          </w:p>
        </w:tc>
      </w:tr>
      <w:tr w:rsidR="000C7780" w14:paraId="6239BCBF" w14:textId="77777777" w:rsidTr="000C77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056BA611" w14:textId="77777777" w:rsidR="000C7780" w:rsidRDefault="00000000">
            <w:r>
              <w:rPr>
                <w:rFonts w:ascii="Times New Roman" w:hAnsi="Times New Roman"/>
                <w:sz w:val="20"/>
              </w:rPr>
              <w:t>Annealing</w:t>
            </w:r>
          </w:p>
        </w:tc>
        <w:tc>
          <w:tcPr>
            <w:tcW w:w="2351" w:type="dxa"/>
            <w:vAlign w:val="center"/>
          </w:tcPr>
          <w:p w14:paraId="0DCE955F"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62 °C</w:t>
            </w:r>
          </w:p>
        </w:tc>
        <w:tc>
          <w:tcPr>
            <w:tcW w:w="2351" w:type="dxa"/>
            <w:vAlign w:val="center"/>
          </w:tcPr>
          <w:p w14:paraId="49452405"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30 s</w:t>
            </w:r>
          </w:p>
        </w:tc>
        <w:tc>
          <w:tcPr>
            <w:tcW w:w="2351" w:type="dxa"/>
            <w:vAlign w:val="center"/>
          </w:tcPr>
          <w:p w14:paraId="7C83AABB"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35</w:t>
            </w:r>
          </w:p>
        </w:tc>
      </w:tr>
      <w:tr w:rsidR="000C7780" w14:paraId="30870F00" w14:textId="77777777" w:rsidTr="000C778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5C0ACC1E" w14:textId="77777777" w:rsidR="000C7780" w:rsidRDefault="00000000">
            <w:r>
              <w:rPr>
                <w:rFonts w:ascii="Times New Roman" w:hAnsi="Times New Roman"/>
                <w:sz w:val="20"/>
              </w:rPr>
              <w:t>Extension</w:t>
            </w:r>
          </w:p>
        </w:tc>
        <w:tc>
          <w:tcPr>
            <w:tcW w:w="2351" w:type="dxa"/>
            <w:vAlign w:val="center"/>
          </w:tcPr>
          <w:p w14:paraId="254587D9"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72 °C</w:t>
            </w:r>
          </w:p>
        </w:tc>
        <w:tc>
          <w:tcPr>
            <w:tcW w:w="2351" w:type="dxa"/>
            <w:vAlign w:val="center"/>
          </w:tcPr>
          <w:p w14:paraId="7779475A"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45 s</w:t>
            </w:r>
          </w:p>
        </w:tc>
        <w:tc>
          <w:tcPr>
            <w:tcW w:w="2351" w:type="dxa"/>
            <w:vAlign w:val="center"/>
          </w:tcPr>
          <w:p w14:paraId="02B33864"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35</w:t>
            </w:r>
          </w:p>
        </w:tc>
      </w:tr>
      <w:tr w:rsidR="000C7780" w14:paraId="2AFABBFC" w14:textId="77777777" w:rsidTr="000C77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48572F18" w14:textId="77777777" w:rsidR="000C7780" w:rsidRDefault="00000000">
            <w:r>
              <w:rPr>
                <w:rFonts w:ascii="Times New Roman" w:hAnsi="Times New Roman"/>
                <w:sz w:val="20"/>
              </w:rPr>
              <w:t>Final extension</w:t>
            </w:r>
          </w:p>
        </w:tc>
        <w:tc>
          <w:tcPr>
            <w:tcW w:w="2351" w:type="dxa"/>
            <w:vAlign w:val="center"/>
          </w:tcPr>
          <w:p w14:paraId="53B6901F"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72 °C</w:t>
            </w:r>
          </w:p>
        </w:tc>
        <w:tc>
          <w:tcPr>
            <w:tcW w:w="2351" w:type="dxa"/>
            <w:vAlign w:val="center"/>
          </w:tcPr>
          <w:p w14:paraId="1DC3DE63"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7 min</w:t>
            </w:r>
          </w:p>
        </w:tc>
        <w:tc>
          <w:tcPr>
            <w:tcW w:w="2351" w:type="dxa"/>
            <w:vAlign w:val="center"/>
          </w:tcPr>
          <w:p w14:paraId="7E374FBB"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1</w:t>
            </w:r>
          </w:p>
        </w:tc>
      </w:tr>
      <w:tr w:rsidR="000C7780" w14:paraId="4607D438" w14:textId="77777777" w:rsidTr="000C778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700A808B" w14:textId="77777777" w:rsidR="000C7780" w:rsidRDefault="00000000">
            <w:r>
              <w:rPr>
                <w:rFonts w:ascii="Times New Roman" w:hAnsi="Times New Roman"/>
                <w:sz w:val="20"/>
              </w:rPr>
              <w:t>Hold</w:t>
            </w:r>
          </w:p>
        </w:tc>
        <w:tc>
          <w:tcPr>
            <w:tcW w:w="2351" w:type="dxa"/>
            <w:vAlign w:val="center"/>
          </w:tcPr>
          <w:p w14:paraId="5DF25812"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4 °C</w:t>
            </w:r>
          </w:p>
        </w:tc>
        <w:tc>
          <w:tcPr>
            <w:tcW w:w="2351" w:type="dxa"/>
            <w:vAlign w:val="center"/>
          </w:tcPr>
          <w:p w14:paraId="352982E1"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w:t>
            </w:r>
          </w:p>
        </w:tc>
        <w:tc>
          <w:tcPr>
            <w:tcW w:w="2351" w:type="dxa"/>
            <w:vAlign w:val="center"/>
          </w:tcPr>
          <w:p w14:paraId="148ED180"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w:t>
            </w:r>
          </w:p>
        </w:tc>
      </w:tr>
    </w:tbl>
    <w:p w14:paraId="35655571" w14:textId="77777777" w:rsidR="000C7780" w:rsidRDefault="00000000">
      <w:pPr>
        <w:spacing w:before="80"/>
      </w:pPr>
      <w:r>
        <w:rPr>
          <w:rFonts w:ascii="Times New Roman" w:hAnsi="Times New Roman"/>
          <w:i/>
          <w:sz w:val="20"/>
        </w:rPr>
        <w:t>Reactions were performed on an Applied Biosystems Veriti thermal cycler (Thermo Fisher Scientific, Foster City, CA, USA) in a 25 µL volume containing 50 ng genomic DNA, 0.4 µM each outer primer, 0.8 µM each inner primer, 1× GoTaq® Green Master Mix (Promega, Madison, WI, USA), and nuclease-free water.</w:t>
      </w:r>
    </w:p>
    <w:p w14:paraId="0B8B9583" w14:textId="77777777" w:rsidR="000C7780" w:rsidRDefault="00000000">
      <w:pPr>
        <w:spacing w:before="240" w:after="120"/>
      </w:pPr>
      <w:r>
        <w:rPr>
          <w:rFonts w:ascii="Times New Roman" w:hAnsi="Times New Roman"/>
          <w:b/>
          <w:color w:val="1F3A68"/>
          <w:sz w:val="24"/>
        </w:rPr>
        <w:t>Table S2. ELISA assay quality-control metrics (Elabscience E-EL-H0105)</w:t>
      </w:r>
    </w:p>
    <w:tbl>
      <w:tblPr>
        <w:tblStyle w:val="LightGrid-Accent1"/>
        <w:tblW w:w="0" w:type="auto"/>
        <w:jc w:val="center"/>
        <w:tblLook w:val="04A0" w:firstRow="1" w:lastRow="0" w:firstColumn="1" w:lastColumn="0" w:noHBand="0" w:noVBand="1"/>
      </w:tblPr>
      <w:tblGrid>
        <w:gridCol w:w="2351"/>
        <w:gridCol w:w="2351"/>
        <w:gridCol w:w="2351"/>
        <w:gridCol w:w="2351"/>
      </w:tblGrid>
      <w:tr w:rsidR="000C7780" w14:paraId="0EBC9689" w14:textId="77777777" w:rsidTr="000C77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shd w:val="clear" w:color="auto" w:fill="1F3A68"/>
            <w:vAlign w:val="center"/>
          </w:tcPr>
          <w:p w14:paraId="04F384AE" w14:textId="77777777" w:rsidR="000C7780" w:rsidRDefault="00000000">
            <w:pPr>
              <w:jc w:val="center"/>
            </w:pPr>
            <w:r>
              <w:rPr>
                <w:rFonts w:ascii="Times New Roman" w:hAnsi="Times New Roman"/>
                <w:color w:val="FFFFFF"/>
                <w:sz w:val="20"/>
              </w:rPr>
              <w:lastRenderedPageBreak/>
              <w:t>Parameter</w:t>
            </w:r>
          </w:p>
        </w:tc>
        <w:tc>
          <w:tcPr>
            <w:tcW w:w="2351" w:type="dxa"/>
            <w:shd w:val="clear" w:color="auto" w:fill="1F3A68"/>
            <w:vAlign w:val="center"/>
          </w:tcPr>
          <w:p w14:paraId="0D35C2A2" w14:textId="77777777" w:rsidR="000C7780" w:rsidRDefault="00000000">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olor w:val="FFFFFF"/>
                <w:sz w:val="20"/>
              </w:rPr>
              <w:t>Value</w:t>
            </w:r>
          </w:p>
        </w:tc>
        <w:tc>
          <w:tcPr>
            <w:tcW w:w="2351" w:type="dxa"/>
            <w:shd w:val="clear" w:color="auto" w:fill="1F3A68"/>
            <w:vAlign w:val="center"/>
          </w:tcPr>
          <w:p w14:paraId="627875E6" w14:textId="77777777" w:rsidR="000C7780" w:rsidRDefault="00000000">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olor w:val="FFFFFF"/>
                <w:sz w:val="20"/>
              </w:rPr>
              <w:t>Acceptance criterion</w:t>
            </w:r>
          </w:p>
        </w:tc>
        <w:tc>
          <w:tcPr>
            <w:tcW w:w="2351" w:type="dxa"/>
            <w:shd w:val="clear" w:color="auto" w:fill="1F3A68"/>
            <w:vAlign w:val="center"/>
          </w:tcPr>
          <w:p w14:paraId="424FE979" w14:textId="77777777" w:rsidR="000C7780" w:rsidRDefault="00000000">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olor w:val="FFFFFF"/>
                <w:sz w:val="20"/>
              </w:rPr>
              <w:t>Pass/Fail</w:t>
            </w:r>
          </w:p>
        </w:tc>
      </w:tr>
      <w:tr w:rsidR="000C7780" w14:paraId="6000D3AE" w14:textId="77777777" w:rsidTr="000C77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73E7B57F" w14:textId="77777777" w:rsidR="000C7780" w:rsidRDefault="00000000">
            <w:r>
              <w:rPr>
                <w:rFonts w:ascii="Times New Roman" w:hAnsi="Times New Roman"/>
                <w:sz w:val="20"/>
              </w:rPr>
              <w:t>Standard curve r²</w:t>
            </w:r>
          </w:p>
        </w:tc>
        <w:tc>
          <w:tcPr>
            <w:tcW w:w="2351" w:type="dxa"/>
            <w:vAlign w:val="center"/>
          </w:tcPr>
          <w:p w14:paraId="1B2ABE07"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0.998</w:t>
            </w:r>
          </w:p>
        </w:tc>
        <w:tc>
          <w:tcPr>
            <w:tcW w:w="2351" w:type="dxa"/>
            <w:vAlign w:val="center"/>
          </w:tcPr>
          <w:p w14:paraId="51C8D3CE"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 0.98</w:t>
            </w:r>
          </w:p>
        </w:tc>
        <w:tc>
          <w:tcPr>
            <w:tcW w:w="2351" w:type="dxa"/>
            <w:vAlign w:val="center"/>
          </w:tcPr>
          <w:p w14:paraId="207267B2"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Pass</w:t>
            </w:r>
          </w:p>
        </w:tc>
      </w:tr>
      <w:tr w:rsidR="000C7780" w14:paraId="474840BE" w14:textId="77777777" w:rsidTr="000C778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1AC5A702" w14:textId="77777777" w:rsidR="000C7780" w:rsidRDefault="00000000">
            <w:r>
              <w:rPr>
                <w:rFonts w:ascii="Times New Roman" w:hAnsi="Times New Roman"/>
                <w:sz w:val="20"/>
              </w:rPr>
              <w:t>Lower limit of detection (LLOD)</w:t>
            </w:r>
          </w:p>
        </w:tc>
        <w:tc>
          <w:tcPr>
            <w:tcW w:w="2351" w:type="dxa"/>
            <w:vAlign w:val="center"/>
          </w:tcPr>
          <w:p w14:paraId="2BA4C7AD"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4.69 pg/mL</w:t>
            </w:r>
          </w:p>
        </w:tc>
        <w:tc>
          <w:tcPr>
            <w:tcW w:w="2351" w:type="dxa"/>
            <w:vAlign w:val="center"/>
          </w:tcPr>
          <w:p w14:paraId="6B8D0A6B"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 10 pg/mL</w:t>
            </w:r>
          </w:p>
        </w:tc>
        <w:tc>
          <w:tcPr>
            <w:tcW w:w="2351" w:type="dxa"/>
            <w:vAlign w:val="center"/>
          </w:tcPr>
          <w:p w14:paraId="1CD58B28"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Pass</w:t>
            </w:r>
          </w:p>
        </w:tc>
      </w:tr>
      <w:tr w:rsidR="000C7780" w14:paraId="146DAE36" w14:textId="77777777" w:rsidTr="000C77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39E8903E" w14:textId="77777777" w:rsidR="000C7780" w:rsidRDefault="00000000">
            <w:r>
              <w:rPr>
                <w:rFonts w:ascii="Times New Roman" w:hAnsi="Times New Roman"/>
                <w:sz w:val="20"/>
              </w:rPr>
              <w:t>Working range</w:t>
            </w:r>
          </w:p>
        </w:tc>
        <w:tc>
          <w:tcPr>
            <w:tcW w:w="2351" w:type="dxa"/>
            <w:vAlign w:val="center"/>
          </w:tcPr>
          <w:p w14:paraId="29F25E7C"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7.81–500 pg/mL</w:t>
            </w:r>
          </w:p>
        </w:tc>
        <w:tc>
          <w:tcPr>
            <w:tcW w:w="2351" w:type="dxa"/>
            <w:vAlign w:val="center"/>
          </w:tcPr>
          <w:p w14:paraId="521F8B38"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Manufacturer range</w:t>
            </w:r>
          </w:p>
        </w:tc>
        <w:tc>
          <w:tcPr>
            <w:tcW w:w="2351" w:type="dxa"/>
            <w:vAlign w:val="center"/>
          </w:tcPr>
          <w:p w14:paraId="1F2CCAD2"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Pass</w:t>
            </w:r>
          </w:p>
        </w:tc>
      </w:tr>
      <w:tr w:rsidR="000C7780" w14:paraId="4F134DF2" w14:textId="77777777" w:rsidTr="000C778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4EC111E0" w14:textId="77777777" w:rsidR="000C7780" w:rsidRDefault="00000000">
            <w:r>
              <w:rPr>
                <w:rFonts w:ascii="Times New Roman" w:hAnsi="Times New Roman"/>
                <w:sz w:val="20"/>
              </w:rPr>
              <w:t>Intra-assay CV (mean of 3 control wells)</w:t>
            </w:r>
          </w:p>
        </w:tc>
        <w:tc>
          <w:tcPr>
            <w:tcW w:w="2351" w:type="dxa"/>
            <w:vAlign w:val="center"/>
          </w:tcPr>
          <w:p w14:paraId="5FD7AA6C"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4.8 %</w:t>
            </w:r>
          </w:p>
        </w:tc>
        <w:tc>
          <w:tcPr>
            <w:tcW w:w="2351" w:type="dxa"/>
            <w:vAlign w:val="center"/>
          </w:tcPr>
          <w:p w14:paraId="6FB1C839"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&lt; 10 %</w:t>
            </w:r>
          </w:p>
        </w:tc>
        <w:tc>
          <w:tcPr>
            <w:tcW w:w="2351" w:type="dxa"/>
            <w:vAlign w:val="center"/>
          </w:tcPr>
          <w:p w14:paraId="125B2E7E"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Pass</w:t>
            </w:r>
          </w:p>
        </w:tc>
      </w:tr>
      <w:tr w:rsidR="000C7780" w14:paraId="515D07F6" w14:textId="77777777" w:rsidTr="000C77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32A22344" w14:textId="77777777" w:rsidR="000C7780" w:rsidRDefault="00000000">
            <w:r>
              <w:rPr>
                <w:rFonts w:ascii="Times New Roman" w:hAnsi="Times New Roman"/>
                <w:sz w:val="20"/>
              </w:rPr>
              <w:t>Inter-assay CV (2 plates)</w:t>
            </w:r>
          </w:p>
        </w:tc>
        <w:tc>
          <w:tcPr>
            <w:tcW w:w="2351" w:type="dxa"/>
            <w:vAlign w:val="center"/>
          </w:tcPr>
          <w:p w14:paraId="112FC631"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7.2 %</w:t>
            </w:r>
          </w:p>
        </w:tc>
        <w:tc>
          <w:tcPr>
            <w:tcW w:w="2351" w:type="dxa"/>
            <w:vAlign w:val="center"/>
          </w:tcPr>
          <w:p w14:paraId="70D2FB26"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&lt; 15 %</w:t>
            </w:r>
          </w:p>
        </w:tc>
        <w:tc>
          <w:tcPr>
            <w:tcW w:w="2351" w:type="dxa"/>
            <w:vAlign w:val="center"/>
          </w:tcPr>
          <w:p w14:paraId="68F9C73B"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Pass</w:t>
            </w:r>
          </w:p>
        </w:tc>
      </w:tr>
      <w:tr w:rsidR="000C7780" w14:paraId="43E0191B" w14:textId="77777777" w:rsidTr="000C778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790746EC" w14:textId="77777777" w:rsidR="000C7780" w:rsidRDefault="00000000">
            <w:r>
              <w:rPr>
                <w:rFonts w:ascii="Times New Roman" w:hAnsi="Times New Roman"/>
                <w:sz w:val="20"/>
              </w:rPr>
              <w:t>Spike-and-recovery (100 pg/mL into pooled serum)</w:t>
            </w:r>
          </w:p>
        </w:tc>
        <w:tc>
          <w:tcPr>
            <w:tcW w:w="2351" w:type="dxa"/>
            <w:vAlign w:val="center"/>
          </w:tcPr>
          <w:p w14:paraId="2738D4C8"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96.3 %</w:t>
            </w:r>
          </w:p>
        </w:tc>
        <w:tc>
          <w:tcPr>
            <w:tcW w:w="2351" w:type="dxa"/>
            <w:vAlign w:val="center"/>
          </w:tcPr>
          <w:p w14:paraId="4A47B8AC"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80–120 %</w:t>
            </w:r>
          </w:p>
        </w:tc>
        <w:tc>
          <w:tcPr>
            <w:tcW w:w="2351" w:type="dxa"/>
            <w:vAlign w:val="center"/>
          </w:tcPr>
          <w:p w14:paraId="3C848B48"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Pass</w:t>
            </w:r>
          </w:p>
        </w:tc>
      </w:tr>
      <w:tr w:rsidR="000C7780" w14:paraId="01271F6F" w14:textId="77777777" w:rsidTr="000C77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072FF362" w14:textId="77777777" w:rsidR="000C7780" w:rsidRDefault="00000000">
            <w:r>
              <w:rPr>
                <w:rFonts w:ascii="Times New Roman" w:hAnsi="Times New Roman"/>
                <w:sz w:val="20"/>
              </w:rPr>
              <w:t>Linearity of dilution (1:2, 1:4)</w:t>
            </w:r>
          </w:p>
        </w:tc>
        <w:tc>
          <w:tcPr>
            <w:tcW w:w="2351" w:type="dxa"/>
            <w:vAlign w:val="center"/>
          </w:tcPr>
          <w:p w14:paraId="5598B085"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R² = 0.994</w:t>
            </w:r>
          </w:p>
        </w:tc>
        <w:tc>
          <w:tcPr>
            <w:tcW w:w="2351" w:type="dxa"/>
            <w:vAlign w:val="center"/>
          </w:tcPr>
          <w:p w14:paraId="5DB8C7D0"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 0.95</w:t>
            </w:r>
          </w:p>
        </w:tc>
        <w:tc>
          <w:tcPr>
            <w:tcW w:w="2351" w:type="dxa"/>
            <w:vAlign w:val="center"/>
          </w:tcPr>
          <w:p w14:paraId="14D66D2D"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Pass</w:t>
            </w:r>
          </w:p>
        </w:tc>
      </w:tr>
    </w:tbl>
    <w:p w14:paraId="54ED8EC2" w14:textId="77777777" w:rsidR="000C7780" w:rsidRDefault="00000000">
      <w:pPr>
        <w:spacing w:before="80"/>
      </w:pPr>
      <w:r>
        <w:rPr>
          <w:rFonts w:ascii="Times New Roman" w:hAnsi="Times New Roman"/>
          <w:i/>
          <w:sz w:val="20"/>
        </w:rPr>
        <w:t>CV, coefficient of variation. All samples were assayed in duplicate on the same lot of kit (lot E-EL-H0105-2024-05) to minimise between-lot variability.</w:t>
      </w:r>
    </w:p>
    <w:p w14:paraId="388A937A" w14:textId="77777777" w:rsidR="000C7780" w:rsidRDefault="00000000">
      <w:pPr>
        <w:spacing w:before="240" w:after="120"/>
      </w:pPr>
      <w:r>
        <w:rPr>
          <w:rFonts w:ascii="Times New Roman" w:hAnsi="Times New Roman"/>
          <w:b/>
          <w:color w:val="1F3A68"/>
          <w:sz w:val="24"/>
        </w:rPr>
        <w:t>Table S3. Hardy–Weinberg equilibrium calculation in controls</w:t>
      </w:r>
    </w:p>
    <w:tbl>
      <w:tblPr>
        <w:tblStyle w:val="LightGrid-Accent1"/>
        <w:tblW w:w="0" w:type="auto"/>
        <w:jc w:val="center"/>
        <w:tblLook w:val="04A0" w:firstRow="1" w:lastRow="0" w:firstColumn="1" w:lastColumn="0" w:noHBand="0" w:noVBand="1"/>
      </w:tblPr>
      <w:tblGrid>
        <w:gridCol w:w="2351"/>
        <w:gridCol w:w="2351"/>
        <w:gridCol w:w="2351"/>
        <w:gridCol w:w="2351"/>
      </w:tblGrid>
      <w:tr w:rsidR="000C7780" w14:paraId="4AF866C4" w14:textId="77777777" w:rsidTr="000C77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shd w:val="clear" w:color="auto" w:fill="1F3A68"/>
            <w:vAlign w:val="center"/>
          </w:tcPr>
          <w:p w14:paraId="37487CF2" w14:textId="77777777" w:rsidR="000C7780" w:rsidRDefault="00000000">
            <w:pPr>
              <w:jc w:val="center"/>
            </w:pPr>
            <w:r>
              <w:rPr>
                <w:rFonts w:ascii="Times New Roman" w:hAnsi="Times New Roman"/>
                <w:color w:val="FFFFFF"/>
                <w:sz w:val="20"/>
              </w:rPr>
              <w:t>Genotype</w:t>
            </w:r>
          </w:p>
        </w:tc>
        <w:tc>
          <w:tcPr>
            <w:tcW w:w="2351" w:type="dxa"/>
            <w:shd w:val="clear" w:color="auto" w:fill="1F3A68"/>
            <w:vAlign w:val="center"/>
          </w:tcPr>
          <w:p w14:paraId="72EE30A5" w14:textId="77777777" w:rsidR="000C7780" w:rsidRDefault="00000000">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olor w:val="FFFFFF"/>
                <w:sz w:val="20"/>
              </w:rPr>
              <w:t>Observed (N)</w:t>
            </w:r>
          </w:p>
        </w:tc>
        <w:tc>
          <w:tcPr>
            <w:tcW w:w="2351" w:type="dxa"/>
            <w:shd w:val="clear" w:color="auto" w:fill="1F3A68"/>
            <w:vAlign w:val="center"/>
          </w:tcPr>
          <w:p w14:paraId="36CD16E3" w14:textId="77777777" w:rsidR="000C7780" w:rsidRDefault="00000000">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olor w:val="FFFFFF"/>
                <w:sz w:val="20"/>
              </w:rPr>
              <w:t>Allele-freq-derived expected (N)</w:t>
            </w:r>
          </w:p>
        </w:tc>
        <w:tc>
          <w:tcPr>
            <w:tcW w:w="2351" w:type="dxa"/>
            <w:shd w:val="clear" w:color="auto" w:fill="1F3A68"/>
            <w:vAlign w:val="center"/>
          </w:tcPr>
          <w:p w14:paraId="74F3E07F" w14:textId="77777777" w:rsidR="000C7780" w:rsidRDefault="00000000">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olor w:val="FFFFFF"/>
                <w:sz w:val="20"/>
              </w:rPr>
              <w:t>(O–E)²/E</w:t>
            </w:r>
          </w:p>
        </w:tc>
      </w:tr>
      <w:tr w:rsidR="000C7780" w14:paraId="50F4A340" w14:textId="77777777" w:rsidTr="000C77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368B4625" w14:textId="77777777" w:rsidR="000C7780" w:rsidRDefault="00000000">
            <w:r>
              <w:rPr>
                <w:rFonts w:ascii="Times New Roman" w:hAnsi="Times New Roman"/>
                <w:sz w:val="20"/>
              </w:rPr>
              <w:t>GG</w:t>
            </w:r>
          </w:p>
        </w:tc>
        <w:tc>
          <w:tcPr>
            <w:tcW w:w="2351" w:type="dxa"/>
            <w:vAlign w:val="center"/>
          </w:tcPr>
          <w:p w14:paraId="180EC439"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35</w:t>
            </w:r>
          </w:p>
        </w:tc>
        <w:tc>
          <w:tcPr>
            <w:tcW w:w="2351" w:type="dxa"/>
            <w:vAlign w:val="center"/>
          </w:tcPr>
          <w:p w14:paraId="098A7CD4"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33.02</w:t>
            </w:r>
          </w:p>
        </w:tc>
        <w:tc>
          <w:tcPr>
            <w:tcW w:w="2351" w:type="dxa"/>
            <w:vAlign w:val="center"/>
          </w:tcPr>
          <w:p w14:paraId="20E37462"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0.118</w:t>
            </w:r>
          </w:p>
        </w:tc>
      </w:tr>
      <w:tr w:rsidR="000C7780" w14:paraId="1CB9F758" w14:textId="77777777" w:rsidTr="000C778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5427AB4F" w14:textId="77777777" w:rsidR="000C7780" w:rsidRDefault="00000000">
            <w:r>
              <w:rPr>
                <w:rFonts w:ascii="Times New Roman" w:hAnsi="Times New Roman"/>
                <w:sz w:val="20"/>
              </w:rPr>
              <w:t>AG</w:t>
            </w:r>
          </w:p>
        </w:tc>
        <w:tc>
          <w:tcPr>
            <w:tcW w:w="2351" w:type="dxa"/>
            <w:vAlign w:val="center"/>
          </w:tcPr>
          <w:p w14:paraId="10E3E678"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19</w:t>
            </w:r>
          </w:p>
        </w:tc>
        <w:tc>
          <w:tcPr>
            <w:tcW w:w="2351" w:type="dxa"/>
            <w:vAlign w:val="center"/>
          </w:tcPr>
          <w:p w14:paraId="120D4B3C"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22.96</w:t>
            </w:r>
          </w:p>
        </w:tc>
        <w:tc>
          <w:tcPr>
            <w:tcW w:w="2351" w:type="dxa"/>
            <w:vAlign w:val="center"/>
          </w:tcPr>
          <w:p w14:paraId="230BF4C5"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0.682</w:t>
            </w:r>
          </w:p>
        </w:tc>
      </w:tr>
      <w:tr w:rsidR="000C7780" w14:paraId="40744838" w14:textId="77777777" w:rsidTr="000C77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2552B347" w14:textId="77777777" w:rsidR="000C7780" w:rsidRDefault="00000000">
            <w:r>
              <w:rPr>
                <w:rFonts w:ascii="Times New Roman" w:hAnsi="Times New Roman"/>
                <w:sz w:val="20"/>
              </w:rPr>
              <w:t>AA</w:t>
            </w:r>
          </w:p>
        </w:tc>
        <w:tc>
          <w:tcPr>
            <w:tcW w:w="2351" w:type="dxa"/>
            <w:vAlign w:val="center"/>
          </w:tcPr>
          <w:p w14:paraId="70B46921"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6</w:t>
            </w:r>
          </w:p>
        </w:tc>
        <w:tc>
          <w:tcPr>
            <w:tcW w:w="2351" w:type="dxa"/>
            <w:vAlign w:val="center"/>
          </w:tcPr>
          <w:p w14:paraId="54321BFC"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3.99</w:t>
            </w:r>
          </w:p>
        </w:tc>
        <w:tc>
          <w:tcPr>
            <w:tcW w:w="2351" w:type="dxa"/>
            <w:vAlign w:val="center"/>
          </w:tcPr>
          <w:p w14:paraId="21687C46" w14:textId="77777777" w:rsidR="000C7780" w:rsidRDefault="00000000">
            <w:pP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20"/>
              </w:rPr>
              <w:t>1.010</w:t>
            </w:r>
          </w:p>
        </w:tc>
      </w:tr>
      <w:tr w:rsidR="000C7780" w14:paraId="67B42ECE" w14:textId="77777777" w:rsidTr="000C778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48036E6D" w14:textId="77777777" w:rsidR="000C7780" w:rsidRDefault="00000000">
            <w:r>
              <w:rPr>
                <w:rFonts w:ascii="Times New Roman" w:hAnsi="Times New Roman"/>
                <w:sz w:val="20"/>
              </w:rPr>
              <w:t>Total</w:t>
            </w:r>
          </w:p>
        </w:tc>
        <w:tc>
          <w:tcPr>
            <w:tcW w:w="2351" w:type="dxa"/>
            <w:vAlign w:val="center"/>
          </w:tcPr>
          <w:p w14:paraId="46B01C85"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60</w:t>
            </w:r>
          </w:p>
        </w:tc>
        <w:tc>
          <w:tcPr>
            <w:tcW w:w="2351" w:type="dxa"/>
            <w:vAlign w:val="center"/>
          </w:tcPr>
          <w:p w14:paraId="6D42FABF"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59.97</w:t>
            </w:r>
          </w:p>
        </w:tc>
        <w:tc>
          <w:tcPr>
            <w:tcW w:w="2351" w:type="dxa"/>
            <w:vAlign w:val="center"/>
          </w:tcPr>
          <w:p w14:paraId="3D9A68D3" w14:textId="77777777" w:rsidR="000C7780" w:rsidRDefault="00000000">
            <w:pPr>
              <w:cnfStyle w:val="000000010000" w:firstRow="0" w:lastRow="0" w:firstColumn="0" w:lastColumn="0" w:oddVBand="0" w:evenVBand="0" w:oddHBand="0" w:evenHBand="1" w:firstRowFirstColumn="0" w:firstRowLastColumn="0" w:lastRowFirstColumn="0" w:lastRowLastColumn="0"/>
            </w:pPr>
            <w:r>
              <w:rPr>
                <w:rFonts w:ascii="Times New Roman" w:hAnsi="Times New Roman"/>
                <w:sz w:val="20"/>
              </w:rPr>
              <w:t>χ² = 1.810 (df = 1, p = 0.179)*</w:t>
            </w:r>
          </w:p>
        </w:tc>
      </w:tr>
    </w:tbl>
    <w:p w14:paraId="067491F8" w14:textId="77777777" w:rsidR="000C7780" w:rsidRDefault="00000000">
      <w:pPr>
        <w:spacing w:before="80"/>
      </w:pPr>
      <w:r>
        <w:rPr>
          <w:rFonts w:ascii="Times New Roman" w:hAnsi="Times New Roman"/>
          <w:i/>
          <w:sz w:val="20"/>
        </w:rPr>
        <w:t>*The χ² shown is based on expected genotype counts from observed allele frequencies (p = 0.258, q = 0.742); under this classical formulation HWE is not violated. A stricter exact-test implementation (Wigginton et al. 2005) yielded p = 0.007, indicating a modest excess of AA homozygotes in the control group — this is transparently reported as a study limitation in the main text. Sanger resequencing of 10 % of samples (including all six AA controls) showed 100 % concordance, arguing against genotyping error.</w:t>
      </w:r>
    </w:p>
    <w:p w14:paraId="4110979B" w14:textId="77777777" w:rsidR="000C7780" w:rsidRDefault="00000000">
      <w:r>
        <w:br w:type="page"/>
      </w:r>
    </w:p>
    <w:p w14:paraId="3494FE36" w14:textId="77777777" w:rsidR="000C7780" w:rsidRDefault="00000000">
      <w:pPr>
        <w:spacing w:before="240" w:after="120"/>
      </w:pPr>
      <w:r>
        <w:rPr>
          <w:rFonts w:ascii="Times New Roman" w:hAnsi="Times New Roman"/>
          <w:b/>
          <w:color w:val="1F3A68"/>
          <w:sz w:val="24"/>
        </w:rPr>
        <w:lastRenderedPageBreak/>
        <w:t>Supplementary Figure S1</w:t>
      </w:r>
    </w:p>
    <w:p w14:paraId="52E91C7B" w14:textId="11DC9DD2" w:rsidR="000C7780" w:rsidRDefault="00000000">
      <w:pPr>
        <w:spacing w:after="120" w:line="360" w:lineRule="auto"/>
        <w:jc w:val="both"/>
      </w:pPr>
      <w:r>
        <w:rPr>
          <w:rFonts w:ascii="Times New Roman" w:hAnsi="Times New Roman"/>
        </w:rPr>
        <w:t xml:space="preserve">Representative </w:t>
      </w:r>
      <w:r w:rsidR="00D04699">
        <w:rPr>
          <w:rFonts w:ascii="Times New Roman" w:hAnsi="Times New Roman"/>
        </w:rPr>
        <w:t>1</w:t>
      </w:r>
      <w:r w:rsidR="00D04699">
        <w:rPr>
          <w:rFonts w:ascii="Times New Roman" w:hAnsi="Times New Roman"/>
          <w:lang w:bidi="ar-EG"/>
        </w:rPr>
        <w:t xml:space="preserve">.5 </w:t>
      </w:r>
      <w:r>
        <w:rPr>
          <w:rFonts w:ascii="Times New Roman" w:hAnsi="Times New Roman"/>
        </w:rPr>
        <w:t>% agarose-gel electrophoresis image of tetra-primer ARMS-PCR products for IL-17A rs2275913. L = 100 bp DNA ladder; S1–S8 = patient samples; NTC = no-template control. Every lane shows the 464 bp internal-control band (FO+RO amplicon) confirming successful amplification; the 297 bp band indicates the G allele, and the 20</w:t>
      </w:r>
      <w:r w:rsidR="00D04699">
        <w:rPr>
          <w:rFonts w:ascii="Times New Roman" w:hAnsi="Times New Roman"/>
        </w:rPr>
        <w:t>0</w:t>
      </w:r>
      <w:r>
        <w:rPr>
          <w:rFonts w:ascii="Times New Roman" w:hAnsi="Times New Roman"/>
        </w:rPr>
        <w:t xml:space="preserve"> bp band indicates the A allele. Genotypes are therefore: S1, S6 = GG; S2, S4, S7 = AG; S3, S5, S8 = AA.</w:t>
      </w:r>
    </w:p>
    <w:p w14:paraId="1102FD07" w14:textId="64F725BA" w:rsidR="00D04699" w:rsidRDefault="00D04699" w:rsidP="00D04699">
      <w:pPr>
        <w:spacing w:after="120" w:line="360" w:lineRule="auto"/>
        <w:jc w:val="center"/>
      </w:pPr>
      <w:r>
        <w:rPr>
          <w:noProof/>
          <w:sz w:val="20"/>
        </w:rPr>
        <w:drawing>
          <wp:inline distT="0" distB="0" distL="0" distR="0" wp14:anchorId="786F4F32" wp14:editId="613E3051">
            <wp:extent cx="5047226" cy="3026664"/>
            <wp:effectExtent l="0" t="0" r="0" b="0"/>
            <wp:docPr id="91051047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5047226" cy="3026664"/>
                    </a:xfrm>
                    <a:prstGeom prst="rect">
                      <a:avLst/>
                    </a:prstGeom>
                  </pic:spPr>
                </pic:pic>
              </a:graphicData>
            </a:graphic>
          </wp:inline>
        </w:drawing>
      </w:r>
    </w:p>
    <w:p w14:paraId="53F683BB" w14:textId="095CE610" w:rsidR="000C7780" w:rsidRDefault="000C7780">
      <w:pPr>
        <w:jc w:val="center"/>
      </w:pPr>
    </w:p>
    <w:p w14:paraId="220AE3D9" w14:textId="6FB927A1" w:rsidR="00D04699" w:rsidRDefault="00D04699" w:rsidP="00D04699">
      <w:pPr>
        <w:ind w:right="61"/>
        <w:rPr>
          <w:i/>
          <w:sz w:val="20"/>
        </w:rPr>
      </w:pPr>
      <w:r>
        <w:rPr>
          <w:b/>
          <w:sz w:val="20"/>
        </w:rPr>
        <w:t>Figure</w:t>
      </w:r>
      <w:r>
        <w:rPr>
          <w:b/>
          <w:spacing w:val="31"/>
          <w:sz w:val="20"/>
        </w:rPr>
        <w:t xml:space="preserve"> </w:t>
      </w:r>
      <w:r>
        <w:rPr>
          <w:b/>
          <w:sz w:val="20"/>
        </w:rPr>
        <w:t>S1.</w:t>
      </w:r>
      <w:r>
        <w:rPr>
          <w:b/>
          <w:spacing w:val="31"/>
          <w:sz w:val="20"/>
        </w:rPr>
        <w:t xml:space="preserve"> </w:t>
      </w:r>
      <w:r>
        <w:rPr>
          <w:b/>
          <w:sz w:val="20"/>
        </w:rPr>
        <w:t>Full</w:t>
      </w:r>
      <w:r>
        <w:rPr>
          <w:b/>
          <w:spacing w:val="31"/>
          <w:sz w:val="20"/>
        </w:rPr>
        <w:t xml:space="preserve"> </w:t>
      </w:r>
      <w:r>
        <w:rPr>
          <w:b/>
          <w:sz w:val="20"/>
        </w:rPr>
        <w:t>agarose-gel</w:t>
      </w:r>
      <w:r>
        <w:rPr>
          <w:b/>
          <w:spacing w:val="31"/>
          <w:sz w:val="20"/>
        </w:rPr>
        <w:t xml:space="preserve"> </w:t>
      </w:r>
      <w:r>
        <w:rPr>
          <w:b/>
          <w:sz w:val="20"/>
        </w:rPr>
        <w:t>image</w:t>
      </w:r>
      <w:r>
        <w:rPr>
          <w:b/>
          <w:spacing w:val="31"/>
          <w:sz w:val="20"/>
        </w:rPr>
        <w:t xml:space="preserve"> </w:t>
      </w:r>
      <w:r>
        <w:rPr>
          <w:b/>
          <w:sz w:val="20"/>
        </w:rPr>
        <w:t>(supplementary).</w:t>
      </w:r>
      <w:r>
        <w:rPr>
          <w:b/>
          <w:spacing w:val="39"/>
          <w:sz w:val="20"/>
        </w:rPr>
        <w:t xml:space="preserve"> </w:t>
      </w:r>
      <w:r>
        <w:rPr>
          <w:i/>
          <w:sz w:val="20"/>
        </w:rPr>
        <w:t>Representative</w:t>
      </w:r>
      <w:r>
        <w:rPr>
          <w:i/>
          <w:spacing w:val="31"/>
          <w:sz w:val="20"/>
        </w:rPr>
        <w:t xml:space="preserve"> </w:t>
      </w:r>
      <w:r>
        <w:rPr>
          <w:i/>
          <w:sz w:val="20"/>
        </w:rPr>
        <w:t>1.5</w:t>
      </w:r>
      <w:r>
        <w:rPr>
          <w:i/>
          <w:spacing w:val="31"/>
          <w:sz w:val="20"/>
        </w:rPr>
        <w:t xml:space="preserve"> </w:t>
      </w:r>
      <w:r>
        <w:rPr>
          <w:i/>
          <w:sz w:val="20"/>
        </w:rPr>
        <w:t>%</w:t>
      </w:r>
      <w:r>
        <w:rPr>
          <w:i/>
          <w:spacing w:val="31"/>
          <w:sz w:val="20"/>
        </w:rPr>
        <w:t xml:space="preserve"> </w:t>
      </w:r>
      <w:r>
        <w:rPr>
          <w:i/>
          <w:sz w:val="20"/>
        </w:rPr>
        <w:t>agarose</w:t>
      </w:r>
      <w:r>
        <w:rPr>
          <w:i/>
          <w:spacing w:val="31"/>
          <w:sz w:val="20"/>
        </w:rPr>
        <w:t xml:space="preserve"> </w:t>
      </w:r>
      <w:r>
        <w:rPr>
          <w:i/>
          <w:sz w:val="20"/>
        </w:rPr>
        <w:t>gel</w:t>
      </w:r>
      <w:r>
        <w:rPr>
          <w:i/>
          <w:spacing w:val="31"/>
          <w:sz w:val="20"/>
        </w:rPr>
        <w:t xml:space="preserve"> </w:t>
      </w:r>
      <w:r>
        <w:rPr>
          <w:i/>
          <w:sz w:val="20"/>
        </w:rPr>
        <w:t>electrophoresis</w:t>
      </w:r>
      <w:r>
        <w:rPr>
          <w:i/>
          <w:spacing w:val="31"/>
          <w:sz w:val="20"/>
        </w:rPr>
        <w:t xml:space="preserve"> </w:t>
      </w:r>
      <w:r>
        <w:rPr>
          <w:i/>
          <w:sz w:val="20"/>
        </w:rPr>
        <w:t>image</w:t>
      </w:r>
      <w:r>
        <w:rPr>
          <w:i/>
          <w:spacing w:val="31"/>
          <w:sz w:val="20"/>
        </w:rPr>
        <w:t xml:space="preserve"> </w:t>
      </w:r>
      <w:r>
        <w:rPr>
          <w:i/>
          <w:sz w:val="20"/>
        </w:rPr>
        <w:t>of</w:t>
      </w:r>
      <w:r>
        <w:rPr>
          <w:i/>
          <w:spacing w:val="31"/>
          <w:sz w:val="20"/>
        </w:rPr>
        <w:t xml:space="preserve"> </w:t>
      </w:r>
      <w:r>
        <w:rPr>
          <w:i/>
          <w:sz w:val="20"/>
        </w:rPr>
        <w:t>tetra-primer ARMS-PCR products (unannotated version of Figure 3; full raw gel is available on request).</w:t>
      </w:r>
    </w:p>
    <w:p w14:paraId="33289019" w14:textId="16D3C6FD" w:rsidR="000C7780" w:rsidRDefault="000C7780"/>
    <w:p w14:paraId="362CEFE4" w14:textId="77777777" w:rsidR="000C7780" w:rsidRDefault="00000000">
      <w:pPr>
        <w:spacing w:before="240" w:after="120"/>
      </w:pPr>
      <w:r>
        <w:rPr>
          <w:rFonts w:ascii="Times New Roman" w:hAnsi="Times New Roman"/>
          <w:b/>
          <w:color w:val="1F3A68"/>
          <w:sz w:val="24"/>
        </w:rPr>
        <w:t>Supplementary Figure S2</w:t>
      </w:r>
    </w:p>
    <w:p w14:paraId="74FBCB60" w14:textId="71D6D442" w:rsidR="000C7780" w:rsidRDefault="00D04699">
      <w:pPr>
        <w:spacing w:after="120" w:line="360" w:lineRule="auto"/>
        <w:jc w:val="both"/>
      </w:pPr>
      <w:r>
        <w:rPr>
          <w:rFonts w:ascii="Times New Roman" w:hAnsi="Times New Roman"/>
        </w:rPr>
        <w:t>S</w:t>
      </w:r>
      <w:r w:rsidR="00000000">
        <w:rPr>
          <w:rFonts w:ascii="Times New Roman" w:hAnsi="Times New Roman"/>
        </w:rPr>
        <w:t>tandard curve for the Human IL-17A ELISA kit (Elabscience E-EL-H0105, Houston, TX, USA). Serial dilutions of recombinant human IL-17A spanning 7.81–500 pg/mL were assayed in duplicate; optical density was read at 450 nm with wavelength correction at 570 nm. A four-parameter logistic (4-PL) model was fitted using GraphPad Prism v9.0 (R² &gt; 0.99).</w:t>
      </w:r>
    </w:p>
    <w:p w14:paraId="7AB62200" w14:textId="399BDBCB" w:rsidR="000C7780" w:rsidRDefault="00D04699">
      <w:pPr>
        <w:jc w:val="center"/>
      </w:pPr>
      <w:r>
        <w:rPr>
          <w:noProof/>
          <w:sz w:val="20"/>
        </w:rPr>
        <w:lastRenderedPageBreak/>
        <w:drawing>
          <wp:inline distT="0" distB="0" distL="0" distR="0" wp14:anchorId="2B4BBAE3" wp14:editId="134D5C87">
            <wp:extent cx="5607375" cy="393192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5607375" cy="3931920"/>
                    </a:xfrm>
                    <a:prstGeom prst="rect">
                      <a:avLst/>
                    </a:prstGeom>
                  </pic:spPr>
                </pic:pic>
              </a:graphicData>
            </a:graphic>
          </wp:inline>
        </w:drawing>
      </w:r>
    </w:p>
    <w:p w14:paraId="49088AF9" w14:textId="759C97B1" w:rsidR="00D04699" w:rsidRDefault="00D04699" w:rsidP="00D04699">
      <w:pPr>
        <w:pStyle w:val="BodyText"/>
        <w:ind w:left="55" w:right="59"/>
        <w:jc w:val="both"/>
      </w:pPr>
      <w:r>
        <w:rPr>
          <w:b/>
        </w:rPr>
        <w:t xml:space="preserve">Figure S2. ELISA standard curve. </w:t>
      </w:r>
      <w:r>
        <w:t>Standard curve for the Human IL-17A ELISA kit (</w:t>
      </w:r>
      <w:proofErr w:type="spellStart"/>
      <w:r>
        <w:t>Elabscience</w:t>
      </w:r>
      <w:proofErr w:type="spellEnd"/>
      <w:r>
        <w:t xml:space="preserve"> E-EL-H0105, Houston, TX, USA). Serial dilutions of recombinant human IL-17A spanning 7.81–500 </w:t>
      </w:r>
      <w:proofErr w:type="spellStart"/>
      <w:r>
        <w:t>pg</w:t>
      </w:r>
      <w:proofErr w:type="spellEnd"/>
      <w:r>
        <w:t>/mL were assayed in duplicate; optical density was read at 450 nm with wavelength correction at 570 nm. A four-parameter logistic (4-PL) model was fitted (R² &gt; 0.99).</w:t>
      </w:r>
    </w:p>
    <w:p w14:paraId="38434B38" w14:textId="77777777" w:rsidR="000C7780" w:rsidRDefault="00000000">
      <w:r>
        <w:br w:type="page"/>
      </w:r>
    </w:p>
    <w:p w14:paraId="08A96882" w14:textId="77777777" w:rsidR="000C7780" w:rsidRDefault="00000000">
      <w:pPr>
        <w:spacing w:before="240" w:after="120"/>
      </w:pPr>
      <w:r>
        <w:rPr>
          <w:rFonts w:ascii="Times New Roman" w:hAnsi="Times New Roman"/>
          <w:b/>
          <w:color w:val="1F3A68"/>
          <w:sz w:val="24"/>
        </w:rPr>
        <w:lastRenderedPageBreak/>
        <w:t>Supplementary Figure S3</w:t>
      </w:r>
    </w:p>
    <w:p w14:paraId="661AE970" w14:textId="137464A7" w:rsidR="000C7780" w:rsidRDefault="00000000">
      <w:pPr>
        <w:spacing w:after="120" w:line="360" w:lineRule="auto"/>
        <w:jc w:val="both"/>
      </w:pPr>
      <w:r>
        <w:rPr>
          <w:rFonts w:ascii="Times New Roman" w:hAnsi="Times New Roman"/>
        </w:rPr>
        <w:t>Sanger sequencing electropherograms confirming T-ARMS-PCR genotyping at IL-17A rs2275913. Bi-directional sequencing was performed on an ABI 3500 Genetic Analyser (Applied Biosystems, Foster City, CA, USA) using BigDye Terminator v3.1 chemistry; sequence electropherograms were inspected in Chromas v2.6.6 (Technelysium). Ten per cent of samples (n = 12, including all six AA-control homozygotes) were sequenced, yielding 100 % concordance with T-ARMS-PCR calls. At the polymorphic site, (a) shows a single G peak (homozygous GG), (b) shows superimposed A and G peaks of approximately equal height (heterozygous AG; IUPAC code R), and (c) shows a single A peak (homozygous AA).</w:t>
      </w:r>
    </w:p>
    <w:p w14:paraId="317A5FF4" w14:textId="7E8B40E1" w:rsidR="000C7780" w:rsidRDefault="00D04699">
      <w:pPr>
        <w:jc w:val="center"/>
      </w:pPr>
      <w:r>
        <w:rPr>
          <w:noProof/>
          <w:sz w:val="20"/>
        </w:rPr>
        <w:drawing>
          <wp:inline distT="0" distB="0" distL="0" distR="0" wp14:anchorId="3F44EB94" wp14:editId="520E5FB6">
            <wp:extent cx="5668034" cy="502310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5668034" cy="5023104"/>
                    </a:xfrm>
                    <a:prstGeom prst="rect">
                      <a:avLst/>
                    </a:prstGeom>
                  </pic:spPr>
                </pic:pic>
              </a:graphicData>
            </a:graphic>
          </wp:inline>
        </w:drawing>
      </w:r>
    </w:p>
    <w:p w14:paraId="2D797D01" w14:textId="782828A8" w:rsidR="00D04699" w:rsidRDefault="00D04699" w:rsidP="00D04699">
      <w:pPr>
        <w:ind w:left="55"/>
        <w:jc w:val="both"/>
        <w:rPr>
          <w:i/>
          <w:sz w:val="20"/>
        </w:rPr>
      </w:pPr>
      <w:r>
        <w:rPr>
          <w:b/>
          <w:sz w:val="20"/>
        </w:rPr>
        <w:t>Figure</w:t>
      </w:r>
      <w:r>
        <w:rPr>
          <w:b/>
          <w:spacing w:val="-8"/>
          <w:sz w:val="20"/>
        </w:rPr>
        <w:t xml:space="preserve"> </w:t>
      </w:r>
      <w:r>
        <w:rPr>
          <w:b/>
          <w:sz w:val="20"/>
        </w:rPr>
        <w:t>S3.</w:t>
      </w:r>
      <w:r>
        <w:rPr>
          <w:b/>
          <w:spacing w:val="-5"/>
          <w:sz w:val="20"/>
        </w:rPr>
        <w:t xml:space="preserve"> </w:t>
      </w:r>
      <w:r>
        <w:rPr>
          <w:b/>
          <w:sz w:val="20"/>
        </w:rPr>
        <w:t>Sanger</w:t>
      </w:r>
      <w:r>
        <w:rPr>
          <w:b/>
          <w:spacing w:val="-6"/>
          <w:sz w:val="20"/>
        </w:rPr>
        <w:t xml:space="preserve"> </w:t>
      </w:r>
      <w:r>
        <w:rPr>
          <w:b/>
          <w:sz w:val="20"/>
        </w:rPr>
        <w:t>sequencing</w:t>
      </w:r>
      <w:r>
        <w:rPr>
          <w:b/>
          <w:spacing w:val="-5"/>
          <w:sz w:val="20"/>
        </w:rPr>
        <w:t xml:space="preserve"> </w:t>
      </w:r>
      <w:r>
        <w:rPr>
          <w:b/>
          <w:sz w:val="20"/>
        </w:rPr>
        <w:t>confirmation</w:t>
      </w:r>
      <w:r>
        <w:rPr>
          <w:b/>
          <w:spacing w:val="-5"/>
          <w:sz w:val="20"/>
        </w:rPr>
        <w:t xml:space="preserve"> </w:t>
      </w:r>
      <w:r>
        <w:rPr>
          <w:b/>
          <w:sz w:val="20"/>
        </w:rPr>
        <w:t>of</w:t>
      </w:r>
      <w:r>
        <w:rPr>
          <w:b/>
          <w:spacing w:val="-6"/>
          <w:sz w:val="20"/>
        </w:rPr>
        <w:t xml:space="preserve"> </w:t>
      </w:r>
      <w:r>
        <w:rPr>
          <w:b/>
          <w:sz w:val="20"/>
        </w:rPr>
        <w:t>T-ARMS-PCR</w:t>
      </w:r>
      <w:r>
        <w:rPr>
          <w:b/>
          <w:spacing w:val="-6"/>
          <w:sz w:val="20"/>
        </w:rPr>
        <w:t xml:space="preserve"> </w:t>
      </w:r>
      <w:r>
        <w:rPr>
          <w:b/>
          <w:sz w:val="20"/>
        </w:rPr>
        <w:t>genotyping.</w:t>
      </w:r>
      <w:r>
        <w:rPr>
          <w:b/>
          <w:spacing w:val="-1"/>
          <w:sz w:val="20"/>
        </w:rPr>
        <w:t xml:space="preserve"> </w:t>
      </w:r>
      <w:r>
        <w:rPr>
          <w:i/>
          <w:sz w:val="20"/>
        </w:rPr>
        <w:t>Sanger</w:t>
      </w:r>
      <w:r>
        <w:rPr>
          <w:i/>
          <w:spacing w:val="-6"/>
          <w:sz w:val="20"/>
        </w:rPr>
        <w:t xml:space="preserve"> </w:t>
      </w:r>
      <w:r>
        <w:rPr>
          <w:i/>
          <w:sz w:val="20"/>
        </w:rPr>
        <w:t>electropherograms</w:t>
      </w:r>
      <w:r>
        <w:rPr>
          <w:i/>
          <w:spacing w:val="-5"/>
          <w:sz w:val="20"/>
        </w:rPr>
        <w:t xml:space="preserve"> for</w:t>
      </w:r>
    </w:p>
    <w:p w14:paraId="28BD61B6" w14:textId="77777777" w:rsidR="00D04699" w:rsidRDefault="00D04699" w:rsidP="00D04699">
      <w:pPr>
        <w:pStyle w:val="BodyText"/>
        <w:spacing w:before="35"/>
        <w:ind w:left="55" w:right="68"/>
        <w:jc w:val="both"/>
      </w:pPr>
      <w:r>
        <w:t>(a) homozygous GG, (b) heterozygous AG (IUPAC code R), and (c) homozygous AA at IL-17A rs2275913. Ten per cent of samples (n = 12, including all six AA-control homozygotes) were bi-</w:t>
      </w:r>
      <w:r>
        <w:lastRenderedPageBreak/>
        <w:t xml:space="preserve">directionally sequenced on an ABI 3500 Genetic </w:t>
      </w:r>
      <w:proofErr w:type="spellStart"/>
      <w:r>
        <w:t>Analyser</w:t>
      </w:r>
      <w:proofErr w:type="spellEnd"/>
      <w:r>
        <w:t>; concordance with T-ARMS-PCR calls was 100 %.</w:t>
      </w:r>
    </w:p>
    <w:p w14:paraId="3EBFED8E" w14:textId="77777777" w:rsidR="000C7780" w:rsidRDefault="00000000">
      <w:r>
        <w:br w:type="page"/>
      </w:r>
    </w:p>
    <w:p w14:paraId="64093939" w14:textId="77777777" w:rsidR="000C7780" w:rsidRDefault="00000000">
      <w:pPr>
        <w:spacing w:before="240" w:after="120"/>
      </w:pPr>
      <w:r>
        <w:rPr>
          <w:rFonts w:ascii="Times New Roman" w:hAnsi="Times New Roman"/>
          <w:b/>
          <w:color w:val="1F3A68"/>
          <w:sz w:val="24"/>
        </w:rPr>
        <w:lastRenderedPageBreak/>
        <w:t>Supplementary Figure S4</w:t>
      </w:r>
    </w:p>
    <w:p w14:paraId="50E53B57" w14:textId="77777777" w:rsidR="000C7780" w:rsidRDefault="00000000">
      <w:pPr>
        <w:spacing w:after="120" w:line="360" w:lineRule="auto"/>
        <w:jc w:val="both"/>
      </w:pPr>
      <w:r>
        <w:rPr>
          <w:rFonts w:ascii="Times New Roman" w:hAnsi="Times New Roman"/>
        </w:rPr>
        <w:t>Forest plot comparing the odds ratio for recurrent spontaneous abortion under the dominant genetic model (A-carrier vs GG) across published case–control studies of IL-17A rs2275913 and the present Iraqi cohort. Individual study odds ratios and 95 % confidence intervals are plotted on a logarithmic scale; the dashed vertical line indicates the null value (OR = 1). Effect size in the Iraqi population is larger than in most previously reported cohorts, which may reflect differences in allele frequency, inclusion criteria, or unmeasured environmental modifiers and warrants replication in independent Middle-Eastern samples.</w:t>
      </w:r>
    </w:p>
    <w:p w14:paraId="05224736" w14:textId="02CC46E2" w:rsidR="000C7780" w:rsidRDefault="00D04699">
      <w:pPr>
        <w:jc w:val="center"/>
      </w:pPr>
      <w:r>
        <w:rPr>
          <w:noProof/>
          <w:sz w:val="20"/>
        </w:rPr>
        <w:drawing>
          <wp:inline distT="0" distB="0" distL="0" distR="0" wp14:anchorId="71C7FC34" wp14:editId="20234843">
            <wp:extent cx="5673193" cy="273100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5673193" cy="2731007"/>
                    </a:xfrm>
                    <a:prstGeom prst="rect">
                      <a:avLst/>
                    </a:prstGeom>
                  </pic:spPr>
                </pic:pic>
              </a:graphicData>
            </a:graphic>
          </wp:inline>
        </w:drawing>
      </w:r>
    </w:p>
    <w:p w14:paraId="66653E26" w14:textId="77777777" w:rsidR="00311DA3" w:rsidRDefault="00000000" w:rsidP="00311DA3">
      <w:pPr>
        <w:ind w:left="55" w:right="62"/>
        <w:jc w:val="both"/>
        <w:rPr>
          <w:i/>
          <w:sz w:val="20"/>
        </w:rPr>
      </w:pPr>
      <w:r>
        <w:br w:type="page"/>
      </w:r>
      <w:r w:rsidR="00311DA3">
        <w:rPr>
          <w:b/>
          <w:sz w:val="20"/>
        </w:rPr>
        <w:lastRenderedPageBreak/>
        <w:t xml:space="preserve">Figure S4. Forest plot of IL-17A rs2275913 (A-carrier vs GG) associations with RSA across published studies. </w:t>
      </w:r>
      <w:r w:rsidR="00311DA3">
        <w:rPr>
          <w:i/>
          <w:sz w:val="20"/>
        </w:rPr>
        <w:t xml:space="preserve">Individual study odds ratios and 95 % confidence intervals are plotted on a logarithmic scale; the dashed vertical line indicates the null value (OR = 1). The effect size observed in the present Iraqi cohort is larger than in most previously reported populations, which may reflect differences in allele frequency, inclusion criteria, or unmeasured environmental </w:t>
      </w:r>
      <w:r w:rsidR="00311DA3">
        <w:rPr>
          <w:i/>
          <w:spacing w:val="-2"/>
          <w:sz w:val="20"/>
        </w:rPr>
        <w:t>modifiers.</w:t>
      </w:r>
    </w:p>
    <w:p w14:paraId="0F12847D" w14:textId="550E2B6B" w:rsidR="000C7780" w:rsidRDefault="000C7780"/>
    <w:p w14:paraId="547166C8" w14:textId="77777777" w:rsidR="000C7780" w:rsidRDefault="00000000">
      <w:pPr>
        <w:spacing w:before="240" w:after="120"/>
      </w:pPr>
      <w:r>
        <w:rPr>
          <w:rFonts w:ascii="Times New Roman" w:hAnsi="Times New Roman"/>
          <w:b/>
          <w:color w:val="1F3A68"/>
          <w:sz w:val="24"/>
        </w:rPr>
        <w:t>Data availability</w:t>
      </w:r>
    </w:p>
    <w:p w14:paraId="1D80E96A" w14:textId="77777777" w:rsidR="000C7780" w:rsidRDefault="00000000">
      <w:pPr>
        <w:spacing w:after="120" w:line="360" w:lineRule="auto"/>
        <w:jc w:val="both"/>
      </w:pPr>
      <w:r>
        <w:rPr>
          <w:rFonts w:ascii="Times New Roman" w:hAnsi="Times New Roman"/>
        </w:rPr>
        <w:t>De-identified individual-level genotype and IL-17A concentration data supporting the findings of this study are available from the corresponding author upon reasonable request and following approval by the local Institutional Review Board. Raw ELISA plate files (.xlsx) and Sanger trace files (.ab1) will be provided in the same archive.</w:t>
      </w:r>
    </w:p>
    <w:sectPr w:rsidR="000C7780"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1174649">
    <w:abstractNumId w:val="8"/>
  </w:num>
  <w:num w:numId="2" w16cid:durableId="620189585">
    <w:abstractNumId w:val="6"/>
  </w:num>
  <w:num w:numId="3" w16cid:durableId="1464228828">
    <w:abstractNumId w:val="5"/>
  </w:num>
  <w:num w:numId="4" w16cid:durableId="696082760">
    <w:abstractNumId w:val="4"/>
  </w:num>
  <w:num w:numId="5" w16cid:durableId="701129954">
    <w:abstractNumId w:val="7"/>
  </w:num>
  <w:num w:numId="6" w16cid:durableId="609095541">
    <w:abstractNumId w:val="3"/>
  </w:num>
  <w:num w:numId="7" w16cid:durableId="16277658">
    <w:abstractNumId w:val="2"/>
  </w:num>
  <w:num w:numId="8" w16cid:durableId="1125853148">
    <w:abstractNumId w:val="1"/>
  </w:num>
  <w:num w:numId="9" w16cid:durableId="152306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7780"/>
    <w:rsid w:val="0015074B"/>
    <w:rsid w:val="0029639D"/>
    <w:rsid w:val="00311DA3"/>
    <w:rsid w:val="00326F90"/>
    <w:rsid w:val="00AA1D8D"/>
    <w:rsid w:val="00B47730"/>
    <w:rsid w:val="00CB0664"/>
    <w:rsid w:val="00D04699"/>
    <w:rsid w:val="00E01BF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80A706"/>
  <w14:defaultImageDpi w14:val="300"/>
  <w15:docId w15:val="{4F00E443-7E89-4B5E-9D4F-E12A28F56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rusil</cp:lastModifiedBy>
  <cp:revision>2</cp:revision>
  <dcterms:created xsi:type="dcterms:W3CDTF">2013-12-23T23:15:00Z</dcterms:created>
  <dcterms:modified xsi:type="dcterms:W3CDTF">2026-04-17T13:36:00Z</dcterms:modified>
  <cp:category/>
</cp:coreProperties>
</file>