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E3A9A4" w14:textId="7B61AE28" w:rsidR="000B3886" w:rsidRPr="009B2B62" w:rsidRDefault="000B3886" w:rsidP="009B2B62">
      <w:pPr>
        <w:spacing w:line="480" w:lineRule="auto"/>
        <w:rPr>
          <w:rFonts w:ascii="Arial" w:hAnsi="Arial" w:cs="Arial"/>
          <w:bCs/>
          <w:color w:val="FF0000"/>
          <w:sz w:val="20"/>
          <w:szCs w:val="20"/>
        </w:rPr>
      </w:pPr>
      <w:bookmarkStart w:id="0" w:name="_GoBack"/>
      <w:r w:rsidRPr="00DD30FD">
        <w:rPr>
          <w:rFonts w:ascii="Arial" w:hAnsi="Arial" w:cs="Arial"/>
          <w:b/>
          <w:sz w:val="20"/>
          <w:szCs w:val="20"/>
          <w:highlight w:val="yellow"/>
        </w:rPr>
        <w:t xml:space="preserve">Table </w:t>
      </w:r>
      <w:r w:rsidR="00E359DB" w:rsidRPr="00DD30FD">
        <w:rPr>
          <w:rFonts w:ascii="Arial" w:hAnsi="Arial" w:cs="Arial"/>
          <w:b/>
          <w:sz w:val="20"/>
          <w:szCs w:val="20"/>
          <w:highlight w:val="yellow"/>
        </w:rPr>
        <w:t>S</w:t>
      </w:r>
      <w:r w:rsidR="00872DCB" w:rsidRPr="00DD30FD">
        <w:rPr>
          <w:rFonts w:ascii="Arial" w:hAnsi="Arial" w:cs="Arial"/>
          <w:b/>
          <w:sz w:val="20"/>
          <w:szCs w:val="20"/>
          <w:highlight w:val="yellow"/>
        </w:rPr>
        <w:t>3</w:t>
      </w:r>
      <w:r w:rsidR="009B2B62" w:rsidRPr="00DD30FD">
        <w:rPr>
          <w:rFonts w:ascii="Arial" w:hAnsi="Arial" w:cs="Arial"/>
          <w:b/>
          <w:sz w:val="20"/>
          <w:szCs w:val="20"/>
          <w:highlight w:val="yellow"/>
        </w:rPr>
        <w:t>:</w:t>
      </w:r>
      <w:r w:rsidRPr="009B2B62">
        <w:rPr>
          <w:rFonts w:ascii="Arial" w:hAnsi="Arial" w:cs="Arial"/>
          <w:bCs/>
          <w:sz w:val="20"/>
          <w:szCs w:val="20"/>
        </w:rPr>
        <w:t xml:space="preserve"> D</w:t>
      </w:r>
      <w:r w:rsidRPr="009B2B62">
        <w:rPr>
          <w:rFonts w:ascii="Arial" w:hAnsi="Arial" w:cs="Arial" w:hint="eastAsia"/>
          <w:bCs/>
          <w:sz w:val="20"/>
          <w:szCs w:val="20"/>
        </w:rPr>
        <w:t>ifferent</w:t>
      </w:r>
      <w:r w:rsidRPr="009B2B62">
        <w:rPr>
          <w:rFonts w:ascii="Arial" w:hAnsi="Arial" w:cs="Arial"/>
          <w:bCs/>
          <w:sz w:val="20"/>
          <w:szCs w:val="20"/>
        </w:rPr>
        <w:t xml:space="preserve"> </w:t>
      </w:r>
      <w:r w:rsidRPr="009B2B62">
        <w:rPr>
          <w:rFonts w:ascii="Arial" w:hAnsi="Arial" w:cs="Arial" w:hint="eastAsia"/>
          <w:bCs/>
          <w:sz w:val="20"/>
          <w:szCs w:val="20"/>
        </w:rPr>
        <w:t>predictive</w:t>
      </w:r>
      <w:r w:rsidRPr="009B2B62">
        <w:rPr>
          <w:rFonts w:ascii="Arial" w:hAnsi="Arial" w:cs="Arial"/>
          <w:bCs/>
          <w:sz w:val="20"/>
          <w:szCs w:val="20"/>
        </w:rPr>
        <w:t xml:space="preserve"> </w:t>
      </w:r>
      <w:r w:rsidRPr="009B2B62">
        <w:rPr>
          <w:rFonts w:ascii="Arial" w:hAnsi="Arial" w:cs="Arial" w:hint="eastAsia"/>
          <w:bCs/>
          <w:sz w:val="20"/>
          <w:szCs w:val="20"/>
        </w:rPr>
        <w:t>ability</w:t>
      </w:r>
      <w:r w:rsidRPr="009B2B62">
        <w:rPr>
          <w:rFonts w:ascii="Arial" w:hAnsi="Arial" w:cs="Arial"/>
          <w:bCs/>
          <w:sz w:val="20"/>
          <w:szCs w:val="20"/>
        </w:rPr>
        <w:t xml:space="preserve"> </w:t>
      </w:r>
      <w:r w:rsidRPr="009B2B62">
        <w:rPr>
          <w:rFonts w:ascii="Arial" w:hAnsi="Arial" w:cs="Arial" w:hint="eastAsia"/>
          <w:bCs/>
          <w:sz w:val="20"/>
          <w:szCs w:val="20"/>
        </w:rPr>
        <w:t>of</w:t>
      </w:r>
      <w:r w:rsidRPr="009B2B62">
        <w:rPr>
          <w:rFonts w:ascii="Arial" w:hAnsi="Arial" w:cs="Arial"/>
          <w:bCs/>
          <w:sz w:val="20"/>
          <w:szCs w:val="20"/>
        </w:rPr>
        <w:t xml:space="preserve"> </w:t>
      </w:r>
      <w:r w:rsidR="009B2B62" w:rsidRPr="009B2B62">
        <w:rPr>
          <w:rFonts w:ascii="Arial" w:hAnsi="Arial" w:cs="Arial"/>
          <w:bCs/>
          <w:sz w:val="20"/>
          <w:szCs w:val="20"/>
        </w:rPr>
        <w:t>C</w:t>
      </w:r>
      <w:r w:rsidR="009B2B62" w:rsidRPr="00405279">
        <w:rPr>
          <w:rFonts w:ascii="Arial" w:hAnsi="Arial" w:cs="Arial"/>
          <w:bCs/>
          <w:sz w:val="20"/>
          <w:szCs w:val="20"/>
          <w:vertAlign w:val="subscript"/>
        </w:rPr>
        <w:t>2</w:t>
      </w:r>
      <w:r w:rsidR="009B2B62" w:rsidRPr="009B2B62">
        <w:rPr>
          <w:rFonts w:ascii="Arial" w:hAnsi="Arial" w:cs="Arial"/>
          <w:bCs/>
          <w:sz w:val="20"/>
          <w:szCs w:val="20"/>
        </w:rPr>
        <w:t>HEST</w:t>
      </w:r>
      <w:r w:rsidRPr="009B2B62">
        <w:rPr>
          <w:rFonts w:ascii="Arial" w:hAnsi="Arial" w:cs="Arial"/>
          <w:bCs/>
          <w:sz w:val="20"/>
          <w:szCs w:val="20"/>
        </w:rPr>
        <w:t xml:space="preserve"> score </w:t>
      </w:r>
      <w:r w:rsidRPr="009B2B62">
        <w:rPr>
          <w:rFonts w:ascii="Arial" w:hAnsi="Arial" w:cs="Arial" w:hint="eastAsia"/>
          <w:bCs/>
          <w:sz w:val="20"/>
          <w:szCs w:val="20"/>
        </w:rPr>
        <w:t>for</w:t>
      </w:r>
      <w:r w:rsidRPr="009B2B62">
        <w:rPr>
          <w:rFonts w:ascii="Arial" w:hAnsi="Arial" w:cs="Arial"/>
          <w:bCs/>
          <w:sz w:val="20"/>
          <w:szCs w:val="20"/>
        </w:rPr>
        <w:t xml:space="preserve"> AF</w:t>
      </w:r>
      <w:r w:rsidRPr="009B2B62">
        <w:rPr>
          <w:rFonts w:ascii="Arial" w:hAnsi="Arial" w:cs="Arial" w:hint="eastAsia"/>
          <w:bCs/>
          <w:sz w:val="20"/>
          <w:szCs w:val="20"/>
        </w:rPr>
        <w:t xml:space="preserve">-associated </w:t>
      </w:r>
      <w:r w:rsidR="009B2B62">
        <w:rPr>
          <w:rFonts w:ascii="Arial" w:hAnsi="Arial" w:cs="Arial"/>
          <w:bCs/>
          <w:sz w:val="20"/>
          <w:szCs w:val="20"/>
        </w:rPr>
        <w:t>risk</w:t>
      </w:r>
      <w:r w:rsidRPr="009B2B62">
        <w:rPr>
          <w:rFonts w:ascii="Arial" w:hAnsi="Arial" w:cs="Arial"/>
          <w:bCs/>
          <w:sz w:val="20"/>
          <w:szCs w:val="20"/>
        </w:rPr>
        <w:t xml:space="preserve"> </w:t>
      </w:r>
      <w:r w:rsidRPr="009B2B62">
        <w:rPr>
          <w:rFonts w:ascii="Arial" w:hAnsi="Arial" w:cs="Arial" w:hint="eastAsia"/>
          <w:bCs/>
          <w:sz w:val="20"/>
          <w:szCs w:val="20"/>
        </w:rPr>
        <w:t>in</w:t>
      </w:r>
      <w:r w:rsidRPr="009B2B62">
        <w:rPr>
          <w:rFonts w:ascii="Arial" w:hAnsi="Arial" w:cs="Arial"/>
          <w:bCs/>
          <w:sz w:val="20"/>
          <w:szCs w:val="20"/>
        </w:rPr>
        <w:t xml:space="preserve"> A</w:t>
      </w:r>
      <w:r w:rsidRPr="009B2B62">
        <w:rPr>
          <w:rFonts w:ascii="Arial" w:hAnsi="Arial" w:cs="Arial" w:hint="eastAsia"/>
          <w:bCs/>
          <w:sz w:val="20"/>
          <w:szCs w:val="20"/>
        </w:rPr>
        <w:t>sian</w:t>
      </w:r>
      <w:r w:rsidRPr="009B2B62">
        <w:rPr>
          <w:rFonts w:ascii="Arial" w:hAnsi="Arial" w:cs="Arial"/>
          <w:bCs/>
          <w:sz w:val="20"/>
          <w:szCs w:val="20"/>
        </w:rPr>
        <w:t xml:space="preserve"> </w:t>
      </w:r>
      <w:r w:rsidRPr="009B2B62">
        <w:rPr>
          <w:rFonts w:ascii="Arial" w:hAnsi="Arial" w:cs="Arial" w:hint="eastAsia"/>
          <w:bCs/>
          <w:sz w:val="20"/>
          <w:szCs w:val="20"/>
        </w:rPr>
        <w:t>patients</w:t>
      </w:r>
      <w:r w:rsidRPr="009B2B62">
        <w:rPr>
          <w:rFonts w:ascii="Arial" w:hAnsi="Arial" w:cs="Arial"/>
          <w:bCs/>
          <w:sz w:val="20"/>
          <w:szCs w:val="20"/>
        </w:rPr>
        <w:t xml:space="preserve"> </w:t>
      </w:r>
      <w:r w:rsidRPr="009B2B62">
        <w:rPr>
          <w:rFonts w:ascii="Arial" w:hAnsi="Arial" w:cs="Arial" w:hint="eastAsia"/>
          <w:bCs/>
          <w:sz w:val="20"/>
          <w:szCs w:val="20"/>
        </w:rPr>
        <w:t>or</w:t>
      </w:r>
      <w:r w:rsidRPr="009B2B62">
        <w:rPr>
          <w:rFonts w:ascii="Arial" w:hAnsi="Arial" w:cs="Arial"/>
          <w:bCs/>
          <w:sz w:val="20"/>
          <w:szCs w:val="20"/>
        </w:rPr>
        <w:t xml:space="preserve"> </w:t>
      </w:r>
      <w:r w:rsidRPr="009B2B62">
        <w:rPr>
          <w:rFonts w:ascii="Arial" w:hAnsi="Arial" w:cs="Arial" w:hint="eastAsia"/>
          <w:bCs/>
          <w:sz w:val="20"/>
          <w:szCs w:val="20"/>
        </w:rPr>
        <w:t>non-</w:t>
      </w:r>
      <w:r w:rsidRPr="009B2B62">
        <w:rPr>
          <w:rFonts w:ascii="Arial" w:hAnsi="Arial" w:cs="Arial"/>
          <w:bCs/>
          <w:sz w:val="20"/>
          <w:szCs w:val="20"/>
        </w:rPr>
        <w:t xml:space="preserve">Asian </w:t>
      </w:r>
      <w:r w:rsidRPr="009B2B62">
        <w:rPr>
          <w:rFonts w:ascii="Arial" w:hAnsi="Arial" w:cs="Arial" w:hint="eastAsia"/>
          <w:bCs/>
          <w:sz w:val="20"/>
          <w:szCs w:val="20"/>
        </w:rPr>
        <w:t>patients</w:t>
      </w:r>
    </w:p>
    <w:tbl>
      <w:tblPr>
        <w:tblW w:w="140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80"/>
        <w:gridCol w:w="2567"/>
        <w:gridCol w:w="3543"/>
        <w:gridCol w:w="1134"/>
        <w:gridCol w:w="1701"/>
        <w:gridCol w:w="1418"/>
        <w:gridCol w:w="1276"/>
      </w:tblGrid>
      <w:tr w:rsidR="003F6741" w:rsidRPr="0096600C" w14:paraId="459194C2" w14:textId="77777777" w:rsidTr="00066780">
        <w:trPr>
          <w:trHeight w:val="660"/>
        </w:trPr>
        <w:tc>
          <w:tcPr>
            <w:tcW w:w="2380" w:type="dxa"/>
            <w:shd w:val="clear" w:color="000000" w:fill="BFBFBF"/>
            <w:vAlign w:val="center"/>
            <w:hideMark/>
          </w:tcPr>
          <w:p w14:paraId="2EEFF51C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Study ID</w:t>
            </w:r>
          </w:p>
        </w:tc>
        <w:tc>
          <w:tcPr>
            <w:tcW w:w="2567" w:type="dxa"/>
            <w:shd w:val="clear" w:color="000000" w:fill="BFBFBF"/>
            <w:vAlign w:val="center"/>
            <w:hideMark/>
          </w:tcPr>
          <w:p w14:paraId="469B08D1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Country</w:t>
            </w:r>
          </w:p>
        </w:tc>
        <w:tc>
          <w:tcPr>
            <w:tcW w:w="3543" w:type="dxa"/>
            <w:shd w:val="clear" w:color="000000" w:fill="BFBFBF"/>
            <w:vAlign w:val="center"/>
            <w:hideMark/>
          </w:tcPr>
          <w:p w14:paraId="44AE0501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Patients</w:t>
            </w:r>
          </w:p>
        </w:tc>
        <w:tc>
          <w:tcPr>
            <w:tcW w:w="1134" w:type="dxa"/>
            <w:shd w:val="clear" w:color="000000" w:fill="BFBFBF"/>
            <w:vAlign w:val="center"/>
            <w:hideMark/>
          </w:tcPr>
          <w:p w14:paraId="6302D15A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AUC</w:t>
            </w:r>
          </w:p>
        </w:tc>
        <w:tc>
          <w:tcPr>
            <w:tcW w:w="1701" w:type="dxa"/>
            <w:shd w:val="clear" w:color="000000" w:fill="BFBFBF"/>
            <w:noWrap/>
            <w:vAlign w:val="center"/>
            <w:hideMark/>
          </w:tcPr>
          <w:p w14:paraId="7E26494D" w14:textId="77777777" w:rsidR="003F6741" w:rsidRPr="0096600C" w:rsidRDefault="003F6741" w:rsidP="00043B70">
            <w:pPr>
              <w:widowControl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95% CI</w:t>
            </w:r>
          </w:p>
        </w:tc>
        <w:tc>
          <w:tcPr>
            <w:tcW w:w="1418" w:type="dxa"/>
            <w:shd w:val="clear" w:color="000000" w:fill="BFBFBF"/>
            <w:noWrap/>
            <w:vAlign w:val="center"/>
            <w:hideMark/>
          </w:tcPr>
          <w:p w14:paraId="1DD7067C" w14:textId="77777777" w:rsidR="003F6741" w:rsidRPr="0096600C" w:rsidRDefault="003F6741" w:rsidP="00043B70">
            <w:pPr>
              <w:widowControl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Sensitivity</w:t>
            </w:r>
          </w:p>
        </w:tc>
        <w:tc>
          <w:tcPr>
            <w:tcW w:w="1276" w:type="dxa"/>
            <w:shd w:val="clear" w:color="000000" w:fill="BFBFBF"/>
            <w:noWrap/>
            <w:vAlign w:val="center"/>
            <w:hideMark/>
          </w:tcPr>
          <w:p w14:paraId="5D209218" w14:textId="77777777" w:rsidR="003F6741" w:rsidRPr="0096600C" w:rsidRDefault="003F6741" w:rsidP="00043B70">
            <w:pPr>
              <w:widowControl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Specificity</w:t>
            </w:r>
          </w:p>
        </w:tc>
      </w:tr>
      <w:tr w:rsidR="003F6741" w:rsidRPr="0096600C" w14:paraId="4B8FB30E" w14:textId="77777777" w:rsidTr="00066780">
        <w:trPr>
          <w:trHeight w:val="720"/>
        </w:trPr>
        <w:tc>
          <w:tcPr>
            <w:tcW w:w="2380" w:type="dxa"/>
            <w:shd w:val="clear" w:color="auto" w:fill="auto"/>
            <w:vAlign w:val="center"/>
            <w:hideMark/>
          </w:tcPr>
          <w:p w14:paraId="7D04C1D8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131413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131413"/>
                <w:kern w:val="0"/>
                <w:sz w:val="22"/>
                <w:lang w:eastAsia="en-US"/>
              </w:rPr>
              <w:t>Liang et al, 2021</w:t>
            </w:r>
          </w:p>
        </w:tc>
        <w:tc>
          <w:tcPr>
            <w:tcW w:w="2567" w:type="dxa"/>
            <w:shd w:val="clear" w:color="auto" w:fill="auto"/>
            <w:vAlign w:val="center"/>
            <w:hideMark/>
          </w:tcPr>
          <w:p w14:paraId="3A8D86D6" w14:textId="77777777" w:rsidR="003F6741" w:rsidRPr="0096600C" w:rsidRDefault="00066780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Asian (</w:t>
            </w:r>
            <w:r w:rsidR="003F6741"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China</w:t>
            </w:r>
            <w:r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27A93E3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131413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131413"/>
                <w:kern w:val="0"/>
                <w:sz w:val="22"/>
                <w:lang w:eastAsia="en-US"/>
              </w:rPr>
              <w:t>Heart failure with preserved ejection fraction (</w:t>
            </w:r>
            <w:proofErr w:type="spellStart"/>
            <w:r w:rsidRPr="0096600C">
              <w:rPr>
                <w:rFonts w:ascii="Cambria" w:eastAsia="Times New Roman" w:hAnsi="Cambria" w:cs="Calibri"/>
                <w:color w:val="131413"/>
                <w:kern w:val="0"/>
                <w:sz w:val="22"/>
                <w:lang w:eastAsia="en-US"/>
              </w:rPr>
              <w:t>HFpEF</w:t>
            </w:r>
            <w:proofErr w:type="spellEnd"/>
            <w:r w:rsidRPr="0096600C">
              <w:rPr>
                <w:rFonts w:ascii="Cambria" w:eastAsia="Times New Roman" w:hAnsi="Cambria" w:cs="Calibri"/>
                <w:color w:val="131413"/>
                <w:kern w:val="0"/>
                <w:sz w:val="22"/>
                <w:lang w:eastAsia="en-US"/>
              </w:rPr>
              <w:t>) patients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8844A2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0.649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DBDB42B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0.640 -0.748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1B5D41A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89.67</w:t>
            </w:r>
            <w:r w:rsidR="00046105"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796B44C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94.23</w:t>
            </w:r>
            <w:r w:rsidR="00046105"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%</w:t>
            </w:r>
          </w:p>
        </w:tc>
      </w:tr>
      <w:tr w:rsidR="003F6741" w:rsidRPr="0096600C" w14:paraId="4D4B44AC" w14:textId="77777777" w:rsidTr="00066780">
        <w:trPr>
          <w:trHeight w:val="525"/>
        </w:trPr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2D50C0E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 xml:space="preserve"> Khurshid et al, 2021</w:t>
            </w:r>
          </w:p>
        </w:tc>
        <w:tc>
          <w:tcPr>
            <w:tcW w:w="2567" w:type="dxa"/>
            <w:shd w:val="clear" w:color="auto" w:fill="auto"/>
            <w:noWrap/>
            <w:vAlign w:val="center"/>
            <w:hideMark/>
          </w:tcPr>
          <w:p w14:paraId="223C6B7A" w14:textId="77777777" w:rsidR="003F6741" w:rsidRPr="0096600C" w:rsidRDefault="00CF0C82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Non-Asian (</w:t>
            </w:r>
            <w:r w:rsidR="003F6741"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USA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14:paraId="02F3DA80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Individuals with complete AF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12164C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0.683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EE4B7D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0.682 - 0.684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D2B7C7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78.25</w:t>
            </w:r>
            <w:r w:rsidR="00046105"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E11E10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51.58</w:t>
            </w:r>
            <w:r w:rsidR="00046105"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%</w:t>
            </w:r>
          </w:p>
        </w:tc>
      </w:tr>
      <w:tr w:rsidR="003F6741" w:rsidRPr="0096600C" w14:paraId="736CA7AC" w14:textId="77777777" w:rsidTr="00066780">
        <w:trPr>
          <w:trHeight w:val="525"/>
        </w:trPr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B9653DF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Hu and Lin, 2021b</w:t>
            </w:r>
          </w:p>
        </w:tc>
        <w:tc>
          <w:tcPr>
            <w:tcW w:w="2567" w:type="dxa"/>
            <w:shd w:val="clear" w:color="auto" w:fill="auto"/>
            <w:noWrap/>
            <w:vAlign w:val="center"/>
            <w:hideMark/>
          </w:tcPr>
          <w:p w14:paraId="311C869A" w14:textId="77777777" w:rsidR="003F6741" w:rsidRPr="0096600C" w:rsidRDefault="00066780" w:rsidP="004D44BE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Asian (</w:t>
            </w:r>
            <w:r w:rsidR="004D44BE"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Taiwan</w:t>
            </w:r>
            <w:r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14:paraId="2E648DB3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End-stage renal disease patients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9CD801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0.7895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177F3F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 xml:space="preserve"> 0.780 - 0.812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796868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94.8</w:t>
            </w:r>
            <w:r w:rsidR="00046105"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A7336C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89.8</w:t>
            </w:r>
            <w:r w:rsidR="00046105"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%</w:t>
            </w:r>
          </w:p>
        </w:tc>
      </w:tr>
      <w:tr w:rsidR="003F6741" w:rsidRPr="0096600C" w14:paraId="546CBEA0" w14:textId="77777777" w:rsidTr="00066780">
        <w:trPr>
          <w:trHeight w:val="525"/>
        </w:trPr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2A6971D7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Guo et al, 2021</w:t>
            </w:r>
          </w:p>
        </w:tc>
        <w:tc>
          <w:tcPr>
            <w:tcW w:w="2567" w:type="dxa"/>
            <w:shd w:val="clear" w:color="auto" w:fill="auto"/>
            <w:noWrap/>
            <w:vAlign w:val="center"/>
            <w:hideMark/>
          </w:tcPr>
          <w:p w14:paraId="2A40FE6D" w14:textId="77777777" w:rsidR="003F6741" w:rsidRPr="0096600C" w:rsidRDefault="00066780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Asian (</w:t>
            </w: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China</w:t>
            </w:r>
            <w:r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14:paraId="1A6D73B7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Population with Palpitations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FCFE55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0.73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B5EE53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0.689 - 0.745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84D247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75.01</w:t>
            </w:r>
            <w:r w:rsidR="00046105"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83A565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88.01</w:t>
            </w:r>
            <w:r w:rsidR="00046105"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%</w:t>
            </w:r>
          </w:p>
        </w:tc>
      </w:tr>
      <w:tr w:rsidR="003F6741" w:rsidRPr="0096600C" w14:paraId="307B3C6C" w14:textId="77777777" w:rsidTr="00066780">
        <w:trPr>
          <w:trHeight w:val="525"/>
        </w:trPr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AD9DD09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Hu and Lin, 2021a</w:t>
            </w:r>
          </w:p>
        </w:tc>
        <w:tc>
          <w:tcPr>
            <w:tcW w:w="2567" w:type="dxa"/>
            <w:shd w:val="clear" w:color="auto" w:fill="auto"/>
            <w:noWrap/>
            <w:vAlign w:val="center"/>
            <w:hideMark/>
          </w:tcPr>
          <w:p w14:paraId="4301851A" w14:textId="77777777" w:rsidR="003F6741" w:rsidRPr="0096600C" w:rsidRDefault="00066780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Asian (</w:t>
            </w:r>
            <w:r w:rsidR="004D44BE"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Taiwan</w:t>
            </w:r>
            <w:r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14:paraId="2C5C0067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Population with Palpitations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882D9B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0.5983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4A8A5E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0.5412 - 0.6160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DAB2A0A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70.88</w:t>
            </w:r>
            <w:r w:rsidR="00046105"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789F11" w14:textId="77777777" w:rsidR="003F6741" w:rsidRPr="0096600C" w:rsidRDefault="00D24164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96.4</w:t>
            </w:r>
            <w:r w:rsidR="00046105"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%</w:t>
            </w:r>
            <w:r w:rsidR="003F6741"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3F6741" w:rsidRPr="0096600C" w14:paraId="2D5DB3DC" w14:textId="77777777" w:rsidTr="00066780">
        <w:trPr>
          <w:trHeight w:val="525"/>
        </w:trPr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2C9CEA2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 xml:space="preserve"> </w:t>
            </w:r>
            <w:proofErr w:type="spellStart"/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Hulme</w:t>
            </w:r>
            <w:proofErr w:type="spellEnd"/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 xml:space="preserve"> et al, 2020</w:t>
            </w:r>
          </w:p>
        </w:tc>
        <w:tc>
          <w:tcPr>
            <w:tcW w:w="2567" w:type="dxa"/>
            <w:shd w:val="clear" w:color="auto" w:fill="auto"/>
            <w:noWrap/>
            <w:vAlign w:val="center"/>
            <w:hideMark/>
          </w:tcPr>
          <w:p w14:paraId="1308D6B3" w14:textId="77777777" w:rsidR="003F6741" w:rsidRPr="0096600C" w:rsidRDefault="00CF0C82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Non-Asian (</w:t>
            </w:r>
            <w:r w:rsidR="003F6741"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USA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14:paraId="55214D32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Population with Palpitations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9B6288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0.754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2006C6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0.747 - 0.762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B0AE13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66.9</w:t>
            </w:r>
            <w:r w:rsidR="00046105"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12E811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98.18</w:t>
            </w:r>
            <w:r w:rsidR="00046105"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%</w:t>
            </w:r>
          </w:p>
        </w:tc>
      </w:tr>
      <w:tr w:rsidR="003F6741" w:rsidRPr="0096600C" w14:paraId="3456343F" w14:textId="77777777" w:rsidTr="00066780">
        <w:trPr>
          <w:trHeight w:val="525"/>
        </w:trPr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7EC9D709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Lip et al, 2019</w:t>
            </w:r>
          </w:p>
        </w:tc>
        <w:tc>
          <w:tcPr>
            <w:tcW w:w="2567" w:type="dxa"/>
            <w:shd w:val="clear" w:color="auto" w:fill="auto"/>
            <w:noWrap/>
            <w:vAlign w:val="center"/>
            <w:hideMark/>
          </w:tcPr>
          <w:p w14:paraId="204B657D" w14:textId="77777777" w:rsidR="003F6741" w:rsidRPr="0096600C" w:rsidRDefault="00CF0C82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Non-Asian (</w:t>
            </w:r>
            <w:r w:rsidR="00E87DD1" w:rsidRPr="00E87DD1">
              <w:rPr>
                <w:rFonts w:ascii="Cambria" w:hAnsi="Cambria" w:cs="Arial"/>
                <w:sz w:val="22"/>
              </w:rPr>
              <w:t>Denmark</w:t>
            </w:r>
            <w:r>
              <w:rPr>
                <w:rFonts w:ascii="Cambria" w:hAnsi="Cambria" w:cs="Arial"/>
                <w:sz w:val="22"/>
              </w:rPr>
              <w:t>)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14:paraId="07813193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Population with Palpitations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577A9F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0.5921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07CB4C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0.5412 - 0.6160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0F22E3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78.5</w:t>
            </w:r>
            <w:r w:rsidR="00046105"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BA4E30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92.6</w:t>
            </w:r>
            <w:r w:rsidR="00046105"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%</w:t>
            </w:r>
          </w:p>
        </w:tc>
      </w:tr>
      <w:tr w:rsidR="003F6741" w:rsidRPr="0096600C" w14:paraId="74C409AA" w14:textId="77777777" w:rsidTr="00066780">
        <w:trPr>
          <w:trHeight w:val="525"/>
        </w:trPr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A1F2030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Li et al, 2019a</w:t>
            </w:r>
          </w:p>
        </w:tc>
        <w:tc>
          <w:tcPr>
            <w:tcW w:w="2567" w:type="dxa"/>
            <w:shd w:val="clear" w:color="auto" w:fill="auto"/>
            <w:noWrap/>
            <w:vAlign w:val="center"/>
            <w:hideMark/>
          </w:tcPr>
          <w:p w14:paraId="4722C055" w14:textId="77777777" w:rsidR="003F6741" w:rsidRPr="0096600C" w:rsidRDefault="007B7F06" w:rsidP="007B7F06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Non-Asian (France)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14:paraId="1B395020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Population with Palpitations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C3ADE7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0.734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F314F6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0.732 - 0.736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781B5B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68.7</w:t>
            </w:r>
            <w:r w:rsidR="00046105"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BE25FD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86.5</w:t>
            </w:r>
            <w:r w:rsidR="00046105"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%</w:t>
            </w:r>
          </w:p>
        </w:tc>
      </w:tr>
      <w:tr w:rsidR="003F6741" w:rsidRPr="0096600C" w14:paraId="466ADBDB" w14:textId="77777777" w:rsidTr="00066780">
        <w:trPr>
          <w:trHeight w:val="525"/>
        </w:trPr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1FB3A5C9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Li et al, 2019b</w:t>
            </w:r>
          </w:p>
        </w:tc>
        <w:tc>
          <w:tcPr>
            <w:tcW w:w="2567" w:type="dxa"/>
            <w:shd w:val="clear" w:color="auto" w:fill="auto"/>
            <w:noWrap/>
            <w:vAlign w:val="center"/>
            <w:hideMark/>
          </w:tcPr>
          <w:p w14:paraId="49EBE091" w14:textId="77777777" w:rsidR="003F6741" w:rsidRPr="0096600C" w:rsidRDefault="007B7F06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Asian (</w:t>
            </w: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China</w:t>
            </w:r>
            <w:r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14:paraId="7912FEA1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Population with Palpitations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BF4C2A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0.75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D9D3D5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0.730 - 0.771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A04D6B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78.6</w:t>
            </w:r>
            <w:r w:rsidR="00046105"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C7072B" w14:textId="77777777" w:rsidR="003F6741" w:rsidRPr="0096600C" w:rsidRDefault="003F6741" w:rsidP="0096600C">
            <w:pPr>
              <w:widowControl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</w:pPr>
            <w:r w:rsidRPr="0096600C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89.5</w:t>
            </w:r>
            <w:r w:rsidR="00046105" w:rsidRPr="00E87DD1">
              <w:rPr>
                <w:rFonts w:ascii="Cambria" w:eastAsia="Times New Roman" w:hAnsi="Cambria" w:cs="Calibri"/>
                <w:color w:val="000000"/>
                <w:kern w:val="0"/>
                <w:sz w:val="22"/>
                <w:lang w:eastAsia="en-US"/>
              </w:rPr>
              <w:t>%</w:t>
            </w:r>
          </w:p>
        </w:tc>
      </w:tr>
    </w:tbl>
    <w:p w14:paraId="0C81353B" w14:textId="77777777" w:rsidR="000B3886" w:rsidRPr="00AE378B" w:rsidRDefault="000B3886" w:rsidP="000B3886">
      <w:pPr>
        <w:rPr>
          <w:rFonts w:ascii="Arial" w:hAnsi="Arial" w:cs="Arial"/>
          <w:color w:val="000000" w:themeColor="text1"/>
          <w:sz w:val="20"/>
          <w:szCs w:val="20"/>
        </w:rPr>
      </w:pPr>
    </w:p>
    <w:bookmarkEnd w:id="0"/>
    <w:p w14:paraId="53E3D5A6" w14:textId="77777777" w:rsidR="000B3886" w:rsidRDefault="000B3886" w:rsidP="000B3886">
      <w:pPr>
        <w:rPr>
          <w:rFonts w:ascii="Arial" w:hAnsi="Arial" w:cs="Arial"/>
          <w:color w:val="000000" w:themeColor="text1"/>
          <w:sz w:val="20"/>
          <w:szCs w:val="20"/>
        </w:rPr>
      </w:pPr>
    </w:p>
    <w:sectPr w:rsidR="000B3886" w:rsidSect="000B3886">
      <w:pgSz w:w="16838" w:h="11906" w:orient="landscape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886"/>
    <w:rsid w:val="00043B70"/>
    <w:rsid w:val="00046105"/>
    <w:rsid w:val="00066780"/>
    <w:rsid w:val="00083132"/>
    <w:rsid w:val="000B3886"/>
    <w:rsid w:val="003F6741"/>
    <w:rsid w:val="00405279"/>
    <w:rsid w:val="004D44BE"/>
    <w:rsid w:val="007B7F06"/>
    <w:rsid w:val="00850A52"/>
    <w:rsid w:val="00872DCB"/>
    <w:rsid w:val="0096600C"/>
    <w:rsid w:val="009B2B62"/>
    <w:rsid w:val="009E3A3E"/>
    <w:rsid w:val="00CF0C82"/>
    <w:rsid w:val="00D24164"/>
    <w:rsid w:val="00DD30FD"/>
    <w:rsid w:val="00E359DB"/>
    <w:rsid w:val="00E87DD1"/>
    <w:rsid w:val="00E97B69"/>
    <w:rsid w:val="00EB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3719B"/>
  <w15:chartTrackingRefBased/>
  <w15:docId w15:val="{0FF2E2E2-BF0B-4CFA-85AB-2C10136C0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88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0"/>
    <w:rsid w:val="000B3886"/>
    <w:pPr>
      <w:jc w:val="center"/>
    </w:pPr>
    <w:rPr>
      <w:rFonts w:ascii="DengXian" w:eastAsia="DengXian" w:hAnsi="DengXian"/>
      <w:noProof/>
      <w:sz w:val="20"/>
      <w:szCs w:val="24"/>
    </w:rPr>
  </w:style>
  <w:style w:type="character" w:customStyle="1" w:styleId="EndNoteBibliography0">
    <w:name w:val="EndNote Bibliography 字符"/>
    <w:basedOn w:val="DefaultParagraphFont"/>
    <w:link w:val="EndNoteBibliography"/>
    <w:rsid w:val="000B3886"/>
    <w:rPr>
      <w:rFonts w:ascii="DengXian" w:eastAsia="DengXian" w:hAnsi="DengXian"/>
      <w:noProof/>
      <w:sz w:val="20"/>
      <w:szCs w:val="24"/>
    </w:rPr>
  </w:style>
  <w:style w:type="table" w:customStyle="1" w:styleId="11">
    <w:name w:val="无格式表格 11"/>
    <w:basedOn w:val="TableNormal"/>
    <w:uiPriority w:val="41"/>
    <w:rsid w:val="000B388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3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芸霖 陈</dc:creator>
  <cp:keywords/>
  <dc:description/>
  <cp:lastModifiedBy>Caroline Rubince G.</cp:lastModifiedBy>
  <cp:revision>19</cp:revision>
  <dcterms:created xsi:type="dcterms:W3CDTF">2021-03-02T12:27:00Z</dcterms:created>
  <dcterms:modified xsi:type="dcterms:W3CDTF">2021-11-16T04:54:00Z</dcterms:modified>
</cp:coreProperties>
</file>