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BE" w:rsidRPr="00927E5A" w:rsidRDefault="00CA06BE" w:rsidP="00CA06BE">
      <w:pPr>
        <w:bidi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27E5A">
        <w:rPr>
          <w:rFonts w:asciiTheme="majorBidi" w:hAnsiTheme="majorBidi" w:cstheme="majorBidi"/>
          <w:b/>
          <w:bCs/>
          <w:sz w:val="24"/>
          <w:szCs w:val="24"/>
        </w:rPr>
        <w:t>Supplementary data</w:t>
      </w:r>
    </w:p>
    <w:p w:rsidR="00CA06BE" w:rsidRPr="00927E5A" w:rsidRDefault="00CA06BE" w:rsidP="00CA06BE">
      <w:pPr>
        <w:pStyle w:val="Title"/>
        <w:bidi w:val="0"/>
        <w:spacing w:line="360" w:lineRule="auto"/>
        <w:rPr>
          <w:rFonts w:asciiTheme="majorBidi" w:hAnsiTheme="majorBidi"/>
          <w:sz w:val="24"/>
          <w:szCs w:val="24"/>
        </w:rPr>
      </w:pPr>
      <w:proofErr w:type="gramStart"/>
      <w:r w:rsidRPr="00927E5A">
        <w:rPr>
          <w:rFonts w:asciiTheme="majorBidi" w:hAnsiTheme="majorBidi"/>
          <w:b/>
          <w:bCs/>
          <w:sz w:val="24"/>
          <w:szCs w:val="24"/>
        </w:rPr>
        <w:t>Supplementary table 1</w:t>
      </w:r>
      <w:r w:rsidRPr="00927E5A">
        <w:rPr>
          <w:rFonts w:asciiTheme="majorBidi" w:hAnsiTheme="majorBidi"/>
          <w:sz w:val="24"/>
          <w:szCs w:val="24"/>
        </w:rPr>
        <w:t>.</w:t>
      </w:r>
      <w:proofErr w:type="gramEnd"/>
      <w:r w:rsidRPr="00927E5A">
        <w:rPr>
          <w:rFonts w:asciiTheme="majorBidi" w:hAnsiTheme="majorBidi"/>
          <w:sz w:val="24"/>
          <w:szCs w:val="24"/>
        </w:rPr>
        <w:t xml:space="preserve"> The syntax used for searching each database and the number of results on February 2023.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12"/>
        <w:gridCol w:w="10823"/>
        <w:gridCol w:w="1216"/>
        <w:gridCol w:w="1123"/>
      </w:tblGrid>
      <w:tr w:rsidR="00CA06BE" w:rsidRPr="00927E5A" w:rsidTr="00106041">
        <w:trPr>
          <w:trHeight w:val="567"/>
        </w:trPr>
        <w:tc>
          <w:tcPr>
            <w:tcW w:w="357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Database</w:t>
            </w:r>
          </w:p>
        </w:tc>
        <w:tc>
          <w:tcPr>
            <w:tcW w:w="381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Syntax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Number of results for each medication</w:t>
            </w:r>
          </w:p>
        </w:tc>
      </w:tr>
      <w:tr w:rsidR="00CA06BE" w:rsidRPr="00927E5A" w:rsidTr="00106041">
        <w:trPr>
          <w:trHeight w:val="567"/>
        </w:trPr>
        <w:tc>
          <w:tcPr>
            <w:tcW w:w="35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381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Venlafaxine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Duloxetine</w:t>
            </w:r>
          </w:p>
        </w:tc>
      </w:tr>
      <w:tr w:rsidR="00CA06BE" w:rsidRPr="00927E5A" w:rsidTr="00106041">
        <w:trPr>
          <w:trHeight w:val="1701"/>
        </w:trPr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PubMed</w:t>
            </w:r>
          </w:p>
        </w:tc>
        <w:tc>
          <w:tcPr>
            <w:tcW w:w="38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(“Drug name</w:t>
            </w:r>
            <w:r w:rsidRPr="00927E5A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  <w:r w:rsidRPr="00927E5A">
              <w:rPr>
                <w:rFonts w:asciiTheme="majorBidi" w:hAnsiTheme="majorBidi" w:cstheme="majorBidi"/>
                <w:sz w:val="18"/>
                <w:szCs w:val="18"/>
              </w:rPr>
              <w:t>”[</w:t>
            </w:r>
            <w:proofErr w:type="spellStart"/>
            <w:r w:rsidRPr="00927E5A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927E5A">
              <w:rPr>
                <w:rFonts w:asciiTheme="majorBidi" w:hAnsiTheme="majorBidi" w:cstheme="majorBidi"/>
                <w:sz w:val="18"/>
                <w:szCs w:val="18"/>
              </w:rPr>
              <w:t>]) AND (“attention deficit hyperactivity disorder”[</w:t>
            </w:r>
            <w:proofErr w:type="spellStart"/>
            <w:r w:rsidRPr="00927E5A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927E5A">
              <w:rPr>
                <w:rFonts w:asciiTheme="majorBidi" w:hAnsiTheme="majorBidi" w:cstheme="majorBidi"/>
                <w:sz w:val="18"/>
                <w:szCs w:val="18"/>
              </w:rPr>
              <w:t>] OR “'attention-deficit hyperactivity disorder”[</w:t>
            </w:r>
            <w:proofErr w:type="spellStart"/>
            <w:r w:rsidRPr="00927E5A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927E5A">
              <w:rPr>
                <w:rFonts w:asciiTheme="majorBidi" w:hAnsiTheme="majorBidi" w:cstheme="majorBidi"/>
                <w:sz w:val="18"/>
                <w:szCs w:val="18"/>
              </w:rPr>
              <w:t>] OR “ADHD”[</w:t>
            </w:r>
            <w:proofErr w:type="spellStart"/>
            <w:r w:rsidRPr="00927E5A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927E5A">
              <w:rPr>
                <w:rFonts w:asciiTheme="majorBidi" w:hAnsiTheme="majorBidi" w:cstheme="majorBidi"/>
                <w:sz w:val="18"/>
                <w:szCs w:val="18"/>
              </w:rPr>
              <w:t>] OR “hyperactivity”[</w:t>
            </w:r>
            <w:proofErr w:type="spellStart"/>
            <w:r w:rsidRPr="00927E5A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927E5A">
              <w:rPr>
                <w:rFonts w:asciiTheme="majorBidi" w:hAnsiTheme="majorBidi" w:cstheme="majorBidi"/>
                <w:sz w:val="18"/>
                <w:szCs w:val="18"/>
              </w:rPr>
              <w:t>] OR “ADD”[</w:t>
            </w:r>
            <w:proofErr w:type="spellStart"/>
            <w:r w:rsidRPr="00927E5A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927E5A">
              <w:rPr>
                <w:rFonts w:asciiTheme="majorBidi" w:hAnsiTheme="majorBidi" w:cstheme="majorBidi"/>
                <w:sz w:val="18"/>
                <w:szCs w:val="18"/>
              </w:rPr>
              <w:t>] OR “attention deficit disorder”[</w:t>
            </w:r>
            <w:proofErr w:type="spellStart"/>
            <w:r w:rsidRPr="00927E5A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927E5A">
              <w:rPr>
                <w:rFonts w:asciiTheme="majorBidi" w:hAnsiTheme="majorBidi" w:cstheme="majorBidi"/>
                <w:sz w:val="18"/>
                <w:szCs w:val="18"/>
              </w:rPr>
              <w:t>] OR “attention-deficit disorder”[</w:t>
            </w:r>
            <w:proofErr w:type="spellStart"/>
            <w:r w:rsidRPr="00927E5A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927E5A">
              <w:rPr>
                <w:rFonts w:asciiTheme="majorBidi" w:hAnsiTheme="majorBidi" w:cstheme="majorBidi"/>
                <w:sz w:val="18"/>
                <w:szCs w:val="18"/>
              </w:rPr>
              <w:t>])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113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48</w:t>
            </w:r>
          </w:p>
        </w:tc>
      </w:tr>
      <w:tr w:rsidR="00CA06BE" w:rsidRPr="00927E5A" w:rsidTr="00106041">
        <w:trPr>
          <w:trHeight w:val="1701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Web of Science</w:t>
            </w:r>
          </w:p>
        </w:tc>
        <w:tc>
          <w:tcPr>
            <w:tcW w:w="3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(TS=( Drug name)) AND (TS=(attention-deficit hyperactivity disorder) OR TS=(attention deficit hyperactivity disorder) OR TS=(ADHD) OR TS=(hyperactivity) OR TS=(ADD) OR TS=(attention deficit disorder) OR TS=(attention-deficit disorder))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314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144</w:t>
            </w:r>
          </w:p>
        </w:tc>
      </w:tr>
      <w:tr w:rsidR="00CA06BE" w:rsidRPr="00927E5A" w:rsidTr="00106041">
        <w:trPr>
          <w:trHeight w:val="1701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Scopus</w:t>
            </w:r>
          </w:p>
        </w:tc>
        <w:tc>
          <w:tcPr>
            <w:tcW w:w="3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(TITLE-ABS (Drug name)) AND (TITLE-ABS ( attention  AND deficit  AND hyperactivity  AND disorder )  OR  TITLE-ABS ( attention-deficit  AND hyperactivity  AND disorder )  OR  TITLE-ABS ( ADHD )  OR  TITLE-ABS ( hyperactivity )  OR  TITLE-ABS ( ADD )  OR  TITLE-ABS ( attention  AND deficit  AND disorder )  OR  TITLE-ABS ( attention-deficit  AND disorder ))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146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65</w:t>
            </w:r>
          </w:p>
        </w:tc>
      </w:tr>
      <w:tr w:rsidR="00CA06BE" w:rsidRPr="00927E5A" w:rsidTr="00106041">
        <w:trPr>
          <w:trHeight w:val="737"/>
        </w:trPr>
        <w:tc>
          <w:tcPr>
            <w:tcW w:w="4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Overall number of studies for each drug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573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27E5A">
              <w:rPr>
                <w:rFonts w:asciiTheme="majorBidi" w:hAnsiTheme="majorBidi" w:cstheme="majorBidi"/>
                <w:sz w:val="18"/>
                <w:szCs w:val="18"/>
              </w:rPr>
              <w:t>257</w:t>
            </w:r>
          </w:p>
        </w:tc>
      </w:tr>
    </w:tbl>
    <w:p w:rsidR="00CA06BE" w:rsidRPr="00927E5A" w:rsidRDefault="00CA06BE" w:rsidP="00CA06BE">
      <w:pPr>
        <w:bidi w:val="0"/>
      </w:pPr>
    </w:p>
    <w:p w:rsidR="00CA06BE" w:rsidRPr="00927E5A" w:rsidRDefault="00CA06BE" w:rsidP="00CA06BE">
      <w:p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27E5A">
        <w:rPr>
          <w:rFonts w:asciiTheme="majorBidi" w:hAnsiTheme="majorBidi" w:cstheme="majorBidi"/>
          <w:sz w:val="24"/>
          <w:szCs w:val="24"/>
        </w:rPr>
        <w:t xml:space="preserve">* </w:t>
      </w:r>
      <w:proofErr w:type="gramStart"/>
      <w:r w:rsidRPr="00927E5A">
        <w:rPr>
          <w:rFonts w:asciiTheme="majorBidi" w:hAnsiTheme="majorBidi" w:cstheme="majorBidi"/>
          <w:sz w:val="24"/>
          <w:szCs w:val="24"/>
        </w:rPr>
        <w:t>venlafaxine</w:t>
      </w:r>
      <w:proofErr w:type="gramEnd"/>
      <w:r w:rsidRPr="00927E5A">
        <w:rPr>
          <w:rFonts w:asciiTheme="majorBidi" w:hAnsiTheme="majorBidi" w:cstheme="majorBidi"/>
          <w:sz w:val="24"/>
          <w:szCs w:val="24"/>
        </w:rPr>
        <w:t xml:space="preserve"> or duloxetine</w:t>
      </w:r>
    </w:p>
    <w:p w:rsidR="00CA06BE" w:rsidRPr="00927E5A" w:rsidRDefault="00CA06BE" w:rsidP="00CA06BE">
      <w:pPr>
        <w:bidi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A06BE" w:rsidRPr="00927E5A" w:rsidRDefault="00CA06BE" w:rsidP="00CA06BE">
      <w:pPr>
        <w:bidi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  <w:sectPr w:rsidR="00CA06BE" w:rsidRPr="00927E5A" w:rsidSect="00DF052D">
          <w:pgSz w:w="16838" w:h="11906" w:orient="landscape" w:code="9"/>
          <w:pgMar w:top="1440" w:right="1440" w:bottom="1440" w:left="1440" w:header="709" w:footer="709" w:gutter="0"/>
          <w:lnNumType w:countBy="1" w:restart="continuous"/>
          <w:cols w:space="708"/>
          <w:rtlGutter/>
          <w:docGrid w:linePitch="360"/>
        </w:sectPr>
      </w:pPr>
    </w:p>
    <w:p w:rsidR="00CA06BE" w:rsidRPr="00927E5A" w:rsidRDefault="00CA06BE" w:rsidP="00CA06BE">
      <w:pPr>
        <w:bidi w:val="0"/>
        <w:rPr>
          <w:rFonts w:asciiTheme="majorBidi" w:hAnsiTheme="majorBidi" w:cstheme="majorBidi"/>
          <w:sz w:val="24"/>
          <w:szCs w:val="24"/>
        </w:rPr>
      </w:pPr>
      <w:proofErr w:type="gramStart"/>
      <w:r w:rsidRPr="00927E5A">
        <w:rPr>
          <w:rFonts w:asciiTheme="majorBidi" w:hAnsiTheme="majorBidi" w:cstheme="majorBidi"/>
          <w:b/>
          <w:bCs/>
          <w:sz w:val="24"/>
          <w:szCs w:val="24"/>
        </w:rPr>
        <w:t>Supplementary ta</w:t>
      </w:r>
      <w:r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927E5A">
        <w:rPr>
          <w:rFonts w:asciiTheme="majorBidi" w:hAnsiTheme="majorBidi" w:cstheme="majorBidi"/>
          <w:b/>
          <w:bCs/>
          <w:sz w:val="24"/>
          <w:szCs w:val="24"/>
        </w:rPr>
        <w:t>le 2.</w:t>
      </w:r>
      <w:proofErr w:type="gramEnd"/>
      <w:r w:rsidRPr="00927E5A">
        <w:rPr>
          <w:rFonts w:asciiTheme="majorBidi" w:hAnsiTheme="majorBidi" w:cstheme="majorBidi"/>
          <w:sz w:val="24"/>
          <w:szCs w:val="24"/>
        </w:rPr>
        <w:t xml:space="preserve"> The results of meta-regression analysis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2"/>
        <w:gridCol w:w="3685"/>
        <w:gridCol w:w="1809"/>
        <w:gridCol w:w="2608"/>
      </w:tblGrid>
      <w:tr w:rsidR="00CA06BE" w:rsidRPr="00927E5A" w:rsidTr="00106041">
        <w:trPr>
          <w:trHeight w:val="576"/>
        </w:trPr>
        <w:tc>
          <w:tcPr>
            <w:tcW w:w="2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7E5A">
              <w:rPr>
                <w:rFonts w:asciiTheme="majorBidi" w:hAnsiTheme="majorBidi" w:cstheme="majorBidi"/>
                <w:b/>
                <w:bCs/>
              </w:rPr>
              <w:t>Moderator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7E5A">
              <w:rPr>
                <w:rFonts w:asciiTheme="majorBidi" w:hAnsiTheme="majorBidi" w:cstheme="majorBidi"/>
                <w:b/>
                <w:bCs/>
              </w:rPr>
              <w:t>Coefficient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Standard Error</w:t>
            </w: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7E5A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CA06BE" w:rsidRPr="00927E5A" w:rsidTr="00106041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SNRIs in ADHD</w:t>
            </w:r>
          </w:p>
        </w:tc>
      </w:tr>
      <w:tr w:rsidR="00CA06BE" w:rsidRPr="00927E5A" w:rsidTr="00106041">
        <w:tc>
          <w:tcPr>
            <w:tcW w:w="2142" w:type="pct"/>
            <w:tcBorders>
              <w:top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Percentage of males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0.40</w:t>
            </w:r>
          </w:p>
        </w:tc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0.82</w:t>
            </w:r>
          </w:p>
        </w:tc>
        <w:tc>
          <w:tcPr>
            <w:tcW w:w="920" w:type="pct"/>
            <w:tcBorders>
              <w:top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0.62</w:t>
            </w:r>
          </w:p>
        </w:tc>
      </w:tr>
      <w:tr w:rsidR="00CA06BE" w:rsidRPr="00927E5A" w:rsidTr="00106041">
        <w:tc>
          <w:tcPr>
            <w:tcW w:w="2142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Trial duration</w:t>
            </w:r>
          </w:p>
        </w:tc>
        <w:tc>
          <w:tcPr>
            <w:tcW w:w="1300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-0.01</w:t>
            </w:r>
          </w:p>
        </w:tc>
        <w:tc>
          <w:tcPr>
            <w:tcW w:w="638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920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0.98</w:t>
            </w:r>
          </w:p>
        </w:tc>
      </w:tr>
      <w:tr w:rsidR="00CA06BE" w:rsidRPr="00927E5A" w:rsidTr="00106041">
        <w:tc>
          <w:tcPr>
            <w:tcW w:w="2142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lang w:bidi="fa-IR"/>
              </w:rPr>
              <w:t>Age range</w:t>
            </w:r>
          </w:p>
        </w:tc>
        <w:tc>
          <w:tcPr>
            <w:tcW w:w="1300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-0.94</w:t>
            </w:r>
          </w:p>
        </w:tc>
        <w:tc>
          <w:tcPr>
            <w:tcW w:w="638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1.04</w:t>
            </w:r>
          </w:p>
        </w:tc>
        <w:tc>
          <w:tcPr>
            <w:tcW w:w="920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0.36</w:t>
            </w:r>
          </w:p>
        </w:tc>
      </w:tr>
      <w:tr w:rsidR="00CA06BE" w:rsidRPr="00927E5A" w:rsidTr="00106041"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lang w:bidi="fa-IR"/>
              </w:rPr>
              <w:t>Medication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-1.63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0.99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0.1</w:t>
            </w: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CA06BE" w:rsidRPr="00927E5A" w:rsidTr="00106041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Venlafaxine in ADHD (total)</w:t>
            </w:r>
          </w:p>
        </w:tc>
      </w:tr>
      <w:tr w:rsidR="00CA06BE" w:rsidRPr="00927E5A" w:rsidTr="00106041">
        <w:tc>
          <w:tcPr>
            <w:tcW w:w="2142" w:type="pct"/>
            <w:tcBorders>
              <w:top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Percentage of males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3.33</w:t>
            </w:r>
          </w:p>
        </w:tc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1.48</w:t>
            </w:r>
          </w:p>
        </w:tc>
        <w:tc>
          <w:tcPr>
            <w:tcW w:w="920" w:type="pct"/>
            <w:tcBorders>
              <w:top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&lt;0.05</w:t>
            </w:r>
          </w:p>
        </w:tc>
      </w:tr>
      <w:tr w:rsidR="00CA06BE" w:rsidRPr="00927E5A" w:rsidTr="00106041">
        <w:tc>
          <w:tcPr>
            <w:tcW w:w="2142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Trial duration</w:t>
            </w:r>
          </w:p>
        </w:tc>
        <w:tc>
          <w:tcPr>
            <w:tcW w:w="1300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1.48</w:t>
            </w:r>
          </w:p>
        </w:tc>
        <w:tc>
          <w:tcPr>
            <w:tcW w:w="638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</w:t>
            </w:r>
          </w:p>
        </w:tc>
        <w:tc>
          <w:tcPr>
            <w:tcW w:w="920" w:type="pct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0.13</w:t>
            </w:r>
          </w:p>
        </w:tc>
      </w:tr>
      <w:tr w:rsidR="00CA06BE" w:rsidRPr="00927E5A" w:rsidTr="00106041"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Age range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2.09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1.32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0.11</w:t>
            </w:r>
          </w:p>
        </w:tc>
      </w:tr>
    </w:tbl>
    <w:p w:rsidR="00CA06BE" w:rsidRPr="00927E5A" w:rsidRDefault="00CA06BE" w:rsidP="00CA06BE">
      <w:pPr>
        <w:rPr>
          <w:rFonts w:asciiTheme="majorBidi" w:hAnsiTheme="majorBidi" w:cstheme="majorBidi"/>
          <w:sz w:val="24"/>
          <w:szCs w:val="24"/>
        </w:rPr>
      </w:pPr>
    </w:p>
    <w:p w:rsidR="00CA06BE" w:rsidRPr="00927E5A" w:rsidRDefault="00CA06BE" w:rsidP="00CA06BE">
      <w:pPr>
        <w:rPr>
          <w:rFonts w:asciiTheme="majorBidi" w:hAnsiTheme="majorBidi" w:cstheme="majorBidi"/>
          <w:sz w:val="24"/>
          <w:szCs w:val="24"/>
        </w:rPr>
      </w:pPr>
    </w:p>
    <w:p w:rsidR="00CA06BE" w:rsidRDefault="00CA06BE" w:rsidP="00CA06BE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CA06BE" w:rsidRPr="00927E5A" w:rsidRDefault="00CA06BE" w:rsidP="00CA06BE">
      <w:pPr>
        <w:bidi w:val="0"/>
        <w:rPr>
          <w:rFonts w:asciiTheme="majorBidi" w:hAnsiTheme="majorBidi" w:cstheme="majorBidi"/>
          <w:sz w:val="24"/>
          <w:szCs w:val="24"/>
        </w:rPr>
      </w:pPr>
      <w:proofErr w:type="gramStart"/>
      <w:r w:rsidRPr="00927E5A">
        <w:rPr>
          <w:rFonts w:asciiTheme="majorBidi" w:hAnsiTheme="majorBidi" w:cstheme="majorBidi"/>
          <w:b/>
          <w:bCs/>
          <w:sz w:val="24"/>
          <w:szCs w:val="24"/>
        </w:rPr>
        <w:t>Supplementary ta</w:t>
      </w:r>
      <w:r>
        <w:rPr>
          <w:rFonts w:asciiTheme="majorBidi" w:hAnsiTheme="majorBidi" w:cstheme="majorBidi"/>
          <w:b/>
          <w:bCs/>
          <w:sz w:val="24"/>
          <w:szCs w:val="24"/>
        </w:rPr>
        <w:t>ble 3</w:t>
      </w:r>
      <w:r w:rsidRPr="00927E5A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Pr="00927E5A">
        <w:rPr>
          <w:rFonts w:asciiTheme="majorBidi" w:hAnsiTheme="majorBidi" w:cstheme="majorBidi"/>
          <w:sz w:val="24"/>
          <w:szCs w:val="24"/>
        </w:rPr>
        <w:t xml:space="preserve"> The results of the subgroup analysis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23"/>
        <w:gridCol w:w="2472"/>
        <w:gridCol w:w="1976"/>
        <w:gridCol w:w="1939"/>
        <w:gridCol w:w="930"/>
        <w:gridCol w:w="227"/>
        <w:gridCol w:w="1585"/>
        <w:gridCol w:w="930"/>
        <w:gridCol w:w="227"/>
        <w:gridCol w:w="1865"/>
      </w:tblGrid>
      <w:tr w:rsidR="00CA06BE" w:rsidRPr="00927E5A" w:rsidTr="00106041">
        <w:trPr>
          <w:trHeight w:val="558"/>
        </w:trPr>
        <w:tc>
          <w:tcPr>
            <w:tcW w:w="71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Moderator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7E5A">
              <w:rPr>
                <w:rFonts w:asciiTheme="majorBidi" w:hAnsiTheme="majorBidi" w:cstheme="majorBidi"/>
                <w:b/>
                <w:bCs/>
              </w:rPr>
              <w:t>Subgroup</w:t>
            </w:r>
            <w:r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Number of studies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Effect size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Heterogeneity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Group difference</w:t>
            </w:r>
          </w:p>
        </w:tc>
      </w:tr>
      <w:tr w:rsidR="00CA06BE" w:rsidRPr="00927E5A" w:rsidTr="00106041">
        <w:trPr>
          <w:trHeight w:val="558"/>
        </w:trPr>
        <w:tc>
          <w:tcPr>
            <w:tcW w:w="71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7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9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7E5A">
              <w:rPr>
                <w:rFonts w:asciiTheme="majorBidi" w:hAnsiTheme="majorBidi" w:cstheme="majorBidi"/>
                <w:b/>
                <w:bCs/>
              </w:rPr>
              <w:t>SMD</w:t>
            </w:r>
            <w:r>
              <w:rPr>
                <w:rFonts w:asciiTheme="majorBidi" w:hAnsiTheme="majorBidi" w:cstheme="majorBidi"/>
                <w:b/>
                <w:bCs/>
              </w:rPr>
              <w:t xml:space="preserve"> [95%CI]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7E5A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I-squared (%)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CA06BE" w:rsidRPr="00927E5A" w:rsidTr="00106041">
        <w:trPr>
          <w:trHeight w:val="288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86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SNRIs in ADHD</w:t>
            </w:r>
          </w:p>
        </w:tc>
      </w:tr>
      <w:tr w:rsidR="00CA06BE" w:rsidRPr="00927E5A" w:rsidTr="00106041"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 xml:space="preserve">Age range 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Children and adolescents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-1.73</w:t>
            </w:r>
            <w:r>
              <w:rPr>
                <w:rFonts w:asciiTheme="majorBidi" w:hAnsiTheme="majorBidi" w:cstheme="majorBidi"/>
              </w:rPr>
              <w:t xml:space="preserve"> [-2.51, -0.96]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78.43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8343F3">
              <w:rPr>
                <w:rFonts w:asciiTheme="majorBidi" w:hAnsiTheme="majorBidi" w:cs="Times New Roman"/>
                <w:rtl/>
              </w:rPr>
              <w:t>0.247</w:t>
            </w:r>
          </w:p>
        </w:tc>
      </w:tr>
      <w:tr w:rsidR="00CA06BE" w:rsidRPr="00927E5A" w:rsidTr="00106041">
        <w:tc>
          <w:tcPr>
            <w:tcW w:w="71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Adults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-2.75</w:t>
            </w:r>
            <w:r>
              <w:rPr>
                <w:rFonts w:asciiTheme="majorBidi" w:hAnsiTheme="majorBidi" w:cstheme="majorBidi"/>
              </w:rPr>
              <w:t xml:space="preserve"> [-4.30, -1.21]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90.13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rPr>
          <w:trHeight w:val="144"/>
        </w:trPr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 xml:space="preserve">Percentage of males 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40–60%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-2.61</w:t>
            </w:r>
            <w:r>
              <w:rPr>
                <w:rFonts w:asciiTheme="majorBidi" w:hAnsiTheme="majorBidi" w:cstheme="majorBidi"/>
              </w:rPr>
              <w:t xml:space="preserve"> [-3.63, -1.57]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72.45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&lt;0.05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8343F3">
              <w:rPr>
                <w:rFonts w:asciiTheme="majorBidi" w:hAnsiTheme="majorBidi" w:cs="Times New Roman"/>
                <w:rtl/>
              </w:rPr>
              <w:t>0.208</w:t>
            </w:r>
          </w:p>
        </w:tc>
      </w:tr>
      <w:tr w:rsidR="00CA06BE" w:rsidRPr="00927E5A" w:rsidTr="00106041">
        <w:tc>
          <w:tcPr>
            <w:tcW w:w="7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60–80%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-2.44</w:t>
            </w:r>
            <w:r>
              <w:rPr>
                <w:rFonts w:asciiTheme="majorBidi" w:hAnsiTheme="majorBidi" w:cstheme="majorBidi"/>
              </w:rPr>
              <w:t xml:space="preserve"> [-4.29, -0.59]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93.56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c>
          <w:tcPr>
            <w:tcW w:w="71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80–100%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-1.22</w:t>
            </w:r>
            <w:r>
              <w:rPr>
                <w:rFonts w:asciiTheme="majorBidi" w:hAnsiTheme="majorBidi" w:cstheme="majorBidi"/>
              </w:rPr>
              <w:t xml:space="preserve"> [-2.41, -0.03]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</w:t>
            </w: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77.92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&lt;0.05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Mean age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&lt;20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-1.74 [-2.51, -0.96]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78.43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8343F3">
              <w:rPr>
                <w:rFonts w:asciiTheme="majorBidi" w:hAnsiTheme="majorBidi" w:cs="Times New Roman"/>
                <w:rtl/>
              </w:rPr>
              <w:t>0.247</w:t>
            </w:r>
          </w:p>
        </w:tc>
      </w:tr>
      <w:tr w:rsidR="00CA06BE" w:rsidRPr="00927E5A" w:rsidTr="00106041">
        <w:tc>
          <w:tcPr>
            <w:tcW w:w="71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&gt;20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-2.75 [-4.30, -1.21]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90.13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Trial duration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&lt; 6 weeks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-0.81</w:t>
            </w:r>
            <w:r>
              <w:rPr>
                <w:rFonts w:asciiTheme="majorBidi" w:hAnsiTheme="majorBidi" w:cstheme="majorBidi"/>
              </w:rPr>
              <w:t xml:space="preserve"> [-1.20, -0.43]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00.00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0.38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&lt;0.01</w:t>
            </w:r>
          </w:p>
        </w:tc>
      </w:tr>
      <w:tr w:rsidR="00CA06BE" w:rsidRPr="00927E5A" w:rsidTr="00106041">
        <w:tc>
          <w:tcPr>
            <w:tcW w:w="7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= 6 weeks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-2.82</w:t>
            </w:r>
            <w:r>
              <w:rPr>
                <w:rFonts w:asciiTheme="majorBidi" w:hAnsiTheme="majorBidi" w:cstheme="majorBidi"/>
              </w:rPr>
              <w:t xml:space="preserve"> [-3.91, -1.72]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84.73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3E398B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:rsidR="00CA06BE" w:rsidRPr="003E398B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c>
          <w:tcPr>
            <w:tcW w:w="71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&gt; 6 weeks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-1.88</w:t>
            </w:r>
            <w:r>
              <w:rPr>
                <w:rFonts w:asciiTheme="majorBidi" w:hAnsiTheme="majorBidi" w:cstheme="majorBidi"/>
              </w:rPr>
              <w:t xml:space="preserve"> [-2.79, -0.96]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25.78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16376D">
              <w:rPr>
                <w:rFonts w:asciiTheme="majorBidi" w:hAnsiTheme="majorBidi" w:cstheme="majorBidi"/>
              </w:rPr>
              <w:t>0.246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16376D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16376D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rPr>
          <w:trHeight w:val="288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Venlafaxine in ADHD (total)</w:t>
            </w:r>
          </w:p>
        </w:tc>
      </w:tr>
      <w:tr w:rsidR="00CA06BE" w:rsidRPr="00927E5A" w:rsidTr="00106041">
        <w:tc>
          <w:tcPr>
            <w:tcW w:w="71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927E5A">
              <w:rPr>
                <w:rFonts w:asciiTheme="majorBidi" w:hAnsiTheme="majorBidi" w:cstheme="majorBidi"/>
                <w:noProof/>
              </w:rPr>
              <w:t>Age range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Children and adolescents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-1.45 [-2.53, -0.38]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85.56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0.39</w:t>
            </w:r>
          </w:p>
        </w:tc>
      </w:tr>
      <w:tr w:rsidR="00CA06BE" w:rsidRPr="00927E5A" w:rsidTr="00106041">
        <w:tc>
          <w:tcPr>
            <w:tcW w:w="71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Adults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-2.18 [-3.45, -0.91]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85.50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c>
          <w:tcPr>
            <w:tcW w:w="71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 xml:space="preserve">Percentage of males 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  <w:r>
              <w:rPr>
                <w:rFonts w:asciiTheme="majorBidi" w:hAnsiTheme="majorBidi" w:cstheme="majorBidi"/>
                <w:noProof/>
              </w:rPr>
              <w:t>40-60%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-2.60 [-4.06, -1.14]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81.11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&lt;0.05</w:t>
            </w:r>
          </w:p>
        </w:tc>
      </w:tr>
      <w:tr w:rsidR="00CA06BE" w:rsidRPr="00927E5A" w:rsidTr="00106041">
        <w:tc>
          <w:tcPr>
            <w:tcW w:w="71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  <w:r>
              <w:rPr>
                <w:rFonts w:asciiTheme="majorBidi" w:hAnsiTheme="majorBidi" w:cstheme="majorBidi"/>
                <w:noProof/>
              </w:rPr>
              <w:t>60-80%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-1.59 [-2.50, -0.69]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74.50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c>
          <w:tcPr>
            <w:tcW w:w="71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  <w:r>
              <w:rPr>
                <w:rFonts w:asciiTheme="majorBidi" w:hAnsiTheme="majorBidi" w:cstheme="majorBidi"/>
                <w:noProof/>
              </w:rPr>
              <w:t>80-100%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-0.70 [-1.16, -0.23]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c>
          <w:tcPr>
            <w:tcW w:w="71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Mean age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&lt;20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-1.45</w:t>
            </w:r>
            <w:r>
              <w:rPr>
                <w:rFonts w:asciiTheme="majorBidi" w:hAnsiTheme="majorBidi" w:cstheme="majorBidi"/>
              </w:rPr>
              <w:t xml:space="preserve"> [-2.53, -0.38]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85.56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0.39</w:t>
            </w:r>
          </w:p>
        </w:tc>
      </w:tr>
      <w:tr w:rsidR="00CA06BE" w:rsidRPr="00927E5A" w:rsidTr="00106041">
        <w:tc>
          <w:tcPr>
            <w:tcW w:w="71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&gt;20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-2.18</w:t>
            </w:r>
            <w:r>
              <w:rPr>
                <w:rFonts w:asciiTheme="majorBidi" w:hAnsiTheme="majorBidi" w:cstheme="majorBidi"/>
              </w:rPr>
              <w:t xml:space="preserve"> [-3.46, -0.91]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85.50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Trial duration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&lt; 6 weeks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-0.81</w:t>
            </w:r>
            <w:r>
              <w:rPr>
                <w:rFonts w:asciiTheme="majorBidi" w:hAnsiTheme="majorBidi" w:cstheme="majorBidi"/>
              </w:rPr>
              <w:t xml:space="preserve"> [-1.20, -0.43]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0.38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&lt;0.05</w:t>
            </w:r>
          </w:p>
        </w:tc>
      </w:tr>
      <w:tr w:rsidR="00CA06BE" w:rsidRPr="00927E5A" w:rsidTr="00106041">
        <w:tc>
          <w:tcPr>
            <w:tcW w:w="71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= 6 weeks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-2.56</w:t>
            </w:r>
            <w:r>
              <w:rPr>
                <w:rFonts w:asciiTheme="majorBidi" w:hAnsiTheme="majorBidi" w:cstheme="majorBidi"/>
              </w:rPr>
              <w:t xml:space="preserve"> [-4.08, -1.03]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88.15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A06BE" w:rsidRPr="00927E5A" w:rsidTr="00106041">
        <w:tc>
          <w:tcPr>
            <w:tcW w:w="71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  <w:noProof/>
              </w:rPr>
              <w:t>&gt; 6 weeks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 w:rsidRPr="00927E5A">
              <w:rPr>
                <w:rFonts w:asciiTheme="majorBidi" w:hAnsiTheme="majorBidi" w:cstheme="majorBidi"/>
              </w:rPr>
              <w:t>-1.88</w:t>
            </w:r>
            <w:r>
              <w:rPr>
                <w:rFonts w:asciiTheme="majorBidi" w:hAnsiTheme="majorBidi" w:cstheme="majorBidi"/>
              </w:rPr>
              <w:t xml:space="preserve"> [-2.79, -0.96]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25.78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0.24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06BE" w:rsidRPr="00927E5A" w:rsidRDefault="00CA06BE" w:rsidP="00106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CA06BE" w:rsidRPr="00967BF0" w:rsidRDefault="00CA06BE" w:rsidP="00CA06BE">
      <w:pPr>
        <w:rPr>
          <w:rFonts w:asciiTheme="majorBidi" w:hAnsiTheme="majorBidi" w:cstheme="majorBidi"/>
          <w:sz w:val="24"/>
          <w:szCs w:val="24"/>
        </w:rPr>
      </w:pPr>
    </w:p>
    <w:p w:rsidR="007C2CAF" w:rsidRDefault="007C2CAF">
      <w:bookmarkStart w:id="0" w:name="_GoBack"/>
      <w:bookmarkEnd w:id="0"/>
    </w:p>
    <w:sectPr w:rsidR="007C2CAF" w:rsidSect="00117523">
      <w:pgSz w:w="16838" w:h="11906" w:orient="landscape" w:code="9"/>
      <w:pgMar w:top="1440" w:right="1440" w:bottom="1440" w:left="1440" w:header="706" w:footer="706" w:gutter="0"/>
      <w:lnNumType w:countBy="1" w:restart="continuous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BE"/>
    <w:rsid w:val="000044C2"/>
    <w:rsid w:val="00022B62"/>
    <w:rsid w:val="00092C50"/>
    <w:rsid w:val="000A3935"/>
    <w:rsid w:val="000E0A1E"/>
    <w:rsid w:val="0016155D"/>
    <w:rsid w:val="001A1556"/>
    <w:rsid w:val="001B01D8"/>
    <w:rsid w:val="001B40C1"/>
    <w:rsid w:val="001D0CC5"/>
    <w:rsid w:val="0026314F"/>
    <w:rsid w:val="002A0993"/>
    <w:rsid w:val="002A1F36"/>
    <w:rsid w:val="00324375"/>
    <w:rsid w:val="003317D1"/>
    <w:rsid w:val="00396D59"/>
    <w:rsid w:val="003A772A"/>
    <w:rsid w:val="003C1901"/>
    <w:rsid w:val="003D5898"/>
    <w:rsid w:val="004801ED"/>
    <w:rsid w:val="00493054"/>
    <w:rsid w:val="004B18C4"/>
    <w:rsid w:val="00512A02"/>
    <w:rsid w:val="00591C13"/>
    <w:rsid w:val="005D7CA8"/>
    <w:rsid w:val="005F310E"/>
    <w:rsid w:val="00615BEA"/>
    <w:rsid w:val="00656715"/>
    <w:rsid w:val="00721747"/>
    <w:rsid w:val="00734FFC"/>
    <w:rsid w:val="007C2CAF"/>
    <w:rsid w:val="007F03D6"/>
    <w:rsid w:val="0086426A"/>
    <w:rsid w:val="008A134B"/>
    <w:rsid w:val="008C427E"/>
    <w:rsid w:val="008D04B4"/>
    <w:rsid w:val="0090269E"/>
    <w:rsid w:val="00923562"/>
    <w:rsid w:val="009632E2"/>
    <w:rsid w:val="00996303"/>
    <w:rsid w:val="009C3230"/>
    <w:rsid w:val="009C78F9"/>
    <w:rsid w:val="009D71F8"/>
    <w:rsid w:val="00A019FE"/>
    <w:rsid w:val="00A624BC"/>
    <w:rsid w:val="00AC738A"/>
    <w:rsid w:val="00AE663A"/>
    <w:rsid w:val="00B662F3"/>
    <w:rsid w:val="00B81AE0"/>
    <w:rsid w:val="00BD2C1A"/>
    <w:rsid w:val="00BE6D04"/>
    <w:rsid w:val="00C54882"/>
    <w:rsid w:val="00C63E04"/>
    <w:rsid w:val="00CA06BE"/>
    <w:rsid w:val="00CE35FC"/>
    <w:rsid w:val="00CE59F6"/>
    <w:rsid w:val="00D0059F"/>
    <w:rsid w:val="00E53913"/>
    <w:rsid w:val="00E77CD0"/>
    <w:rsid w:val="00EE4BC3"/>
    <w:rsid w:val="00F078B6"/>
    <w:rsid w:val="00F12BEC"/>
    <w:rsid w:val="00F36D18"/>
    <w:rsid w:val="00F51CE4"/>
    <w:rsid w:val="00F567EF"/>
    <w:rsid w:val="00F8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6BE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A06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neNumber">
    <w:name w:val="line number"/>
    <w:basedOn w:val="DefaultParagraphFont"/>
    <w:uiPriority w:val="99"/>
    <w:semiHidden/>
    <w:unhideWhenUsed/>
    <w:rsid w:val="00CA06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6BE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A06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neNumber">
    <w:name w:val="line number"/>
    <w:basedOn w:val="DefaultParagraphFont"/>
    <w:uiPriority w:val="99"/>
    <w:semiHidden/>
    <w:unhideWhenUsed/>
    <w:rsid w:val="00CA0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2024-01-22T03:57:00Z</dcterms:created>
  <dcterms:modified xsi:type="dcterms:W3CDTF">2024-01-22T03:57:00Z</dcterms:modified>
</cp:coreProperties>
</file>