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C6A4B" w14:textId="4F109217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bookmarkStart w:id="0" w:name="_Hlk231042583"/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Two antibody panels were applied per patient:</w:t>
      </w:r>
    </w:p>
    <w:p w14:paraId="16167A4B" w14:textId="77777777" w:rsidR="009C775F" w:rsidRPr="005C5584" w:rsidRDefault="009C775F" w:rsidP="009C775F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T-cell checkpoint panel: PD1 (CD279)-APC-conjugated antibody (BD Biosciences; San Jose, California, USA, cat. no. A07764), CD3-FITC-conjugated antibody (</w:t>
      </w:r>
      <w:proofErr w:type="spellStart"/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Immunotech</w:t>
      </w:r>
      <w:proofErr w:type="spellEnd"/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; Beckman Coulter, Marseille, France; cat. no. P59232AA) and CD45-PC5.5-conjugated antibody (</w:t>
      </w:r>
      <w:proofErr w:type="spellStart"/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Immunotech</w:t>
      </w:r>
      <w:proofErr w:type="spellEnd"/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; Beckman Coulter, Marseille, France; cat. no. A54139).</w:t>
      </w:r>
    </w:p>
    <w:p w14:paraId="775E47D0" w14:textId="57F14074" w:rsidR="009C775F" w:rsidRPr="005C5584" w:rsidRDefault="009C775F" w:rsidP="009C775F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Plasma cell checkpoint panel: CD38- FITC-conjugated antibody (BD Biosciences, USA Cat. no. 560982, lot no. 345766), CD138- PC5-conjugated antibody (BD Biosciences, USA Cat. no. 561704, lot no. 6116778), and PD-L1 (CD274)- APC-conjugated antibody (Life Science; Beckman Coulter, Marseille, France; cat. no B59756-AB, lot no. 200022). </w:t>
      </w:r>
    </w:p>
    <w:p w14:paraId="30CC6AC2" w14:textId="77777777" w:rsidR="00626E0B" w:rsidRPr="005C5584" w:rsidRDefault="009C775F" w:rsidP="000B522C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Each tube contained 50 µL of sample and 5 µL of antibody cocktail and was incubated according to standardized laboratory protocol. </w:t>
      </w:r>
    </w:p>
    <w:bookmarkEnd w:id="0"/>
    <w:p w14:paraId="13B9C8CE" w14:textId="520ECF5E" w:rsidR="009C775F" w:rsidRPr="005C5584" w:rsidRDefault="00626E0B" w:rsidP="00626E0B">
      <w:pPr>
        <w:spacing w:line="276" w:lineRule="auto"/>
        <w:ind w:left="360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G</w:t>
      </w:r>
      <w:r w:rsidR="009C775F"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ating </w:t>
      </w:r>
      <w:proofErr w:type="gramStart"/>
      <w:r w:rsidR="009C775F"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figure</w:t>
      </w:r>
      <w:proofErr w:type="gramEnd"/>
      <w:r w:rsidR="009C775F"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 should show:</w:t>
      </w:r>
    </w:p>
    <w:p w14:paraId="59594E8B" w14:textId="77777777" w:rsidR="009C775F" w:rsidRPr="005C5584" w:rsidRDefault="009C775F" w:rsidP="009C775F">
      <w:pPr>
        <w:pStyle w:val="ListParagraph"/>
        <w:spacing w:line="276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Sequential plots:</w:t>
      </w:r>
    </w:p>
    <w:p w14:paraId="5226FDD1" w14:textId="77777777" w:rsidR="009C775F" w:rsidRPr="005C5584" w:rsidRDefault="009C775F" w:rsidP="009C775F">
      <w:pPr>
        <w:pStyle w:val="ListParagraph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FSC/SSC (debris exclusion) </w:t>
      </w:r>
    </w:p>
    <w:p w14:paraId="3CE4142A" w14:textId="77777777" w:rsidR="009C775F" w:rsidRPr="005C5584" w:rsidRDefault="009C775F" w:rsidP="009C775F">
      <w:pPr>
        <w:pStyle w:val="ListParagraph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FSC-A vs FSC-H (doublet exclusion) </w:t>
      </w:r>
    </w:p>
    <w:p w14:paraId="14E675EA" w14:textId="77777777" w:rsidR="009C775F" w:rsidRPr="005C5584" w:rsidRDefault="009C775F" w:rsidP="009C775F">
      <w:pPr>
        <w:pStyle w:val="ListParagraph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CD45 gating </w:t>
      </w:r>
    </w:p>
    <w:p w14:paraId="68463FA3" w14:textId="77777777" w:rsidR="009C775F" w:rsidRPr="005C5584" w:rsidRDefault="009C775F" w:rsidP="009C775F">
      <w:pPr>
        <w:pStyle w:val="ListParagraph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CD3+ T cells </w:t>
      </w:r>
    </w:p>
    <w:p w14:paraId="6A0441CE" w14:textId="77777777" w:rsidR="009C775F" w:rsidRPr="005C5584" w:rsidRDefault="009C775F" w:rsidP="009C775F">
      <w:pPr>
        <w:pStyle w:val="ListParagraph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CD38/CD138 plasma cells </w:t>
      </w:r>
    </w:p>
    <w:p w14:paraId="405D63C3" w14:textId="77777777" w:rsidR="009C775F" w:rsidRPr="005C5584" w:rsidRDefault="009C775F" w:rsidP="009C775F">
      <w:pPr>
        <w:pStyle w:val="ListParagraph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PD-1 / PD-L1 overlays</w:t>
      </w:r>
    </w:p>
    <w:p w14:paraId="27D03772" w14:textId="77777777" w:rsidR="009C775F" w:rsidRPr="005C5584" w:rsidRDefault="009C775F" w:rsidP="009C775F">
      <w:pPr>
        <w:pStyle w:val="ListParagraph"/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</w:p>
    <w:p w14:paraId="23BB29FB" w14:textId="3556F8E5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Doublet discrimination (FSC-A vs FSC-H) and exclusion of debris and non-cellular based on scatter characteristics were applied to all samples. Compensation was performed using controls according to standard flow cytometry compensation procedures</w:t>
      </w:r>
      <w:r w:rsidR="003B7DEA"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 and manufacturer’s instructions.</w:t>
      </w: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 Data analysis was conducted using a predefined gating template to ensure consistency across samples.</w:t>
      </w:r>
    </w:p>
    <w:p w14:paraId="5E46519B" w14:textId="77777777" w:rsidR="009C775F" w:rsidRPr="005C5584" w:rsidRDefault="009C775F" w:rsidP="009C775F">
      <w:pPr>
        <w:pStyle w:val="ListParagraph"/>
        <w:numPr>
          <w:ilvl w:val="0"/>
          <w:numId w:val="3"/>
        </w:num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 xml:space="preserve">T cells were defined as CD45+CD3+ events. </w:t>
      </w:r>
    </w:p>
    <w:p w14:paraId="4AB595D4" w14:textId="77777777" w:rsidR="009C775F" w:rsidRPr="005C5584" w:rsidRDefault="009C775F" w:rsidP="009C775F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lastRenderedPageBreak/>
        <w:t xml:space="preserve">PD-1 expression was quantified in gated CD3+ T cells as: Percentage of positive cells (%), median fluorescence intensity (MFI). </w:t>
      </w:r>
    </w:p>
    <w:p w14:paraId="3341BCC9" w14:textId="77777777" w:rsidR="009C775F" w:rsidRPr="005C5584" w:rsidRDefault="009C775F" w:rsidP="009C775F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Plasma cells were identified as CD38 bright/CD138+ events within the BM compartment.</w:t>
      </w:r>
    </w:p>
    <w:p w14:paraId="77100358" w14:textId="4C04C4A0" w:rsidR="009C775F" w:rsidRPr="005C5584" w:rsidRDefault="009C775F" w:rsidP="009C775F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  <w:t>PD-L1 expression was assessed in gated plasma cells using both percentage positivity and MFI.</w:t>
      </w:r>
    </w:p>
    <w:p w14:paraId="62C318F5" w14:textId="77777777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</w:p>
    <w:p w14:paraId="1E1F2724" w14:textId="77777777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</w:p>
    <w:p w14:paraId="61F25452" w14:textId="77777777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</w:p>
    <w:p w14:paraId="2E44292C" w14:textId="77777777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</w:p>
    <w:p w14:paraId="0FAC3B43" w14:textId="77777777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</w:p>
    <w:p w14:paraId="4BB97172" w14:textId="77777777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</w:p>
    <w:p w14:paraId="116327B4" w14:textId="77777777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</w:p>
    <w:p w14:paraId="517EDD67" w14:textId="77777777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</w:p>
    <w:p w14:paraId="3287222A" w14:textId="77777777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</w:p>
    <w:p w14:paraId="13D1151F" w14:textId="77777777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</w:p>
    <w:p w14:paraId="1E3B6AC7" w14:textId="01ABF423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  <w:r w:rsidRPr="005C5584">
        <w:rPr>
          <w:rFonts w:asciiTheme="majorBidi" w:hAnsiTheme="majorBidi" w:cstheme="majorBidi"/>
          <w:b/>
          <w:bCs/>
          <w:noProof/>
          <w:color w:val="000000" w:themeColor="text1"/>
          <w:kern w:val="0"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659264" behindDoc="0" locked="0" layoutInCell="1" allowOverlap="1" wp14:anchorId="59E08848" wp14:editId="45BB83A0">
            <wp:simplePos x="0" y="0"/>
            <wp:positionH relativeFrom="column">
              <wp:posOffset>-56267</wp:posOffset>
            </wp:positionH>
            <wp:positionV relativeFrom="paragraph">
              <wp:posOffset>304</wp:posOffset>
            </wp:positionV>
            <wp:extent cx="5507990" cy="4651375"/>
            <wp:effectExtent l="0" t="0" r="0" b="0"/>
            <wp:wrapSquare wrapText="bothSides"/>
            <wp:docPr id="1642904534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904534" name="Picture 1" descr="A screenshot of a computer screen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7" b="30748"/>
                    <a:stretch/>
                  </pic:blipFill>
                  <pic:spPr bwMode="auto">
                    <a:xfrm>
                      <a:off x="0" y="0"/>
                      <a:ext cx="5507990" cy="465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48D49" w14:textId="77777777" w:rsidR="009C775F" w:rsidRPr="005C5584" w:rsidRDefault="009C775F" w:rsidP="009C775F">
      <w:pPr>
        <w:spacing w:line="480" w:lineRule="auto"/>
        <w:rPr>
          <w:rFonts w:asciiTheme="majorBidi" w:hAnsiTheme="majorBidi" w:cstheme="majorBidi"/>
          <w:color w:val="000000" w:themeColor="text1"/>
          <w:kern w:val="0"/>
          <w:sz w:val="24"/>
          <w:szCs w:val="24"/>
        </w:rPr>
      </w:pPr>
    </w:p>
    <w:p w14:paraId="0E8362C3" w14:textId="77777777" w:rsidR="009C775F" w:rsidRPr="005C5584" w:rsidRDefault="009C775F"/>
    <w:p w14:paraId="380DFE5F" w14:textId="77777777" w:rsidR="009C775F" w:rsidRPr="005C5584" w:rsidRDefault="009C775F"/>
    <w:p w14:paraId="4FBB1CC4" w14:textId="111EBB31" w:rsidR="009C775F" w:rsidRPr="005C5584" w:rsidRDefault="009C775F"/>
    <w:p w14:paraId="62AC036C" w14:textId="77777777" w:rsidR="009C775F" w:rsidRPr="005C5584" w:rsidRDefault="009C775F"/>
    <w:p w14:paraId="78820735" w14:textId="77777777" w:rsidR="009C775F" w:rsidRPr="005C5584" w:rsidRDefault="009C775F"/>
    <w:p w14:paraId="46FCB22F" w14:textId="40225F39" w:rsidR="00E86DBC" w:rsidRPr="005C5584" w:rsidRDefault="00E86DBC"/>
    <w:p w14:paraId="6B69336D" w14:textId="77777777" w:rsidR="009C775F" w:rsidRPr="005C5584" w:rsidRDefault="009C775F"/>
    <w:p w14:paraId="00A58FB6" w14:textId="77777777" w:rsidR="009C775F" w:rsidRPr="005C5584" w:rsidRDefault="009C775F"/>
    <w:p w14:paraId="56B08390" w14:textId="77777777" w:rsidR="009C775F" w:rsidRPr="005C5584" w:rsidRDefault="009C775F"/>
    <w:p w14:paraId="309861F4" w14:textId="77777777" w:rsidR="009C775F" w:rsidRPr="005C5584" w:rsidRDefault="009C775F"/>
    <w:p w14:paraId="57779235" w14:textId="77777777" w:rsidR="009C775F" w:rsidRPr="005C5584" w:rsidRDefault="009C775F"/>
    <w:p w14:paraId="6D56FE41" w14:textId="77777777" w:rsidR="009C775F" w:rsidRPr="005C5584" w:rsidRDefault="009C775F"/>
    <w:p w14:paraId="646D7BFB" w14:textId="77777777" w:rsidR="009C775F" w:rsidRPr="005C5584" w:rsidRDefault="009C775F"/>
    <w:p w14:paraId="7254E65A" w14:textId="77777777" w:rsidR="009C775F" w:rsidRPr="005C5584" w:rsidRDefault="009C775F"/>
    <w:p w14:paraId="172A1A2F" w14:textId="5A4362D8" w:rsidR="00AC2BF9" w:rsidRPr="00AC2BF9" w:rsidRDefault="009C775F" w:rsidP="0089313B">
      <w:pPr>
        <w:spacing w:line="276" w:lineRule="auto"/>
      </w:pPr>
      <w:r w:rsidRPr="005C5584">
        <w:rPr>
          <w:rFonts w:asciiTheme="majorBidi" w:hAnsiTheme="majorBidi" w:cstheme="majorBidi"/>
          <w:b/>
          <w:bCs/>
          <w:color w:val="000000" w:themeColor="text1"/>
          <w:kern w:val="0"/>
          <w:sz w:val="24"/>
          <w:szCs w:val="24"/>
        </w:rPr>
        <w:t xml:space="preserve">Figure (S1): </w:t>
      </w:r>
      <w:r w:rsidR="0089313B" w:rsidRPr="005C5584">
        <w:rPr>
          <w:rFonts w:asciiTheme="majorBidi" w:hAnsiTheme="majorBidi" w:cstheme="majorBidi"/>
          <w:b/>
          <w:bCs/>
          <w:color w:val="000000" w:themeColor="text1"/>
          <w:kern w:val="0"/>
          <w:sz w:val="24"/>
          <w:szCs w:val="24"/>
        </w:rPr>
        <w:t>Flow cytometric strategy for evaluation of PD-1 in T cells and PD-L1 in plasma cells in multiple myeloma bone marrow samples.</w:t>
      </w:r>
    </w:p>
    <w:p w14:paraId="1C5FE48E" w14:textId="77777777" w:rsidR="0089313B" w:rsidRDefault="0089313B" w:rsidP="00AC2BF9">
      <w:pPr>
        <w:rPr>
          <w:b/>
          <w:bCs/>
        </w:rPr>
      </w:pPr>
    </w:p>
    <w:p w14:paraId="492E77D5" w14:textId="1DEE8180" w:rsidR="00AC2BF9" w:rsidRPr="00AC2BF9" w:rsidRDefault="00AC2BF9" w:rsidP="00AC2BF9"/>
    <w:p w14:paraId="6A547D46" w14:textId="77777777" w:rsidR="009C775F" w:rsidRDefault="009C775F"/>
    <w:sectPr w:rsidR="009C7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B601C"/>
    <w:multiLevelType w:val="multilevel"/>
    <w:tmpl w:val="B12C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1339A"/>
    <w:multiLevelType w:val="multilevel"/>
    <w:tmpl w:val="A550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65659"/>
    <w:multiLevelType w:val="multilevel"/>
    <w:tmpl w:val="DDDA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540F4"/>
    <w:multiLevelType w:val="multilevel"/>
    <w:tmpl w:val="3192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4780E"/>
    <w:multiLevelType w:val="hybridMultilevel"/>
    <w:tmpl w:val="2354B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62FBF"/>
    <w:multiLevelType w:val="multilevel"/>
    <w:tmpl w:val="C056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2A36D5"/>
    <w:multiLevelType w:val="hybridMultilevel"/>
    <w:tmpl w:val="AA760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24B60"/>
    <w:multiLevelType w:val="hybridMultilevel"/>
    <w:tmpl w:val="B6A8B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F6B17"/>
    <w:multiLevelType w:val="multilevel"/>
    <w:tmpl w:val="1F88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FC6C42"/>
    <w:multiLevelType w:val="hybridMultilevel"/>
    <w:tmpl w:val="F1DE7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563772">
    <w:abstractNumId w:val="7"/>
  </w:num>
  <w:num w:numId="2" w16cid:durableId="1092819128">
    <w:abstractNumId w:val="9"/>
  </w:num>
  <w:num w:numId="3" w16cid:durableId="1526215859">
    <w:abstractNumId w:val="6"/>
  </w:num>
  <w:num w:numId="4" w16cid:durableId="1773433514">
    <w:abstractNumId w:val="4"/>
  </w:num>
  <w:num w:numId="5" w16cid:durableId="154952633">
    <w:abstractNumId w:val="1"/>
  </w:num>
  <w:num w:numId="6" w16cid:durableId="2014842525">
    <w:abstractNumId w:val="3"/>
  </w:num>
  <w:num w:numId="7" w16cid:durableId="26227218">
    <w:abstractNumId w:val="5"/>
  </w:num>
  <w:num w:numId="8" w16cid:durableId="111873648">
    <w:abstractNumId w:val="0"/>
  </w:num>
  <w:num w:numId="9" w16cid:durableId="690492893">
    <w:abstractNumId w:val="2"/>
  </w:num>
  <w:num w:numId="10" w16cid:durableId="10971675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5F"/>
    <w:rsid w:val="001360A6"/>
    <w:rsid w:val="001A42A2"/>
    <w:rsid w:val="001F426D"/>
    <w:rsid w:val="002C3A6B"/>
    <w:rsid w:val="0035501F"/>
    <w:rsid w:val="003B7DEA"/>
    <w:rsid w:val="004156A1"/>
    <w:rsid w:val="005C5584"/>
    <w:rsid w:val="00626E0B"/>
    <w:rsid w:val="0067373B"/>
    <w:rsid w:val="006763FB"/>
    <w:rsid w:val="006E7FB4"/>
    <w:rsid w:val="007D5A8C"/>
    <w:rsid w:val="007E390C"/>
    <w:rsid w:val="0089313B"/>
    <w:rsid w:val="009C775F"/>
    <w:rsid w:val="00AC2BF9"/>
    <w:rsid w:val="00E86DBC"/>
    <w:rsid w:val="00F21FD6"/>
    <w:rsid w:val="00F42196"/>
    <w:rsid w:val="00FC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C8DE9"/>
  <w15:chartTrackingRefBased/>
  <w15:docId w15:val="{740CE86D-9968-43CA-BF5B-38263A67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75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7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7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7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7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7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7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2B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BF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93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3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6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9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1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9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4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7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2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Shimaa Metwally Saeed ElGarf</dc:creator>
  <cp:keywords/>
  <dc:description/>
  <cp:lastModifiedBy>Shimaa Metwally Saeed ElGarf</cp:lastModifiedBy>
  <cp:revision>3</cp:revision>
  <cp:lastPrinted>2026-06-01T10:16:00Z</cp:lastPrinted>
  <dcterms:created xsi:type="dcterms:W3CDTF">2026-06-01T10:13:00Z</dcterms:created>
  <dcterms:modified xsi:type="dcterms:W3CDTF">2026-06-01T10:16:00Z</dcterms:modified>
</cp:coreProperties>
</file>