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2B9" w:rsidRPr="006F2DF1" w:rsidRDefault="000352B9" w:rsidP="000352B9">
      <w:pPr>
        <w:bidi/>
        <w:spacing w:after="0"/>
        <w:jc w:val="center"/>
        <w:rPr>
          <w:rFonts w:ascii="Times New Roman" w:eastAsia="Times New Roman" w:hAnsi="Times New Roman" w:cs="B Nazanin"/>
          <w:b/>
          <w:bCs/>
          <w:noProof/>
          <w:sz w:val="20"/>
          <w:shd w:val="clear" w:color="auto" w:fill="FFFFFF"/>
          <w:rtl/>
        </w:rPr>
      </w:pPr>
      <w:r w:rsidRPr="006F2DF1">
        <w:rPr>
          <w:rFonts w:ascii="Times New Roman" w:eastAsia="Times New Roman" w:hAnsi="Times New Roman" w:cs="B Nazanin"/>
          <w:b/>
          <w:bCs/>
          <w:noProof/>
          <w:sz w:val="20"/>
          <w:shd w:val="clear" w:color="auto" w:fill="FFFFFF"/>
        </w:rPr>
        <w:t>Supplementary Table S1: Genetic Inheritance Models for XRCC6 -61C&gt;G and XRCC7 6721G&gt;T Polymorphisms in Association with Pediatric ALL</w:t>
      </w:r>
    </w:p>
    <w:tbl>
      <w:tblPr>
        <w:tblStyle w:val="GridTable5Dark-Accent3"/>
        <w:tblW w:w="9535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064"/>
        <w:gridCol w:w="1260"/>
        <w:gridCol w:w="1260"/>
        <w:gridCol w:w="1080"/>
        <w:gridCol w:w="1620"/>
        <w:gridCol w:w="900"/>
        <w:gridCol w:w="1080"/>
      </w:tblGrid>
      <w:tr w:rsidR="000352B9" w:rsidRPr="006F2DF1" w:rsidTr="006E5E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0352B9" w:rsidRPr="006F2DF1" w:rsidRDefault="000352B9" w:rsidP="006E5E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Gene</w:t>
            </w:r>
          </w:p>
        </w:tc>
        <w:tc>
          <w:tcPr>
            <w:tcW w:w="1064" w:type="dxa"/>
            <w:hideMark/>
          </w:tcPr>
          <w:p w:rsidR="000352B9" w:rsidRPr="006F2DF1" w:rsidRDefault="000352B9" w:rsidP="006E5E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Model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Genotype Comparison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Cases n (%)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Controls n (%)</w:t>
            </w:r>
          </w:p>
        </w:tc>
        <w:tc>
          <w:tcPr>
            <w:tcW w:w="1620" w:type="dxa"/>
            <w:hideMark/>
          </w:tcPr>
          <w:p w:rsidR="000352B9" w:rsidRPr="006F2DF1" w:rsidRDefault="000352B9" w:rsidP="006E5E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OR (95% CI)</w:t>
            </w:r>
          </w:p>
        </w:tc>
        <w:tc>
          <w:tcPr>
            <w:tcW w:w="900" w:type="dxa"/>
            <w:hideMark/>
          </w:tcPr>
          <w:p w:rsidR="000352B9" w:rsidRPr="006F2DF1" w:rsidRDefault="000352B9" w:rsidP="006E5E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P-value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P-adjusted*</w:t>
            </w:r>
          </w:p>
        </w:tc>
      </w:tr>
      <w:tr w:rsidR="000352B9" w:rsidRPr="006F2DF1" w:rsidTr="006E5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0352B9" w:rsidRPr="006F2DF1" w:rsidRDefault="000352B9" w:rsidP="006E5E5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rtl/>
              </w:rPr>
            </w:pPr>
            <w:r w:rsidRPr="006F2DF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</w:rPr>
              <w:t>XRCC6</w:t>
            </w:r>
          </w:p>
          <w:p w:rsidR="000352B9" w:rsidRPr="006F2DF1" w:rsidRDefault="000352B9" w:rsidP="006E5E5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-61C&gt;G (rs2267437)</w:t>
            </w:r>
          </w:p>
        </w:tc>
        <w:tc>
          <w:tcPr>
            <w:tcW w:w="1064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Dominant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CC vs. CG+GG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64 (64.0)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45 (45.0)</w:t>
            </w:r>
          </w:p>
        </w:tc>
        <w:tc>
          <w:tcPr>
            <w:tcW w:w="162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2.17 (1.22–3.87)</w:t>
            </w:r>
          </w:p>
        </w:tc>
        <w:tc>
          <w:tcPr>
            <w:tcW w:w="90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</w:rPr>
              <w:t>0.008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0.02</w:t>
            </w:r>
          </w:p>
        </w:tc>
      </w:tr>
      <w:tr w:rsidR="000352B9" w:rsidRPr="006F2DF1" w:rsidTr="006E5E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0352B9" w:rsidRPr="006F2DF1" w:rsidRDefault="000352B9" w:rsidP="006E5E5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64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Recessive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GG vs. CC+CG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16 (16.0)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26 (26.0)</w:t>
            </w:r>
          </w:p>
        </w:tc>
        <w:tc>
          <w:tcPr>
            <w:tcW w:w="162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0.54 (0.27–1.09)</w:t>
            </w:r>
          </w:p>
        </w:tc>
        <w:tc>
          <w:tcPr>
            <w:tcW w:w="90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0.08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0.16</w:t>
            </w:r>
          </w:p>
        </w:tc>
      </w:tr>
      <w:tr w:rsidR="000352B9" w:rsidRPr="006F2DF1" w:rsidTr="006E5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0352B9" w:rsidRPr="006F2DF1" w:rsidRDefault="000352B9" w:rsidP="006E5E5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64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Additive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C allele vs.</w:t>
            </w:r>
          </w:p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 xml:space="preserve"> G allele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148 (74.0)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119 (59.5)</w:t>
            </w:r>
          </w:p>
        </w:tc>
        <w:tc>
          <w:tcPr>
            <w:tcW w:w="162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1.93 (1.23–3.03)</w:t>
            </w:r>
          </w:p>
        </w:tc>
        <w:tc>
          <w:tcPr>
            <w:tcW w:w="90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</w:rPr>
              <w:t>0.004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</w:rPr>
              <w:t>0.008</w:t>
            </w:r>
          </w:p>
        </w:tc>
      </w:tr>
      <w:tr w:rsidR="000352B9" w:rsidRPr="006F2DF1" w:rsidTr="006E5E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0352B9" w:rsidRPr="006F2DF1" w:rsidRDefault="000352B9" w:rsidP="006E5E5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rtl/>
              </w:rPr>
            </w:pPr>
            <w:r w:rsidRPr="006F2DF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</w:rPr>
              <w:t>XRCC7</w:t>
            </w:r>
          </w:p>
          <w:p w:rsidR="000352B9" w:rsidRPr="006F2DF1" w:rsidRDefault="000352B9" w:rsidP="006E5E5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6721G&gt;T (rs7003908)</w:t>
            </w:r>
          </w:p>
        </w:tc>
        <w:tc>
          <w:tcPr>
            <w:tcW w:w="1064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Dominant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GT+TT vs. GG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73 (73.0)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71 (71.0)</w:t>
            </w:r>
          </w:p>
        </w:tc>
        <w:tc>
          <w:tcPr>
            <w:tcW w:w="162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1.10 (0.60–2.02)</w:t>
            </w:r>
          </w:p>
        </w:tc>
        <w:tc>
          <w:tcPr>
            <w:tcW w:w="90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0.75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1.00</w:t>
            </w:r>
          </w:p>
        </w:tc>
      </w:tr>
      <w:tr w:rsidR="000352B9" w:rsidRPr="006F2DF1" w:rsidTr="006E5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0352B9" w:rsidRPr="006F2DF1" w:rsidRDefault="000352B9" w:rsidP="006E5E5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64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Recessive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TT vs. GT+GG</w:t>
            </w:r>
          </w:p>
        </w:tc>
        <w:tc>
          <w:tcPr>
            <w:tcW w:w="126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18 (18.0)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22 (22.0)</w:t>
            </w:r>
          </w:p>
        </w:tc>
        <w:tc>
          <w:tcPr>
            <w:tcW w:w="162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0.78 (0.39–1.55)</w:t>
            </w:r>
          </w:p>
        </w:tc>
        <w:tc>
          <w:tcPr>
            <w:tcW w:w="90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0.47</w:t>
            </w:r>
          </w:p>
        </w:tc>
        <w:tc>
          <w:tcPr>
            <w:tcW w:w="1080" w:type="dxa"/>
            <w:hideMark/>
          </w:tcPr>
          <w:p w:rsidR="000352B9" w:rsidRPr="006F2DF1" w:rsidRDefault="000352B9" w:rsidP="006E5E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</w:pPr>
            <w:r w:rsidRPr="006F2DF1">
              <w:rPr>
                <w:rFonts w:ascii="Times New Roman" w:eastAsia="Times New Roman" w:hAnsi="Times New Roman" w:cs="Times New Roman"/>
                <w:color w:val="000000" w:themeColor="text1"/>
                <w:kern w:val="0"/>
              </w:rPr>
              <w:t>0.94</w:t>
            </w:r>
          </w:p>
        </w:tc>
      </w:tr>
    </w:tbl>
    <w:p w:rsidR="000352B9" w:rsidRPr="006F2DF1" w:rsidRDefault="000352B9" w:rsidP="000352B9">
      <w:pPr>
        <w:bidi/>
        <w:spacing w:after="0"/>
        <w:jc w:val="right"/>
        <w:rPr>
          <w:rFonts w:ascii="Times New Roman" w:eastAsia="Times New Roman" w:hAnsi="Times New Roman" w:cs="B Nazanin"/>
          <w:noProof/>
          <w:sz w:val="24"/>
          <w:szCs w:val="28"/>
          <w:shd w:val="clear" w:color="auto" w:fill="FFFFFF"/>
          <w:rtl/>
        </w:rPr>
      </w:pPr>
    </w:p>
    <w:p w:rsidR="000352B9" w:rsidRPr="006F2DF1" w:rsidRDefault="000352B9" w:rsidP="000352B9">
      <w:pPr>
        <w:spacing w:after="0"/>
        <w:jc w:val="lowKashida"/>
        <w:rPr>
          <w:rFonts w:ascii="Times New Roman" w:eastAsia="Times New Roman" w:hAnsi="Times New Roman" w:cs="B Nazanin"/>
          <w:b/>
          <w:bCs/>
          <w:noProof/>
          <w:sz w:val="24"/>
          <w:szCs w:val="28"/>
          <w:shd w:val="clear" w:color="auto" w:fill="FFFFFF"/>
          <w:rtl/>
        </w:rPr>
      </w:pPr>
    </w:p>
    <w:p w:rsidR="000352B9" w:rsidRPr="006F2DF1" w:rsidRDefault="000352B9" w:rsidP="000352B9">
      <w:pPr>
        <w:spacing w:after="0"/>
        <w:jc w:val="lowKashida"/>
        <w:rPr>
          <w:rFonts w:ascii="Times New Roman" w:eastAsia="Times New Roman" w:hAnsi="Times New Roman" w:cs="B Nazanin"/>
          <w:b/>
          <w:bCs/>
          <w:noProof/>
          <w:sz w:val="24"/>
          <w:szCs w:val="28"/>
          <w:shd w:val="clear" w:color="auto" w:fill="FFFFFF"/>
        </w:rPr>
      </w:pPr>
      <w:r w:rsidRPr="006F2DF1">
        <w:rPr>
          <w:rFonts w:ascii="Times New Roman" w:eastAsia="Times New Roman" w:hAnsi="Times New Roman" w:cs="B Nazanin"/>
          <w:b/>
          <w:bCs/>
          <w:noProof/>
          <w:sz w:val="24"/>
          <w:szCs w:val="28"/>
          <w:shd w:val="clear" w:color="auto" w:fill="FFFFFF"/>
        </w:rPr>
        <w:t>Supplementary Materials</w:t>
      </w:r>
    </w:p>
    <w:p w:rsidR="000352B9" w:rsidRPr="006F2DF1" w:rsidRDefault="000352B9" w:rsidP="000352B9">
      <w:pPr>
        <w:spacing w:after="0"/>
        <w:jc w:val="lowKashida"/>
        <w:rPr>
          <w:rFonts w:ascii="Times New Roman" w:eastAsia="Times New Roman" w:hAnsi="Times New Roman" w:cs="B Nazanin"/>
          <w:noProof/>
          <w:sz w:val="24"/>
          <w:szCs w:val="28"/>
          <w:shd w:val="clear" w:color="auto" w:fill="FFFFFF"/>
          <w:rtl/>
        </w:rPr>
      </w:pPr>
      <w:r w:rsidRPr="006F2DF1">
        <w:rPr>
          <w:rFonts w:ascii="Times New Roman" w:eastAsia="Times New Roman" w:hAnsi="Times New Roman" w:cs="B Nazanin"/>
          <w:noProof/>
          <w:sz w:val="24"/>
          <w:szCs w:val="28"/>
          <w:shd w:val="clear" w:color="auto" w:fill="FFFFFF"/>
        </w:rPr>
        <w:t>Supplementary Methods: Power Calculations</w:t>
      </w:r>
    </w:p>
    <w:p w:rsidR="000352B9" w:rsidRDefault="000352B9" w:rsidP="000352B9">
      <w:pPr>
        <w:spacing w:after="0"/>
        <w:jc w:val="lowKashida"/>
        <w:rPr>
          <w:rFonts w:ascii="Times New Roman" w:eastAsia="Times New Roman" w:hAnsi="Times New Roman" w:cs="B Nazanin"/>
          <w:noProof/>
          <w:sz w:val="24"/>
          <w:szCs w:val="28"/>
          <w:shd w:val="clear" w:color="auto" w:fill="FFFFFF"/>
        </w:rPr>
      </w:pPr>
      <w:r w:rsidRPr="006F2DF1">
        <w:rPr>
          <w:rFonts w:ascii="Times New Roman" w:eastAsia="Times New Roman" w:hAnsi="Times New Roman" w:cs="B Nazanin"/>
          <w:noProof/>
          <w:sz w:val="24"/>
          <w:szCs w:val="28"/>
          <w:shd w:val="clear" w:color="auto" w:fill="FFFFFF"/>
        </w:rPr>
        <w:t>Post-hoc power calculations were performed using the method described by Dupont and Plummer (1990) for unmatched case-control studies. Assuming a two-sided alpha level of 0.05, a minor allele frequency of 0.25 in controls, and an odds ratio of 2.0, the study had 82% power to detect a significant association with a sample size of 100 cases and 100 controls. For the subgroup analyses (B-cell ALL, n = 79; favorable cytogenetics, n = 86), the power was reduced (range: 45–70%) for detecting similar effect sizes, indicating that the null findings in some subgroups may be due to limited statistical power rather than true absence of association</w:t>
      </w:r>
      <w:r w:rsidRPr="006F2DF1">
        <w:rPr>
          <w:rFonts w:ascii="Times New Roman" w:eastAsia="Times New Roman" w:hAnsi="Times New Roman" w:cs="B Nazanin"/>
          <w:noProof/>
          <w:sz w:val="24"/>
          <w:szCs w:val="28"/>
          <w:shd w:val="clear" w:color="auto" w:fill="FFFFFF"/>
          <w:rtl/>
        </w:rPr>
        <w:t>.</w:t>
      </w:r>
    </w:p>
    <w:p w:rsidR="00C332B3" w:rsidRDefault="000352B9">
      <w:bookmarkStart w:id="0" w:name="_GoBack"/>
      <w:bookmarkEnd w:id="0"/>
    </w:p>
    <w:sectPr w:rsidR="00C33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B9"/>
    <w:rsid w:val="000352B9"/>
    <w:rsid w:val="008A260D"/>
    <w:rsid w:val="00963C89"/>
    <w:rsid w:val="009D51AF"/>
    <w:rsid w:val="00C4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AD369-7C55-4CEF-8433-D65DE392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2B9"/>
    <w:rPr>
      <w:rFonts w:ascii="Calibri" w:eastAsia="Calibri" w:hAnsi="Calibri" w:cs="Arial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3">
    <w:name w:val="Grid Table 5 Dark Accent 3"/>
    <w:basedOn w:val="TableNormal"/>
    <w:uiPriority w:val="50"/>
    <w:rsid w:val="000352B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Bad-an</dc:creator>
  <cp:keywords/>
  <dc:description/>
  <cp:lastModifiedBy>Jorge Bad-an</cp:lastModifiedBy>
  <cp:revision>1</cp:revision>
  <dcterms:created xsi:type="dcterms:W3CDTF">2026-08-19T00:31:00Z</dcterms:created>
  <dcterms:modified xsi:type="dcterms:W3CDTF">2026-08-19T00:31:00Z</dcterms:modified>
</cp:coreProperties>
</file>