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CE2" w:rsidRPr="00A40D2D" w:rsidRDefault="00A141B2" w:rsidP="008E7CE2">
      <w:pPr>
        <w:spacing w:before="100" w:beforeAutospacing="1" w:after="100" w:afterAutospacing="1" w:line="240" w:lineRule="auto"/>
        <w:jc w:val="center"/>
        <w:rPr>
          <w:rFonts w:ascii="Times New Roman" w:eastAsia="Times New Roman" w:hAnsi="Times New Roman" w:cs="Times New Roman"/>
          <w:b/>
          <w:bCs/>
          <w:sz w:val="28"/>
          <w:u w:val="single"/>
          <w:lang w:eastAsia="en-IN"/>
        </w:rPr>
      </w:pPr>
      <w:r w:rsidRPr="00A40D2D">
        <w:rPr>
          <w:rFonts w:ascii="Times New Roman" w:eastAsia="Times New Roman" w:hAnsi="Times New Roman" w:cs="Times New Roman"/>
          <w:b/>
          <w:bCs/>
          <w:sz w:val="28"/>
          <w:u w:val="single"/>
          <w:lang w:eastAsia="en-IN"/>
        </w:rPr>
        <w:t>Supplementary Appendix</w:t>
      </w:r>
    </w:p>
    <w:p w:rsidR="00A141B2" w:rsidRPr="00D942A7" w:rsidRDefault="002534EF" w:rsidP="00A141B2">
      <w:pPr>
        <w:spacing w:before="100" w:beforeAutospacing="1" w:after="100" w:afterAutospacing="1" w:line="240" w:lineRule="auto"/>
        <w:rPr>
          <w:rFonts w:ascii="Times New Roman" w:eastAsia="Times New Roman" w:hAnsi="Times New Roman" w:cs="Times New Roman"/>
          <w:sz w:val="24"/>
          <w:lang w:eastAsia="en-IN"/>
        </w:rPr>
      </w:pPr>
      <w:r w:rsidRPr="00D942A7">
        <w:rPr>
          <w:rFonts w:ascii="Times New Roman" w:eastAsia="Times New Roman" w:hAnsi="Times New Roman" w:cs="Times New Roman"/>
          <w:b/>
          <w:bCs/>
          <w:sz w:val="24"/>
          <w:lang w:eastAsia="en-IN"/>
        </w:rPr>
        <w:t xml:space="preserve">Appendix </w:t>
      </w:r>
      <w:r w:rsidR="00A141B2" w:rsidRPr="00D942A7">
        <w:rPr>
          <w:rFonts w:ascii="Times New Roman" w:eastAsia="Times New Roman" w:hAnsi="Times New Roman" w:cs="Times New Roman"/>
          <w:b/>
          <w:bCs/>
          <w:sz w:val="24"/>
          <w:lang w:eastAsia="en-IN"/>
        </w:rPr>
        <w:t xml:space="preserve">1. </w:t>
      </w:r>
      <w:r w:rsidR="00A141B2" w:rsidRPr="00D942A7">
        <w:rPr>
          <w:rFonts w:ascii="Times New Roman" w:eastAsia="Times New Roman" w:hAnsi="Times New Roman" w:cs="Times New Roman"/>
          <w:bCs/>
          <w:sz w:val="24"/>
          <w:lang w:eastAsia="en-IN"/>
        </w:rPr>
        <w:t>Detailed Search Strategy</w:t>
      </w:r>
    </w:p>
    <w:p w:rsidR="00A141B2" w:rsidRPr="00B30DDC" w:rsidRDefault="00A141B2" w:rsidP="00A141B2">
      <w:pPr>
        <w:spacing w:before="100" w:beforeAutospacing="1" w:after="100" w:afterAutospacing="1" w:line="240" w:lineRule="auto"/>
        <w:outlineLvl w:val="2"/>
        <w:rPr>
          <w:rFonts w:ascii="Times New Roman" w:eastAsia="Times New Roman" w:hAnsi="Times New Roman" w:cs="Times New Roman"/>
          <w:b/>
          <w:bCs/>
          <w:lang w:eastAsia="en-IN"/>
        </w:rPr>
      </w:pPr>
      <w:r w:rsidRPr="00B30DDC">
        <w:rPr>
          <w:rFonts w:ascii="Times New Roman" w:eastAsia="Times New Roman" w:hAnsi="Times New Roman" w:cs="Times New Roman"/>
          <w:b/>
          <w:bCs/>
          <w:lang w:eastAsia="en-IN"/>
        </w:rPr>
        <w:t>Structure:</w:t>
      </w:r>
    </w:p>
    <w:p w:rsidR="00A141B2" w:rsidRPr="00B30DDC" w:rsidRDefault="00A141B2" w:rsidP="00A141B2">
      <w:pPr>
        <w:spacing w:before="100" w:beforeAutospacing="1" w:after="100" w:afterAutospacing="1" w:line="240" w:lineRule="auto"/>
        <w:outlineLvl w:val="3"/>
        <w:rPr>
          <w:rFonts w:ascii="Times New Roman" w:eastAsia="Times New Roman" w:hAnsi="Times New Roman" w:cs="Times New Roman"/>
          <w:b/>
          <w:bCs/>
          <w:lang w:eastAsia="en-IN"/>
        </w:rPr>
      </w:pPr>
      <w:r w:rsidRPr="00B30DDC">
        <w:rPr>
          <w:rFonts w:ascii="Times New Roman" w:eastAsia="Times New Roman" w:hAnsi="Times New Roman" w:cs="Times New Roman"/>
          <w:b/>
          <w:bCs/>
          <w:lang w:eastAsia="en-IN"/>
        </w:rPr>
        <w:t>1. PubMed (MEDLINE)</w:t>
      </w:r>
    </w:p>
    <w:p w:rsidR="00A141B2" w:rsidRPr="00B30DDC" w:rsidRDefault="00A141B2" w:rsidP="00A141B2">
      <w:pPr>
        <w:pStyle w:val="NoSpacing"/>
        <w:rPr>
          <w:rFonts w:ascii="Times New Roman" w:hAnsi="Times New Roman" w:cs="Times New Roman"/>
          <w:lang w:eastAsia="en-IN"/>
        </w:rPr>
      </w:pPr>
      <w:r w:rsidRPr="00B30DDC">
        <w:rPr>
          <w:rFonts w:ascii="Times New Roman" w:hAnsi="Times New Roman" w:cs="Times New Roman"/>
          <w:lang w:eastAsia="en-IN"/>
        </w:rPr>
        <w:t>(("Carcinoma, Non-Small-Cell Lung"[Mesh] OR NSCLC[tiab] OR "non small cell lung cancer"[tiab] OR "non-small-cell lung cancer"[tiab])</w:t>
      </w:r>
    </w:p>
    <w:p w:rsidR="00A141B2" w:rsidRPr="00B30DDC" w:rsidRDefault="00A141B2" w:rsidP="00A141B2">
      <w:pPr>
        <w:pStyle w:val="NoSpacing"/>
        <w:rPr>
          <w:rFonts w:ascii="Times New Roman" w:hAnsi="Times New Roman" w:cs="Times New Roman"/>
          <w:lang w:eastAsia="en-IN"/>
        </w:rPr>
      </w:pPr>
      <w:r w:rsidRPr="00B30DDC">
        <w:rPr>
          <w:rFonts w:ascii="Times New Roman" w:hAnsi="Times New Roman" w:cs="Times New Roman"/>
          <w:lang w:eastAsia="en-IN"/>
        </w:rPr>
        <w:t>AND</w:t>
      </w:r>
    </w:p>
    <w:p w:rsidR="00A141B2" w:rsidRPr="00B30DDC" w:rsidRDefault="00A141B2" w:rsidP="00A141B2">
      <w:pPr>
        <w:pStyle w:val="NoSpacing"/>
        <w:rPr>
          <w:rFonts w:ascii="Times New Roman" w:hAnsi="Times New Roman" w:cs="Times New Roman"/>
          <w:lang w:eastAsia="en-IN"/>
        </w:rPr>
      </w:pPr>
      <w:r w:rsidRPr="00B30DDC">
        <w:rPr>
          <w:rFonts w:ascii="Times New Roman" w:hAnsi="Times New Roman" w:cs="Times New Roman"/>
          <w:lang w:eastAsia="en-IN"/>
        </w:rPr>
        <w:t>("Receptor, Epidermal Growth Factor"[Mesh] OR EGFR[tiab])</w:t>
      </w:r>
    </w:p>
    <w:p w:rsidR="00A141B2" w:rsidRPr="00B30DDC" w:rsidRDefault="00A141B2" w:rsidP="00A141B2">
      <w:pPr>
        <w:pStyle w:val="NoSpacing"/>
        <w:rPr>
          <w:rFonts w:ascii="Times New Roman" w:hAnsi="Times New Roman" w:cs="Times New Roman"/>
          <w:lang w:eastAsia="en-IN"/>
        </w:rPr>
      </w:pPr>
      <w:r w:rsidRPr="00B30DDC">
        <w:rPr>
          <w:rFonts w:ascii="Times New Roman" w:hAnsi="Times New Roman" w:cs="Times New Roman"/>
          <w:lang w:eastAsia="en-IN"/>
        </w:rPr>
        <w:t>AND</w:t>
      </w:r>
    </w:p>
    <w:p w:rsidR="00A141B2" w:rsidRPr="00B30DDC" w:rsidRDefault="00A141B2" w:rsidP="00A141B2">
      <w:pPr>
        <w:pStyle w:val="NoSpacing"/>
        <w:rPr>
          <w:rFonts w:ascii="Times New Roman" w:hAnsi="Times New Roman" w:cs="Times New Roman"/>
          <w:lang w:eastAsia="en-IN"/>
        </w:rPr>
      </w:pPr>
      <w:r w:rsidRPr="00B30DDC">
        <w:rPr>
          <w:rFonts w:ascii="Times New Roman" w:hAnsi="Times New Roman" w:cs="Times New Roman"/>
          <w:lang w:eastAsia="en-IN"/>
        </w:rPr>
        <w:t>(mutation*[tiab] OR "Exon 19"[tiab] OR "Exon 21"[tiab] OR L858R[tiab])</w:t>
      </w:r>
    </w:p>
    <w:p w:rsidR="00A141B2" w:rsidRPr="00B30DDC" w:rsidRDefault="00A141B2" w:rsidP="00A141B2">
      <w:pPr>
        <w:pStyle w:val="NoSpacing"/>
        <w:rPr>
          <w:rFonts w:ascii="Times New Roman" w:hAnsi="Times New Roman" w:cs="Times New Roman"/>
          <w:lang w:eastAsia="en-IN"/>
        </w:rPr>
      </w:pPr>
      <w:r w:rsidRPr="00B30DDC">
        <w:rPr>
          <w:rFonts w:ascii="Times New Roman" w:hAnsi="Times New Roman" w:cs="Times New Roman"/>
          <w:lang w:eastAsia="en-IN"/>
        </w:rPr>
        <w:t>AND</w:t>
      </w:r>
    </w:p>
    <w:p w:rsidR="00A141B2" w:rsidRPr="00B30DDC" w:rsidRDefault="00A141B2" w:rsidP="00A141B2">
      <w:pPr>
        <w:pStyle w:val="NoSpacing"/>
        <w:rPr>
          <w:rFonts w:ascii="Times New Roman" w:hAnsi="Times New Roman" w:cs="Times New Roman"/>
          <w:lang w:eastAsia="en-IN"/>
        </w:rPr>
      </w:pPr>
      <w:r w:rsidRPr="00B30DDC">
        <w:rPr>
          <w:rFonts w:ascii="Times New Roman" w:hAnsi="Times New Roman" w:cs="Times New Roman"/>
          <w:lang w:eastAsia="en-IN"/>
        </w:rPr>
        <w:t>(afatinib[tiab] OR dacomitinib[tiab] OR osimertinib[tiab] OR gefitinib[tiab] OR erlotinib[tiab] OR aumolertinib[tiab] OR furmonertinib[tiab] OR icotinib[tiab] OR befotertinib[tiab] OR "EGFR-TKI"[tiab] OR "tyrosine kinase inhibitor"[tiab])</w:t>
      </w:r>
    </w:p>
    <w:p w:rsidR="00A141B2" w:rsidRPr="00B30DDC" w:rsidRDefault="00A141B2" w:rsidP="00A141B2">
      <w:pPr>
        <w:pStyle w:val="NoSpacing"/>
        <w:rPr>
          <w:rFonts w:ascii="Times New Roman" w:hAnsi="Times New Roman" w:cs="Times New Roman"/>
          <w:lang w:eastAsia="en-IN"/>
        </w:rPr>
      </w:pPr>
      <w:r w:rsidRPr="00B30DDC">
        <w:rPr>
          <w:rFonts w:ascii="Times New Roman" w:hAnsi="Times New Roman" w:cs="Times New Roman"/>
          <w:lang w:eastAsia="en-IN"/>
        </w:rPr>
        <w:t>AND</w:t>
      </w:r>
    </w:p>
    <w:p w:rsidR="00A141B2" w:rsidRPr="00B30DDC" w:rsidRDefault="00A141B2" w:rsidP="00A141B2">
      <w:pPr>
        <w:pStyle w:val="NoSpacing"/>
        <w:rPr>
          <w:rFonts w:ascii="Times New Roman" w:hAnsi="Times New Roman" w:cs="Times New Roman"/>
          <w:lang w:eastAsia="en-IN"/>
        </w:rPr>
      </w:pPr>
      <w:r w:rsidRPr="00B30DDC">
        <w:rPr>
          <w:rFonts w:ascii="Times New Roman" w:hAnsi="Times New Roman" w:cs="Times New Roman"/>
          <w:lang w:eastAsia="en-IN"/>
        </w:rPr>
        <w:t>(randomized controlled trial[pt] OR randomized[tiab] OR randomly[tiab] OR trial[ti]))</w:t>
      </w:r>
    </w:p>
    <w:p w:rsidR="00A141B2" w:rsidRPr="00B30DDC" w:rsidRDefault="00A141B2" w:rsidP="00A141B2">
      <w:pPr>
        <w:spacing w:before="100" w:beforeAutospacing="1" w:after="100" w:afterAutospacing="1" w:line="240" w:lineRule="auto"/>
        <w:outlineLvl w:val="3"/>
        <w:rPr>
          <w:rFonts w:ascii="Times New Roman" w:eastAsia="Times New Roman" w:hAnsi="Times New Roman" w:cs="Times New Roman"/>
          <w:b/>
          <w:bCs/>
          <w:lang w:eastAsia="en-IN"/>
        </w:rPr>
      </w:pPr>
      <w:r w:rsidRPr="00B30DDC">
        <w:rPr>
          <w:rFonts w:ascii="Times New Roman" w:eastAsia="Times New Roman" w:hAnsi="Times New Roman" w:cs="Times New Roman"/>
          <w:b/>
          <w:bCs/>
          <w:lang w:eastAsia="en-IN"/>
        </w:rPr>
        <w:t>2. Embase</w:t>
      </w:r>
    </w:p>
    <w:p w:rsidR="00A141B2" w:rsidRPr="00B30DDC" w:rsidRDefault="00A141B2" w:rsidP="00A141B2">
      <w:pPr>
        <w:pStyle w:val="NoSpacing"/>
        <w:rPr>
          <w:rFonts w:ascii="Times New Roman" w:hAnsi="Times New Roman" w:cs="Times New Roman"/>
          <w:lang w:eastAsia="en-IN"/>
        </w:rPr>
      </w:pPr>
      <w:r w:rsidRPr="00B30DDC">
        <w:rPr>
          <w:rFonts w:ascii="Times New Roman" w:hAnsi="Times New Roman" w:cs="Times New Roman"/>
          <w:lang w:eastAsia="en-IN"/>
        </w:rPr>
        <w:t>('non small cell lung cancer'/exp OR 'nsclc':ti,ab OR 'non small cell lung cancer':ti,ab)</w:t>
      </w:r>
    </w:p>
    <w:p w:rsidR="00A141B2" w:rsidRPr="00B30DDC" w:rsidRDefault="00A141B2" w:rsidP="00A141B2">
      <w:pPr>
        <w:pStyle w:val="NoSpacing"/>
        <w:rPr>
          <w:rFonts w:ascii="Times New Roman" w:hAnsi="Times New Roman" w:cs="Times New Roman"/>
          <w:lang w:eastAsia="en-IN"/>
        </w:rPr>
      </w:pPr>
      <w:r w:rsidRPr="00B30DDC">
        <w:rPr>
          <w:rFonts w:ascii="Times New Roman" w:hAnsi="Times New Roman" w:cs="Times New Roman"/>
          <w:lang w:eastAsia="en-IN"/>
        </w:rPr>
        <w:t>AND</w:t>
      </w:r>
    </w:p>
    <w:p w:rsidR="00A141B2" w:rsidRPr="00B30DDC" w:rsidRDefault="00A141B2" w:rsidP="00A141B2">
      <w:pPr>
        <w:pStyle w:val="NoSpacing"/>
        <w:rPr>
          <w:rFonts w:ascii="Times New Roman" w:hAnsi="Times New Roman" w:cs="Times New Roman"/>
          <w:lang w:eastAsia="en-IN"/>
        </w:rPr>
      </w:pPr>
      <w:r w:rsidRPr="00B30DDC">
        <w:rPr>
          <w:rFonts w:ascii="Times New Roman" w:hAnsi="Times New Roman" w:cs="Times New Roman"/>
          <w:lang w:eastAsia="en-IN"/>
        </w:rPr>
        <w:t>('epidermal growth factor receptor'/exp OR egfr:ti,ab)</w:t>
      </w:r>
    </w:p>
    <w:p w:rsidR="00A141B2" w:rsidRPr="00B30DDC" w:rsidRDefault="00A141B2" w:rsidP="00A141B2">
      <w:pPr>
        <w:pStyle w:val="NoSpacing"/>
        <w:rPr>
          <w:rFonts w:ascii="Times New Roman" w:hAnsi="Times New Roman" w:cs="Times New Roman"/>
          <w:lang w:eastAsia="en-IN"/>
        </w:rPr>
      </w:pPr>
      <w:r w:rsidRPr="00B30DDC">
        <w:rPr>
          <w:rFonts w:ascii="Times New Roman" w:hAnsi="Times New Roman" w:cs="Times New Roman"/>
          <w:lang w:eastAsia="en-IN"/>
        </w:rPr>
        <w:t>AND</w:t>
      </w:r>
    </w:p>
    <w:p w:rsidR="00A141B2" w:rsidRPr="00B30DDC" w:rsidRDefault="00A141B2" w:rsidP="00A141B2">
      <w:pPr>
        <w:pStyle w:val="NoSpacing"/>
        <w:rPr>
          <w:rFonts w:ascii="Times New Roman" w:hAnsi="Times New Roman" w:cs="Times New Roman"/>
          <w:lang w:eastAsia="en-IN"/>
        </w:rPr>
      </w:pPr>
      <w:r w:rsidRPr="00B30DDC">
        <w:rPr>
          <w:rFonts w:ascii="Times New Roman" w:hAnsi="Times New Roman" w:cs="Times New Roman"/>
          <w:lang w:eastAsia="en-IN"/>
        </w:rPr>
        <w:t>(mutation*:ti,ab OR 'exon 19':ti,ab OR 'exon 21':ti,ab OR l858r:ti,ab)</w:t>
      </w:r>
    </w:p>
    <w:p w:rsidR="00A141B2" w:rsidRPr="00B30DDC" w:rsidRDefault="00A141B2" w:rsidP="00A141B2">
      <w:pPr>
        <w:pStyle w:val="NoSpacing"/>
        <w:rPr>
          <w:rFonts w:ascii="Times New Roman" w:hAnsi="Times New Roman" w:cs="Times New Roman"/>
          <w:lang w:eastAsia="en-IN"/>
        </w:rPr>
      </w:pPr>
      <w:r w:rsidRPr="00B30DDC">
        <w:rPr>
          <w:rFonts w:ascii="Times New Roman" w:hAnsi="Times New Roman" w:cs="Times New Roman"/>
          <w:lang w:eastAsia="en-IN"/>
        </w:rPr>
        <w:t>AND</w:t>
      </w:r>
    </w:p>
    <w:p w:rsidR="00A141B2" w:rsidRPr="00B30DDC" w:rsidRDefault="00A141B2" w:rsidP="00A141B2">
      <w:pPr>
        <w:pStyle w:val="NoSpacing"/>
        <w:rPr>
          <w:rFonts w:ascii="Times New Roman" w:hAnsi="Times New Roman" w:cs="Times New Roman"/>
          <w:lang w:eastAsia="en-IN"/>
        </w:rPr>
      </w:pPr>
      <w:r w:rsidRPr="00B30DDC">
        <w:rPr>
          <w:rFonts w:ascii="Times New Roman" w:hAnsi="Times New Roman" w:cs="Times New Roman"/>
          <w:lang w:eastAsia="en-IN"/>
        </w:rPr>
        <w:t>(afatinib:ti,ab OR dacomitinib:ti,ab OR osimertinib:ti,ab OR gefitinib:ti,ab OR erlotinib:ti,ab OR aumolertinib:ti,ab OR furmonertinib:ti,ab OR icotinib:ti,ab OR befotertinib:ti,ab OR 'tyrosine kinase inhibitor':ti,ab)</w:t>
      </w:r>
    </w:p>
    <w:p w:rsidR="00A141B2" w:rsidRPr="00B30DDC" w:rsidRDefault="00A141B2" w:rsidP="00A141B2">
      <w:pPr>
        <w:pStyle w:val="NoSpacing"/>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AND</w:t>
      </w:r>
    </w:p>
    <w:p w:rsidR="00A141B2" w:rsidRPr="00B30DDC" w:rsidRDefault="00A141B2" w:rsidP="00A141B2">
      <w:pPr>
        <w:pStyle w:val="NoSpacing"/>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('randomized controlled trial'/exp OR random*:ti,ab OR placebo*:ti,ab)</w:t>
      </w:r>
    </w:p>
    <w:p w:rsidR="00A141B2" w:rsidRPr="00B30DDC" w:rsidRDefault="00A141B2" w:rsidP="00A141B2">
      <w:pPr>
        <w:spacing w:before="100" w:beforeAutospacing="1" w:after="100" w:afterAutospacing="1" w:line="240" w:lineRule="auto"/>
        <w:outlineLvl w:val="3"/>
        <w:rPr>
          <w:rFonts w:ascii="Times New Roman" w:eastAsia="Times New Roman" w:hAnsi="Times New Roman" w:cs="Times New Roman"/>
          <w:b/>
          <w:bCs/>
          <w:lang w:eastAsia="en-IN"/>
        </w:rPr>
      </w:pPr>
      <w:r w:rsidRPr="00B30DDC">
        <w:rPr>
          <w:rFonts w:ascii="Times New Roman" w:eastAsia="Times New Roman" w:hAnsi="Times New Roman" w:cs="Times New Roman"/>
          <w:b/>
          <w:bCs/>
          <w:lang w:eastAsia="en-IN"/>
        </w:rPr>
        <w:t>3. Scopus</w:t>
      </w:r>
    </w:p>
    <w:p w:rsidR="00A141B2" w:rsidRPr="00B30DDC" w:rsidRDefault="00A141B2" w:rsidP="00A141B2">
      <w:pPr>
        <w:spacing w:before="100" w:beforeAutospacing="1" w:after="100" w:afterAutospacing="1" w:line="240" w:lineRule="auto"/>
        <w:outlineLvl w:val="3"/>
        <w:rPr>
          <w:rFonts w:ascii="Times New Roman" w:eastAsia="Times New Roman" w:hAnsi="Times New Roman" w:cs="Times New Roman"/>
          <w:b/>
          <w:bCs/>
          <w:lang w:eastAsia="en-IN"/>
        </w:rPr>
      </w:pPr>
      <w:r w:rsidRPr="00B30DDC">
        <w:rPr>
          <w:rFonts w:ascii="Times New Roman" w:hAnsi="Times New Roman" w:cs="Times New Roman"/>
        </w:rPr>
        <w:t>(TITLE-ABS-KEY ("non small cell lung cancer" OR NSCLC))</w:t>
      </w:r>
      <w:r w:rsidRPr="00B30DDC">
        <w:rPr>
          <w:rFonts w:ascii="Times New Roman" w:hAnsi="Times New Roman" w:cs="Times New Roman"/>
        </w:rPr>
        <w:br/>
        <w:t>AND</w:t>
      </w:r>
      <w:r w:rsidRPr="00B30DDC">
        <w:rPr>
          <w:rFonts w:ascii="Times New Roman" w:hAnsi="Times New Roman" w:cs="Times New Roman"/>
        </w:rPr>
        <w:br/>
        <w:t>(TITLE-ABS-KEY (EGFR AND mutation OR "exon 19" OR "exon 21" OR L858R))</w:t>
      </w:r>
      <w:r w:rsidRPr="00B30DDC">
        <w:rPr>
          <w:rFonts w:ascii="Times New Roman" w:hAnsi="Times New Roman" w:cs="Times New Roman"/>
        </w:rPr>
        <w:br/>
        <w:t>AND</w:t>
      </w:r>
      <w:r w:rsidRPr="00B30DDC">
        <w:rPr>
          <w:rFonts w:ascii="Times New Roman" w:hAnsi="Times New Roman" w:cs="Times New Roman"/>
        </w:rPr>
        <w:br/>
        <w:t>(TITLE-ABS-KEY (afatinib OR dacomitinib OR osimertinib OR gefitinib OR erlotinib OR aumolertinib OR furmonertinib OR icotinib OR befotertinib OR "tyrosine kinase inhibitor"))</w:t>
      </w:r>
      <w:r w:rsidRPr="00B30DDC">
        <w:rPr>
          <w:rFonts w:ascii="Times New Roman" w:hAnsi="Times New Roman" w:cs="Times New Roman"/>
        </w:rPr>
        <w:br/>
        <w:t>AND</w:t>
      </w:r>
      <w:r w:rsidRPr="00B30DDC">
        <w:rPr>
          <w:rFonts w:ascii="Times New Roman" w:hAnsi="Times New Roman" w:cs="Times New Roman"/>
        </w:rPr>
        <w:br/>
        <w:t>(TITLE-ABS-KEY (randomized OR randomised OR trial))</w:t>
      </w:r>
    </w:p>
    <w:p w:rsidR="00A141B2" w:rsidRPr="00B30DDC" w:rsidRDefault="00A141B2" w:rsidP="00A141B2">
      <w:pPr>
        <w:spacing w:before="100" w:beforeAutospacing="1" w:after="100" w:afterAutospacing="1" w:line="240" w:lineRule="auto"/>
        <w:outlineLvl w:val="3"/>
        <w:rPr>
          <w:rFonts w:ascii="Times New Roman" w:eastAsia="Times New Roman" w:hAnsi="Times New Roman" w:cs="Times New Roman"/>
          <w:b/>
          <w:bCs/>
          <w:lang w:eastAsia="en-IN"/>
        </w:rPr>
      </w:pPr>
      <w:r w:rsidRPr="00B30DDC">
        <w:rPr>
          <w:rFonts w:ascii="Times New Roman" w:eastAsia="Times New Roman" w:hAnsi="Times New Roman" w:cs="Times New Roman"/>
          <w:b/>
          <w:bCs/>
          <w:lang w:eastAsia="en-IN"/>
        </w:rPr>
        <w:t>4. Cochrane Library (CENTRAL)</w:t>
      </w:r>
    </w:p>
    <w:p w:rsidR="00782B8B" w:rsidRPr="00B30DDC" w:rsidRDefault="00B22445" w:rsidP="008618F2">
      <w:pPr>
        <w:spacing w:before="100" w:beforeAutospacing="1" w:after="100" w:afterAutospacing="1" w:line="240" w:lineRule="auto"/>
        <w:outlineLvl w:val="3"/>
        <w:rPr>
          <w:rFonts w:ascii="Times New Roman" w:hAnsi="Times New Roman" w:cs="Times New Roman"/>
        </w:rPr>
      </w:pPr>
      <w:r w:rsidRPr="00B30DDC">
        <w:rPr>
          <w:rFonts w:ascii="Times New Roman" w:hAnsi="Times New Roman" w:cs="Times New Roman"/>
        </w:rPr>
        <w:t>("non small cell lung cancer" OR NSCLC)</w:t>
      </w:r>
      <w:r w:rsidRPr="00B30DDC">
        <w:rPr>
          <w:rFonts w:ascii="Times New Roman" w:hAnsi="Times New Roman" w:cs="Times New Roman"/>
        </w:rPr>
        <w:br/>
        <w:t>AND</w:t>
      </w:r>
      <w:r w:rsidRPr="00B30DDC">
        <w:rPr>
          <w:rFonts w:ascii="Times New Roman" w:hAnsi="Times New Roman" w:cs="Times New Roman"/>
        </w:rPr>
        <w:br/>
        <w:t>(EGFR OR "epidermal growth factor receptor")</w:t>
      </w:r>
      <w:r w:rsidRPr="00B30DDC">
        <w:rPr>
          <w:rFonts w:ascii="Times New Roman" w:hAnsi="Times New Roman" w:cs="Times New Roman"/>
        </w:rPr>
        <w:br/>
        <w:t>AND</w:t>
      </w:r>
      <w:r w:rsidRPr="00B30DDC">
        <w:rPr>
          <w:rFonts w:ascii="Times New Roman" w:hAnsi="Times New Roman" w:cs="Times New Roman"/>
        </w:rPr>
        <w:br/>
        <w:t>(mutation OR "exon 19" OR "exon 21" OR L858R)</w:t>
      </w:r>
      <w:r w:rsidRPr="00B30DDC">
        <w:rPr>
          <w:rFonts w:ascii="Times New Roman" w:hAnsi="Times New Roman" w:cs="Times New Roman"/>
        </w:rPr>
        <w:br/>
      </w:r>
      <w:r w:rsidRPr="00B30DDC">
        <w:rPr>
          <w:rFonts w:ascii="Times New Roman" w:hAnsi="Times New Roman" w:cs="Times New Roman"/>
        </w:rPr>
        <w:lastRenderedPageBreak/>
        <w:t>AND</w:t>
      </w:r>
      <w:r w:rsidRPr="00B30DDC">
        <w:rPr>
          <w:rFonts w:ascii="Times New Roman" w:hAnsi="Times New Roman" w:cs="Times New Roman"/>
        </w:rPr>
        <w:br/>
        <w:t>(afatinib OR dacomitinib OR osimertinib OR gefitinib OR erlotinib OR aumolertinib OR furmonertinib OR icotinib OR befotertinib OR "tyrosine kinase inhibitor")</w:t>
      </w:r>
    </w:p>
    <w:p w:rsidR="008618F2" w:rsidRPr="00D942A7" w:rsidRDefault="008618F2" w:rsidP="00D460DA">
      <w:pPr>
        <w:spacing w:before="100" w:beforeAutospacing="1" w:after="100" w:afterAutospacing="1" w:line="240" w:lineRule="auto"/>
        <w:rPr>
          <w:rStyle w:val="Strong"/>
          <w:rFonts w:ascii="Times New Roman" w:eastAsia="Times New Roman" w:hAnsi="Times New Roman" w:cs="Times New Roman"/>
          <w:b w:val="0"/>
          <w:bCs w:val="0"/>
          <w:sz w:val="24"/>
          <w:lang w:eastAsia="en-IN"/>
        </w:rPr>
      </w:pPr>
      <w:r w:rsidRPr="00D942A7">
        <w:rPr>
          <w:rFonts w:ascii="Times New Roman" w:eastAsia="Times New Roman" w:hAnsi="Times New Roman" w:cs="Times New Roman"/>
          <w:b/>
          <w:bCs/>
          <w:sz w:val="24"/>
          <w:lang w:eastAsia="en-IN"/>
        </w:rPr>
        <w:t>Supplementary</w:t>
      </w:r>
      <w:r w:rsidR="00246892" w:rsidRPr="00D942A7">
        <w:rPr>
          <w:rFonts w:ascii="Times New Roman" w:eastAsia="Times New Roman" w:hAnsi="Times New Roman" w:cs="Times New Roman"/>
          <w:b/>
          <w:bCs/>
          <w:sz w:val="24"/>
          <w:lang w:eastAsia="en-IN"/>
        </w:rPr>
        <w:t xml:space="preserve"> Table </w:t>
      </w:r>
      <w:r w:rsidR="00921DAB">
        <w:rPr>
          <w:rFonts w:ascii="Times New Roman" w:eastAsia="Times New Roman" w:hAnsi="Times New Roman" w:cs="Times New Roman"/>
          <w:b/>
          <w:bCs/>
          <w:sz w:val="24"/>
          <w:lang w:eastAsia="en-IN"/>
        </w:rPr>
        <w:t>S</w:t>
      </w:r>
      <w:r w:rsidR="00246892" w:rsidRPr="00D942A7">
        <w:rPr>
          <w:rFonts w:ascii="Times New Roman" w:eastAsia="Times New Roman" w:hAnsi="Times New Roman" w:cs="Times New Roman"/>
          <w:b/>
          <w:bCs/>
          <w:sz w:val="24"/>
          <w:lang w:eastAsia="en-IN"/>
        </w:rPr>
        <w:t>1</w:t>
      </w:r>
      <w:r w:rsidRPr="00D942A7">
        <w:rPr>
          <w:rFonts w:ascii="Times New Roman" w:eastAsia="Times New Roman" w:hAnsi="Times New Roman" w:cs="Times New Roman"/>
          <w:b/>
          <w:bCs/>
          <w:sz w:val="24"/>
          <w:lang w:eastAsia="en-IN"/>
        </w:rPr>
        <w:t xml:space="preserve">. </w:t>
      </w:r>
      <w:r w:rsidRPr="00D942A7">
        <w:rPr>
          <w:rFonts w:ascii="Times New Roman" w:eastAsia="Times New Roman" w:hAnsi="Times New Roman" w:cs="Times New Roman"/>
          <w:bCs/>
          <w:sz w:val="24"/>
          <w:lang w:eastAsia="en-IN"/>
        </w:rPr>
        <w:t xml:space="preserve">Excluded </w:t>
      </w:r>
      <w:r w:rsidR="00921DAB">
        <w:rPr>
          <w:rFonts w:ascii="Times New Roman" w:eastAsia="Times New Roman" w:hAnsi="Times New Roman" w:cs="Times New Roman"/>
          <w:bCs/>
          <w:sz w:val="24"/>
          <w:lang w:eastAsia="en-IN"/>
        </w:rPr>
        <w:t>Studies</w:t>
      </w:r>
    </w:p>
    <w:tbl>
      <w:tblPr>
        <w:tblStyle w:val="TableGrid"/>
        <w:tblW w:w="0" w:type="auto"/>
        <w:tblLook w:val="04A0" w:firstRow="1" w:lastRow="0" w:firstColumn="1" w:lastColumn="0" w:noHBand="0" w:noVBand="1"/>
      </w:tblPr>
      <w:tblGrid>
        <w:gridCol w:w="700"/>
        <w:gridCol w:w="4528"/>
        <w:gridCol w:w="1760"/>
        <w:gridCol w:w="2028"/>
      </w:tblGrid>
      <w:tr w:rsidR="008618F2" w:rsidRPr="00B30DDC" w:rsidTr="008618F2">
        <w:trPr>
          <w:trHeight w:val="6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1</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Osimertinib after Chemoradiotherapy in Stage III EGFR-Mutated NSCLC.</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NCT03521154</w:t>
            </w: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Previously treated / not first-line setting</w:t>
            </w:r>
          </w:p>
        </w:tc>
      </w:tr>
      <w:tr w:rsidR="008618F2" w:rsidRPr="00B30DDC" w:rsidTr="008618F2">
        <w:trPr>
          <w:trHeight w:val="6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2</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ADAURA: Phase III, Double-blind, Randomized Study of Osimertinib Versus Placebo in EGFR Mutation-positive Early-stage NSCLC After Complete Surgical Resection.</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NCT02511106</w:t>
            </w: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Early-stage disease / placebo comparator</w:t>
            </w:r>
          </w:p>
        </w:tc>
      </w:tr>
      <w:tr w:rsidR="008618F2" w:rsidRPr="00B30DDC" w:rsidTr="008618F2">
        <w:trPr>
          <w:trHeight w:val="9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3</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Three-Year Safety, Tolerability, and Health-Related Quality of Life Outcomes of Adjuvant Osimertinib in Patients With Resected Stage IB to IIIA EGFR-Mutated NSCLC: Updated Analysis From the Phase 3 ADAURA Trial.</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NCT02511106</w:t>
            </w: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Subgroup / secondary analysis</w:t>
            </w:r>
          </w:p>
        </w:tc>
      </w:tr>
      <w:tr w:rsidR="008618F2" w:rsidRPr="00B30DDC" w:rsidTr="008618F2">
        <w:trPr>
          <w:trHeight w:val="9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4</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Gefitinib (an EGFR tyrosine kinase inhibitor) plus anlotinib (an multikinase inhibitor) for untreated, EGFR-mutated, advanced non-small cell lung cancer (FL-ALTER): a multicenter phase III trial.</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NCT04028778</w:t>
            </w: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Combination therapy (non–head-to-head TKI)</w:t>
            </w:r>
          </w:p>
        </w:tc>
      </w:tr>
      <w:tr w:rsidR="008618F2" w:rsidRPr="00B30DDC" w:rsidTr="008618F2">
        <w:trPr>
          <w:trHeight w:val="6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5</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Lazertinib Versus Gefitinib Tyrosine Kinase Inhibitors in Treatment-Naïve Patients With EGFR-Mutated Advanced NSCLC: Analysis of the Asian Subpopulation in LASER301.</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NCT04248829</w:t>
            </w: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Subgroup analysis</w:t>
            </w:r>
          </w:p>
        </w:tc>
      </w:tr>
      <w:tr w:rsidR="008618F2" w:rsidRPr="00B30DDC" w:rsidTr="008618F2">
        <w:trPr>
          <w:trHeight w:val="6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6</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Central Nervous System Efficacy of Furmonertinib (AST2818) Versus Gefitinib as First-Line Treatment for EGFR-Mutated NSCLC: Results From the FURLONG Study.</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NCT03787992</w:t>
            </w: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Subgroup analysis</w:t>
            </w:r>
          </w:p>
        </w:tc>
      </w:tr>
      <w:tr w:rsidR="008618F2" w:rsidRPr="00B30DDC" w:rsidTr="008618F2">
        <w:trPr>
          <w:trHeight w:val="6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7</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Lazertinib versus Gefitinib as First-Line Treatment for EGFR-mutated Locally Advanced or Metastatic NSCLC: LASER301 Korean Subset.</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NCT04248829</w:t>
            </w: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Subgroup analysis</w:t>
            </w:r>
          </w:p>
        </w:tc>
      </w:tr>
      <w:tr w:rsidR="008618F2" w:rsidRPr="00B30DDC" w:rsidTr="008618F2">
        <w:trPr>
          <w:trHeight w:val="9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8</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First-line afatinib vs gefitinib for patients with EGFR mutation-positive NSCLC (LUX-Lung 7): impact of afatinib dose adjustment and analysis of mode of initial progression for patients who continued treatment beyond progression.</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NCT01466660</w:t>
            </w: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Subgroup / secondary analysis</w:t>
            </w:r>
          </w:p>
        </w:tc>
      </w:tr>
      <w:tr w:rsidR="008618F2" w:rsidRPr="00B30DDC" w:rsidTr="008618F2">
        <w:trPr>
          <w:trHeight w:val="6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9</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The patient's perspective on treatment with dacomitinib: patient-reported outcomes from the Phase III trial ARCHER 1050.</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NCT01774721</w:t>
            </w: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Subgroup / secondary analysis</w:t>
            </w:r>
          </w:p>
        </w:tc>
      </w:tr>
      <w:tr w:rsidR="008618F2" w:rsidRPr="00B30DDC" w:rsidTr="008618F2">
        <w:trPr>
          <w:trHeight w:val="6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10</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Cost-effectiveness of Osimertinib in the First-Line Treatment of Patients With EGFR-Mutated Advanced Non-Small Cell Lung Cancer.</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NCT02296125</w:t>
            </w: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Economic analysis</w:t>
            </w:r>
          </w:p>
        </w:tc>
      </w:tr>
      <w:tr w:rsidR="008618F2" w:rsidRPr="00B30DDC" w:rsidTr="008618F2">
        <w:trPr>
          <w:trHeight w:val="6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11</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Adjuvant Erlotinib Versus Placebo in Patients With Stage IB-IIIA Non-Small-Cell Lung Cancer (RADIANT): A Randomized, Double-Blind, Phase III Trial.</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NCT00373425</w:t>
            </w: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Placebo comparator</w:t>
            </w:r>
          </w:p>
        </w:tc>
      </w:tr>
      <w:tr w:rsidR="008618F2" w:rsidRPr="00B30DDC" w:rsidTr="008618F2">
        <w:trPr>
          <w:trHeight w:val="6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12</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Gefitinib versus placebo in completely resected non-small-cell lung cancer: results of the NCIC CTG BR19 study.</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NCT00049543</w:t>
            </w: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Placebo comparator</w:t>
            </w:r>
          </w:p>
        </w:tc>
      </w:tr>
      <w:tr w:rsidR="008618F2" w:rsidRPr="00B30DDC" w:rsidTr="008618F2">
        <w:trPr>
          <w:trHeight w:val="9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13</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Final overall survival results from a phase III, randomized, placebo-controlled, parallel-group study of gefitinib versus placebo as maintenance therapy in patients with locally advanced or metastatic non-small-cell lung cancer (INFORM; C-TONG 0804).</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NCT00770588</w:t>
            </w: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Maintenance / placebo comparator</w:t>
            </w:r>
          </w:p>
        </w:tc>
      </w:tr>
      <w:tr w:rsidR="008618F2" w:rsidRPr="00B30DDC" w:rsidTr="008618F2">
        <w:trPr>
          <w:trHeight w:val="6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14</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Dacomitinib versus erlotinib in patients with advanced-stage, previously treated non-small-cell lung cancer (ARCHER 1009): a randomised, double-blind, phase 3 trial.</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NCT01360554</w:t>
            </w: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Previously treated population</w:t>
            </w:r>
          </w:p>
        </w:tc>
      </w:tr>
      <w:tr w:rsidR="008618F2" w:rsidRPr="00B30DDC" w:rsidTr="008618F2">
        <w:trPr>
          <w:trHeight w:val="9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15</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A phase III, randomized, open-label study of ASP8273 versus erlotinib or gefitinib in patients with advanced stage IIIB/IV non-small-cell lung cancer.</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NCT02588261</w:t>
            </w: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Investigational TKI not relevant to current clinical practice</w:t>
            </w:r>
          </w:p>
        </w:tc>
      </w:tr>
      <w:tr w:rsidR="008618F2" w:rsidRPr="00B30DDC" w:rsidTr="008618F2">
        <w:trPr>
          <w:trHeight w:val="6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16</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Randomized phase II study of erlotinib plus tivantinib versus erlotinib plus placebo in previously treated non-small-cell lung cancer.</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NCT00777309</w:t>
            </w: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Combination therapy</w:t>
            </w:r>
          </w:p>
        </w:tc>
      </w:tr>
      <w:tr w:rsidR="008618F2" w:rsidRPr="00B30DDC" w:rsidTr="008618F2">
        <w:trPr>
          <w:trHeight w:val="9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17</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Phase III Multinational, Randomized, Double-Blind, Placebo-Controlled Study of Tivantinib (ARQ 197) Plus Erlotinib Versus Erlotinib Alone in Previously Treated Patients With Locally Advanced or Metastatic Nonsquamous Non-Small-Cell Lung Cancer.</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NCT01244191</w:t>
            </w: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Combination therapy</w:t>
            </w:r>
          </w:p>
        </w:tc>
      </w:tr>
      <w:tr w:rsidR="008618F2" w:rsidRPr="00B30DDC" w:rsidTr="008618F2">
        <w:trPr>
          <w:trHeight w:val="9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18</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Rationale and design of MARQUEE: a phase III, randomized, double-blind study of tivantinib plus erlotinib versus placebo plus erlotinib in previously treated patients with locally advanced or metastatic, nonsquamous, non-small-cell lung cancer.</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NCT01244191</w:t>
            </w: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Study design</w:t>
            </w:r>
          </w:p>
        </w:tc>
      </w:tr>
      <w:tr w:rsidR="008618F2" w:rsidRPr="00B30DDC" w:rsidTr="008618F2">
        <w:trPr>
          <w:trHeight w:val="6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19</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Randomized, double-blind, placebo-controlled, phase II trial of sorafenib and erlotinib or erlotinib alone in previously treated advanced non-small-cell lung cancer.</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NCT00600015</w:t>
            </w: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Combination therapy</w:t>
            </w:r>
          </w:p>
        </w:tc>
      </w:tr>
      <w:tr w:rsidR="008618F2" w:rsidRPr="00B30DDC" w:rsidTr="008618F2">
        <w:trPr>
          <w:trHeight w:val="6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20</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Icotinib versus gefitinib in previously treated advanced non-small-cell lung cancer (ICOGEN): a randomised, double-blind phase 3 non-inferiority trial.</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NCT01040780</w:t>
            </w: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Previously treated population</w:t>
            </w:r>
          </w:p>
        </w:tc>
      </w:tr>
      <w:tr w:rsidR="008618F2" w:rsidRPr="00B30DDC" w:rsidTr="008618F2">
        <w:trPr>
          <w:trHeight w:val="6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21</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Randomized phase II study of gefitinib versus erlotinib in patients with advanced non-small cell lung cancer who failed previous chemotherapy.</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Previously treated population</w:t>
            </w:r>
          </w:p>
        </w:tc>
      </w:tr>
      <w:tr w:rsidR="008618F2" w:rsidRPr="00B30DDC" w:rsidTr="008618F2">
        <w:trPr>
          <w:trHeight w:val="3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22</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Erlotinib versus chemotherapy for advanced NSCLC.</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Non-TKI comparator</w:t>
            </w:r>
          </w:p>
        </w:tc>
      </w:tr>
      <w:tr w:rsidR="008618F2" w:rsidRPr="00B30DDC" w:rsidTr="008618F2">
        <w:trPr>
          <w:trHeight w:val="6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23</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Phase II prospective study of the efficacy of gefitinib for the treatment of stage III/IV non-small cell lung cancer with EGFR mutations, irrespective of previous chemotherapy.</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Non-randomized</w:t>
            </w:r>
          </w:p>
        </w:tc>
      </w:tr>
      <w:tr w:rsidR="008618F2" w:rsidRPr="00B30DDC" w:rsidTr="008618F2">
        <w:trPr>
          <w:trHeight w:val="9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24</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A randomized, double-blind, placebo-controlled, phase III trial of erlotinib with or without a c-Met inhibitor tivantinib (ARQ 197) in Asian patients with previously treated stage IIIB/IV nonsquamous NSCLC harboring wild-type EGFR (ATTENTION study).</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NCT01377376</w:t>
            </w: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Combination therapy</w:t>
            </w:r>
          </w:p>
        </w:tc>
      </w:tr>
      <w:tr w:rsidR="008618F2" w:rsidRPr="00B30DDC" w:rsidTr="008618F2">
        <w:trPr>
          <w:trHeight w:val="6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25</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A Prospective Evaluation of Circulating Tumor Cells and Cell-Free DNA in EGFR-Mutant NSCLC Patients Treated with Erlotinib on a Phase II Trial.</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NCT02279004</w:t>
            </w: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Non-comparative</w:t>
            </w:r>
          </w:p>
        </w:tc>
      </w:tr>
      <w:tr w:rsidR="008618F2" w:rsidRPr="00B30DDC" w:rsidTr="008618F2">
        <w:trPr>
          <w:trHeight w:val="6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26</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Osimertinib treatment based on plasma T790M monitoring in patients with EGFR-mutant NSCLC (APPLE trial).</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NCT02856893</w:t>
            </w: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Non head-to-head TKI design</w:t>
            </w:r>
          </w:p>
        </w:tc>
      </w:tr>
      <w:tr w:rsidR="008618F2" w:rsidRPr="00B30DDC" w:rsidTr="008618F2">
        <w:trPr>
          <w:trHeight w:val="6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27</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Randomized Phase II Study of 3 Months or 2 Years of Adjuvant Afatinib in Patients With Surgically Resected Stage I-III EGFR-Mutant NSCLC.</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NCT01746251</w:t>
            </w: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Early-stage disease</w:t>
            </w:r>
          </w:p>
        </w:tc>
      </w:tr>
      <w:tr w:rsidR="008618F2" w:rsidRPr="00B30DDC" w:rsidTr="008618F2">
        <w:trPr>
          <w:trHeight w:val="6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28</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Randomized Adjuvant Chemotherapy of EGFR-Mutated NSCLC Patients with or without Icotinib Consolidation Therapy.</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NCT02430974</w:t>
            </w: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Combination therapy</w:t>
            </w:r>
          </w:p>
        </w:tc>
      </w:tr>
      <w:tr w:rsidR="008618F2" w:rsidRPr="00B30DDC" w:rsidTr="008618F2">
        <w:trPr>
          <w:trHeight w:val="3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29</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Erlotinib plus placebo study in NSCLC.</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Combination therapy</w:t>
            </w:r>
          </w:p>
        </w:tc>
      </w:tr>
      <w:tr w:rsidR="008618F2" w:rsidRPr="00B30DDC" w:rsidTr="008618F2">
        <w:trPr>
          <w:trHeight w:val="3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30</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Effectiveness of gefitinib against uncommon EGFR mutations.</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Non-comparative</w:t>
            </w:r>
          </w:p>
        </w:tc>
      </w:tr>
      <w:tr w:rsidR="008618F2" w:rsidRPr="00B30DDC" w:rsidTr="008618F2">
        <w:trPr>
          <w:trHeight w:val="6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31</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Epidermal growth factor receptor-related tumor markers and clinical outcomes with erlotinib in NSCLC: TRUST study.</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Observational</w:t>
            </w:r>
          </w:p>
        </w:tc>
      </w:tr>
      <w:tr w:rsidR="008618F2" w:rsidRPr="00B30DDC" w:rsidTr="008618F2">
        <w:trPr>
          <w:trHeight w:val="6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32</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Dacomitinib compared with placebo in pretreated patients with advanced NSCLC (NCIC CTG BR.26).</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NCT01000025</w:t>
            </w: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Placebo comparator</w:t>
            </w:r>
          </w:p>
        </w:tc>
      </w:tr>
      <w:tr w:rsidR="008618F2" w:rsidRPr="00B30DDC" w:rsidTr="008618F2">
        <w:trPr>
          <w:trHeight w:val="6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33</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A phase III randomised controlled trial of erlotinib vs gefitinib in advanced NSCLC with EGFR mutations.</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NCT01024413</w:t>
            </w: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Mixed/unclear treatment setting</w:t>
            </w:r>
          </w:p>
        </w:tc>
      </w:tr>
      <w:tr w:rsidR="008618F2" w:rsidRPr="00B30DDC" w:rsidTr="008618F2">
        <w:trPr>
          <w:trHeight w:val="3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34</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Low-dose gefitinib treatment for advanced NSCLC.</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Non-randomized</w:t>
            </w:r>
          </w:p>
        </w:tc>
      </w:tr>
      <w:tr w:rsidR="008618F2" w:rsidRPr="00B30DDC" w:rsidTr="008618F2">
        <w:trPr>
          <w:trHeight w:val="3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35</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Gefitinib versus Erlotinib as first-line treatment for EGFR mutation-positive NSCLC.</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Non-randomized</w:t>
            </w:r>
          </w:p>
        </w:tc>
      </w:tr>
      <w:tr w:rsidR="008618F2" w:rsidRPr="00B30DDC" w:rsidTr="008618F2">
        <w:trPr>
          <w:trHeight w:val="6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36</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Central Nervous System Outcomes of Lazertinib Versus Gefitinib in EGFR-Mutated Advanced NSCLC.</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NCT04248829</w:t>
            </w: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Subgroup analysis</w:t>
            </w:r>
          </w:p>
        </w:tc>
      </w:tr>
      <w:tr w:rsidR="008618F2" w:rsidRPr="00B30DDC" w:rsidTr="008618F2">
        <w:trPr>
          <w:trHeight w:val="3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37</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AENEAS subgroup analysis.</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NCT03849768</w:t>
            </w: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Subgroup analysis</w:t>
            </w:r>
          </w:p>
        </w:tc>
      </w:tr>
      <w:tr w:rsidR="008618F2" w:rsidRPr="00B30DDC" w:rsidTr="008618F2">
        <w:trPr>
          <w:trHeight w:val="3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38</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Phase II EGFR mutation study.</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Non-randomized</w:t>
            </w:r>
          </w:p>
        </w:tc>
      </w:tr>
      <w:tr w:rsidR="008618F2" w:rsidRPr="00B30DDC" w:rsidTr="008618F2">
        <w:trPr>
          <w:trHeight w:val="3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39</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Erlotinib combination study.</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Combination therapy</w:t>
            </w:r>
          </w:p>
        </w:tc>
      </w:tr>
      <w:tr w:rsidR="008618F2" w:rsidRPr="00B30DDC" w:rsidTr="008618F2">
        <w:trPr>
          <w:trHeight w:val="600"/>
        </w:trPr>
        <w:tc>
          <w:tcPr>
            <w:tcW w:w="70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40</w:t>
            </w:r>
          </w:p>
        </w:tc>
        <w:tc>
          <w:tcPr>
            <w:tcW w:w="87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EGFR TKI after chemotherapy study.</w:t>
            </w:r>
          </w:p>
        </w:tc>
        <w:tc>
          <w:tcPr>
            <w:tcW w:w="1760" w:type="dxa"/>
            <w:noWrap/>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p>
        </w:tc>
        <w:tc>
          <w:tcPr>
            <w:tcW w:w="2860" w:type="dxa"/>
            <w:hideMark/>
          </w:tcPr>
          <w:p w:rsidR="008618F2" w:rsidRPr="00B30DDC" w:rsidRDefault="008618F2" w:rsidP="008618F2">
            <w:pPr>
              <w:spacing w:before="100" w:beforeAutospacing="1" w:after="100" w:afterAutospacing="1"/>
              <w:outlineLvl w:val="3"/>
              <w:rPr>
                <w:rFonts w:ascii="Times New Roman" w:eastAsia="Times New Roman" w:hAnsi="Times New Roman" w:cs="Times New Roman"/>
                <w:bCs/>
                <w:lang w:eastAsia="en-IN"/>
              </w:rPr>
            </w:pPr>
            <w:r w:rsidRPr="00B30DDC">
              <w:rPr>
                <w:rFonts w:ascii="Times New Roman" w:eastAsia="Times New Roman" w:hAnsi="Times New Roman" w:cs="Times New Roman"/>
                <w:bCs/>
                <w:lang w:eastAsia="en-IN"/>
              </w:rPr>
              <w:t>Previously treated population</w:t>
            </w:r>
          </w:p>
        </w:tc>
      </w:tr>
    </w:tbl>
    <w:p w:rsidR="006B3121" w:rsidRPr="00B30DDC" w:rsidRDefault="006B3121" w:rsidP="00A141B2">
      <w:pPr>
        <w:spacing w:before="100" w:beforeAutospacing="1" w:after="100" w:afterAutospacing="1" w:line="240" w:lineRule="auto"/>
        <w:outlineLvl w:val="3"/>
        <w:rPr>
          <w:rFonts w:ascii="Times New Roman" w:eastAsia="Times New Roman" w:hAnsi="Times New Roman" w:cs="Times New Roman"/>
          <w:b/>
          <w:bCs/>
          <w:lang w:eastAsia="en-IN"/>
        </w:rPr>
      </w:pPr>
    </w:p>
    <w:p w:rsidR="00887962" w:rsidRPr="00B30DDC" w:rsidRDefault="00887962">
      <w:pPr>
        <w:rPr>
          <w:rFonts w:ascii="Times New Roman" w:hAnsi="Times New Roman" w:cs="Times New Roman"/>
        </w:rPr>
      </w:pPr>
      <w:r w:rsidRPr="00B30DDC">
        <w:rPr>
          <w:rFonts w:ascii="Times New Roman" w:hAnsi="Times New Roman" w:cs="Times New Roman"/>
        </w:rPr>
        <w:br w:type="page"/>
      </w:r>
    </w:p>
    <w:p w:rsidR="00953100" w:rsidRPr="00B30DDC" w:rsidRDefault="00953100">
      <w:pPr>
        <w:rPr>
          <w:rFonts w:ascii="Times New Roman" w:hAnsi="Times New Roman" w:cs="Times New Roman"/>
        </w:rPr>
      </w:pPr>
    </w:p>
    <w:p w:rsidR="00953100" w:rsidRDefault="00AA58A5" w:rsidP="00953100">
      <w:pPr>
        <w:jc w:val="both"/>
        <w:rPr>
          <w:rFonts w:ascii="Times New Roman" w:eastAsia="Calibri" w:hAnsi="Times New Roman" w:cs="Times New Roman"/>
          <w:sz w:val="24"/>
        </w:rPr>
      </w:pPr>
      <w:r>
        <w:rPr>
          <w:rFonts w:ascii="Times New Roman" w:hAnsi="Times New Roman" w:cs="Times New Roman"/>
          <w:b/>
          <w:sz w:val="24"/>
        </w:rPr>
        <w:t>Supplementary T</w:t>
      </w:r>
      <w:r w:rsidR="00921DAB">
        <w:rPr>
          <w:rFonts w:ascii="Times New Roman" w:hAnsi="Times New Roman" w:cs="Times New Roman"/>
          <w:b/>
          <w:sz w:val="24"/>
        </w:rPr>
        <w:t>able S2</w:t>
      </w:r>
      <w:r w:rsidR="00246892" w:rsidRPr="00D942A7">
        <w:rPr>
          <w:rFonts w:ascii="Times New Roman" w:hAnsi="Times New Roman" w:cs="Times New Roman"/>
          <w:b/>
          <w:sz w:val="24"/>
        </w:rPr>
        <w:t xml:space="preserve">: </w:t>
      </w:r>
      <w:r w:rsidR="00953100" w:rsidRPr="00D942A7">
        <w:rPr>
          <w:rFonts w:ascii="Times New Roman" w:hAnsi="Times New Roman" w:cs="Times New Roman"/>
          <w:sz w:val="24"/>
        </w:rPr>
        <w:t xml:space="preserve">RoB 2 Table – </w:t>
      </w:r>
      <w:r w:rsidR="00953100" w:rsidRPr="00D942A7">
        <w:rPr>
          <w:rFonts w:ascii="Times New Roman" w:eastAsia="Calibri" w:hAnsi="Times New Roman" w:cs="Times New Roman"/>
          <w:sz w:val="24"/>
        </w:rPr>
        <w:t>Overall Survival</w:t>
      </w:r>
      <w:r w:rsidR="003A769C" w:rsidRPr="00D942A7">
        <w:rPr>
          <w:rFonts w:ascii="Times New Roman" w:eastAsia="Calibri" w:hAnsi="Times New Roman" w:cs="Times New Roman"/>
          <w:sz w:val="24"/>
        </w:rPr>
        <w:t>/Progression free survival</w:t>
      </w:r>
    </w:p>
    <w:tbl>
      <w:tblPr>
        <w:tblW w:w="8229" w:type="dxa"/>
        <w:tblLook w:val="04A0" w:firstRow="1" w:lastRow="0" w:firstColumn="1" w:lastColumn="0" w:noHBand="0" w:noVBand="1"/>
      </w:tblPr>
      <w:tblGrid>
        <w:gridCol w:w="1294"/>
        <w:gridCol w:w="1509"/>
        <w:gridCol w:w="1316"/>
        <w:gridCol w:w="582"/>
        <w:gridCol w:w="582"/>
        <w:gridCol w:w="582"/>
        <w:gridCol w:w="582"/>
        <w:gridCol w:w="1022"/>
        <w:gridCol w:w="875"/>
      </w:tblGrid>
      <w:tr w:rsidR="00A956EF" w:rsidRPr="00A956EF" w:rsidTr="00A956EF">
        <w:trPr>
          <w:trHeight w:val="786"/>
        </w:trPr>
        <w:tc>
          <w:tcPr>
            <w:tcW w:w="1476" w:type="dxa"/>
            <w:tcBorders>
              <w:top w:val="single" w:sz="4" w:space="0" w:color="auto"/>
              <w:left w:val="single" w:sz="4" w:space="0" w:color="auto"/>
              <w:bottom w:val="single" w:sz="4" w:space="0" w:color="auto"/>
              <w:right w:val="single" w:sz="4" w:space="0" w:color="auto"/>
            </w:tcBorders>
            <w:shd w:val="clear" w:color="auto" w:fill="auto"/>
            <w:hideMark/>
          </w:tcPr>
          <w:p w:rsidR="00A956EF" w:rsidRPr="00A956EF" w:rsidRDefault="00A956EF" w:rsidP="00A956EF">
            <w:pPr>
              <w:spacing w:after="0" w:line="240" w:lineRule="auto"/>
              <w:jc w:val="center"/>
              <w:rPr>
                <w:rFonts w:ascii="Calibri" w:eastAsia="Times New Roman" w:hAnsi="Calibri" w:cs="Calibri"/>
                <w:b/>
                <w:bCs/>
                <w:color w:val="000000"/>
                <w:lang w:eastAsia="en-IN"/>
              </w:rPr>
            </w:pPr>
            <w:r w:rsidRPr="00A956EF">
              <w:rPr>
                <w:rFonts w:ascii="Calibri" w:eastAsia="Times New Roman" w:hAnsi="Calibri" w:cs="Calibri"/>
                <w:b/>
                <w:bCs/>
                <w:color w:val="000000"/>
                <w:lang w:eastAsia="en-IN"/>
              </w:rPr>
              <w:t>Study (Unique ID)</w:t>
            </w:r>
          </w:p>
        </w:tc>
        <w:tc>
          <w:tcPr>
            <w:tcW w:w="1234" w:type="dxa"/>
            <w:tcBorders>
              <w:top w:val="single" w:sz="4" w:space="0" w:color="auto"/>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jc w:val="center"/>
              <w:rPr>
                <w:rFonts w:ascii="Calibri" w:eastAsia="Times New Roman" w:hAnsi="Calibri" w:cs="Calibri"/>
                <w:b/>
                <w:bCs/>
                <w:color w:val="000000"/>
                <w:lang w:eastAsia="en-IN"/>
              </w:rPr>
            </w:pPr>
            <w:r w:rsidRPr="00A956EF">
              <w:rPr>
                <w:rFonts w:ascii="Calibri" w:eastAsia="Times New Roman" w:hAnsi="Calibri" w:cs="Calibri"/>
                <w:b/>
                <w:bCs/>
                <w:color w:val="000000"/>
                <w:lang w:eastAsia="en-IN"/>
              </w:rPr>
              <w:t>Experimental</w:t>
            </w:r>
          </w:p>
        </w:tc>
        <w:tc>
          <w:tcPr>
            <w:tcW w:w="1076" w:type="dxa"/>
            <w:tcBorders>
              <w:top w:val="single" w:sz="4" w:space="0" w:color="auto"/>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jc w:val="center"/>
              <w:rPr>
                <w:rFonts w:ascii="Calibri" w:eastAsia="Times New Roman" w:hAnsi="Calibri" w:cs="Calibri"/>
                <w:b/>
                <w:bCs/>
                <w:color w:val="000000"/>
                <w:lang w:eastAsia="en-IN"/>
              </w:rPr>
            </w:pPr>
            <w:r w:rsidRPr="00A956EF">
              <w:rPr>
                <w:rFonts w:ascii="Calibri" w:eastAsia="Times New Roman" w:hAnsi="Calibri" w:cs="Calibri"/>
                <w:b/>
                <w:bCs/>
                <w:color w:val="000000"/>
                <w:lang w:eastAsia="en-IN"/>
              </w:rPr>
              <w:t>Comparator</w:t>
            </w:r>
          </w:p>
        </w:tc>
        <w:tc>
          <w:tcPr>
            <w:tcW w:w="710" w:type="dxa"/>
            <w:tcBorders>
              <w:top w:val="single" w:sz="4" w:space="0" w:color="auto"/>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jc w:val="center"/>
              <w:rPr>
                <w:rFonts w:ascii="Calibri" w:eastAsia="Times New Roman" w:hAnsi="Calibri" w:cs="Calibri"/>
                <w:b/>
                <w:bCs/>
                <w:color w:val="000000"/>
                <w:lang w:eastAsia="en-IN"/>
              </w:rPr>
            </w:pPr>
            <w:r w:rsidRPr="00A956EF">
              <w:rPr>
                <w:rFonts w:ascii="Calibri" w:eastAsia="Times New Roman" w:hAnsi="Calibri" w:cs="Calibri"/>
                <w:b/>
                <w:bCs/>
                <w:color w:val="000000"/>
                <w:lang w:eastAsia="en-IN"/>
              </w:rPr>
              <w:t>D1</w:t>
            </w:r>
          </w:p>
        </w:tc>
        <w:tc>
          <w:tcPr>
            <w:tcW w:w="711" w:type="dxa"/>
            <w:tcBorders>
              <w:top w:val="single" w:sz="4" w:space="0" w:color="auto"/>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jc w:val="center"/>
              <w:rPr>
                <w:rFonts w:ascii="Calibri" w:eastAsia="Times New Roman" w:hAnsi="Calibri" w:cs="Calibri"/>
                <w:b/>
                <w:bCs/>
                <w:color w:val="000000"/>
                <w:lang w:eastAsia="en-IN"/>
              </w:rPr>
            </w:pPr>
            <w:r w:rsidRPr="00A956EF">
              <w:rPr>
                <w:rFonts w:ascii="Calibri" w:eastAsia="Times New Roman" w:hAnsi="Calibri" w:cs="Calibri"/>
                <w:b/>
                <w:bCs/>
                <w:color w:val="000000"/>
                <w:lang w:eastAsia="en-IN"/>
              </w:rPr>
              <w:t>D2</w:t>
            </w:r>
          </w:p>
        </w:tc>
        <w:tc>
          <w:tcPr>
            <w:tcW w:w="711" w:type="dxa"/>
            <w:tcBorders>
              <w:top w:val="single" w:sz="4" w:space="0" w:color="auto"/>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jc w:val="center"/>
              <w:rPr>
                <w:rFonts w:ascii="Calibri" w:eastAsia="Times New Roman" w:hAnsi="Calibri" w:cs="Calibri"/>
                <w:b/>
                <w:bCs/>
                <w:color w:val="000000"/>
                <w:lang w:eastAsia="en-IN"/>
              </w:rPr>
            </w:pPr>
            <w:r w:rsidRPr="00A956EF">
              <w:rPr>
                <w:rFonts w:ascii="Calibri" w:eastAsia="Times New Roman" w:hAnsi="Calibri" w:cs="Calibri"/>
                <w:b/>
                <w:bCs/>
                <w:color w:val="000000"/>
                <w:lang w:eastAsia="en-IN"/>
              </w:rPr>
              <w:t>D3</w:t>
            </w:r>
          </w:p>
        </w:tc>
        <w:tc>
          <w:tcPr>
            <w:tcW w:w="711" w:type="dxa"/>
            <w:tcBorders>
              <w:top w:val="single" w:sz="4" w:space="0" w:color="auto"/>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jc w:val="center"/>
              <w:rPr>
                <w:rFonts w:ascii="Calibri" w:eastAsia="Times New Roman" w:hAnsi="Calibri" w:cs="Calibri"/>
                <w:b/>
                <w:bCs/>
                <w:color w:val="000000"/>
                <w:lang w:eastAsia="en-IN"/>
              </w:rPr>
            </w:pPr>
            <w:r w:rsidRPr="00A956EF">
              <w:rPr>
                <w:rFonts w:ascii="Calibri" w:eastAsia="Times New Roman" w:hAnsi="Calibri" w:cs="Calibri"/>
                <w:b/>
                <w:bCs/>
                <w:color w:val="000000"/>
                <w:lang w:eastAsia="en-IN"/>
              </w:rPr>
              <w:t>D4</w:t>
            </w:r>
          </w:p>
        </w:tc>
        <w:tc>
          <w:tcPr>
            <w:tcW w:w="836" w:type="dxa"/>
            <w:tcBorders>
              <w:top w:val="single" w:sz="4" w:space="0" w:color="auto"/>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jc w:val="center"/>
              <w:rPr>
                <w:rFonts w:ascii="Calibri" w:eastAsia="Times New Roman" w:hAnsi="Calibri" w:cs="Calibri"/>
                <w:b/>
                <w:bCs/>
                <w:color w:val="000000"/>
                <w:lang w:eastAsia="en-IN"/>
              </w:rPr>
            </w:pPr>
            <w:r w:rsidRPr="00A956EF">
              <w:rPr>
                <w:rFonts w:ascii="Calibri" w:eastAsia="Times New Roman" w:hAnsi="Calibri" w:cs="Calibri"/>
                <w:b/>
                <w:bCs/>
                <w:color w:val="000000"/>
                <w:lang w:eastAsia="en-IN"/>
              </w:rPr>
              <w:t>D5</w:t>
            </w:r>
          </w:p>
        </w:tc>
        <w:tc>
          <w:tcPr>
            <w:tcW w:w="764" w:type="dxa"/>
            <w:tcBorders>
              <w:top w:val="single" w:sz="4" w:space="0" w:color="auto"/>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jc w:val="center"/>
              <w:rPr>
                <w:rFonts w:ascii="Calibri" w:eastAsia="Times New Roman" w:hAnsi="Calibri" w:cs="Calibri"/>
                <w:b/>
                <w:bCs/>
                <w:color w:val="000000"/>
                <w:lang w:eastAsia="en-IN"/>
              </w:rPr>
            </w:pPr>
            <w:r w:rsidRPr="00A956EF">
              <w:rPr>
                <w:rFonts w:ascii="Calibri" w:eastAsia="Times New Roman" w:hAnsi="Calibri" w:cs="Calibri"/>
                <w:b/>
                <w:bCs/>
                <w:color w:val="000000"/>
                <w:lang w:eastAsia="en-IN"/>
              </w:rPr>
              <w:t>Overall</w:t>
            </w:r>
          </w:p>
        </w:tc>
      </w:tr>
      <w:tr w:rsidR="00A956EF" w:rsidRPr="00A956EF" w:rsidTr="00A956EF">
        <w:trPr>
          <w:trHeight w:val="786"/>
        </w:trPr>
        <w:tc>
          <w:tcPr>
            <w:tcW w:w="1476" w:type="dxa"/>
            <w:tcBorders>
              <w:top w:val="nil"/>
              <w:left w:val="single" w:sz="4" w:space="0" w:color="auto"/>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FLAURA</w:t>
            </w:r>
          </w:p>
        </w:tc>
        <w:tc>
          <w:tcPr>
            <w:tcW w:w="1234"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Osimertinib</w:t>
            </w:r>
          </w:p>
        </w:tc>
        <w:tc>
          <w:tcPr>
            <w:tcW w:w="1076"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1st gen TKI</w:t>
            </w:r>
          </w:p>
        </w:tc>
        <w:tc>
          <w:tcPr>
            <w:tcW w:w="710"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711"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711"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711"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836"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764"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r>
      <w:tr w:rsidR="00A956EF" w:rsidRPr="00A956EF" w:rsidTr="00A956EF">
        <w:trPr>
          <w:trHeight w:val="786"/>
        </w:trPr>
        <w:tc>
          <w:tcPr>
            <w:tcW w:w="1476" w:type="dxa"/>
            <w:tcBorders>
              <w:top w:val="nil"/>
              <w:left w:val="single" w:sz="4" w:space="0" w:color="auto"/>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ARCHER 1050</w:t>
            </w:r>
          </w:p>
        </w:tc>
        <w:tc>
          <w:tcPr>
            <w:tcW w:w="1234"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Dacomitinib</w:t>
            </w:r>
          </w:p>
        </w:tc>
        <w:tc>
          <w:tcPr>
            <w:tcW w:w="1076"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Gefitinib</w:t>
            </w:r>
          </w:p>
        </w:tc>
        <w:tc>
          <w:tcPr>
            <w:tcW w:w="710"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711"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711"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711"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836"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Some concerns</w:t>
            </w:r>
          </w:p>
        </w:tc>
        <w:tc>
          <w:tcPr>
            <w:tcW w:w="764"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r>
      <w:tr w:rsidR="00A956EF" w:rsidRPr="00A956EF" w:rsidTr="00A956EF">
        <w:trPr>
          <w:trHeight w:val="786"/>
        </w:trPr>
        <w:tc>
          <w:tcPr>
            <w:tcW w:w="1476" w:type="dxa"/>
            <w:tcBorders>
              <w:top w:val="nil"/>
              <w:left w:val="single" w:sz="4" w:space="0" w:color="auto"/>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FLAURA China</w:t>
            </w:r>
          </w:p>
        </w:tc>
        <w:tc>
          <w:tcPr>
            <w:tcW w:w="1234"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Osimertinib</w:t>
            </w:r>
          </w:p>
        </w:tc>
        <w:tc>
          <w:tcPr>
            <w:tcW w:w="1076"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1st gen TKI</w:t>
            </w:r>
          </w:p>
        </w:tc>
        <w:tc>
          <w:tcPr>
            <w:tcW w:w="710"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711"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711"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711"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836"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764"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r>
      <w:tr w:rsidR="00A956EF" w:rsidRPr="00A956EF" w:rsidTr="00A956EF">
        <w:trPr>
          <w:trHeight w:val="786"/>
        </w:trPr>
        <w:tc>
          <w:tcPr>
            <w:tcW w:w="1476" w:type="dxa"/>
            <w:tcBorders>
              <w:top w:val="nil"/>
              <w:left w:val="single" w:sz="4" w:space="0" w:color="auto"/>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FURLONG</w:t>
            </w:r>
          </w:p>
        </w:tc>
        <w:tc>
          <w:tcPr>
            <w:tcW w:w="1234"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Furmonertinib</w:t>
            </w:r>
          </w:p>
        </w:tc>
        <w:tc>
          <w:tcPr>
            <w:tcW w:w="1076"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Gefitinib</w:t>
            </w:r>
          </w:p>
        </w:tc>
        <w:tc>
          <w:tcPr>
            <w:tcW w:w="710"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711"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711"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711"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836"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764"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r>
      <w:tr w:rsidR="00A956EF" w:rsidRPr="00A956EF" w:rsidTr="00A956EF">
        <w:trPr>
          <w:trHeight w:val="393"/>
        </w:trPr>
        <w:tc>
          <w:tcPr>
            <w:tcW w:w="1476" w:type="dxa"/>
            <w:tcBorders>
              <w:top w:val="nil"/>
              <w:left w:val="single" w:sz="4" w:space="0" w:color="auto"/>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LUX-Lung 7</w:t>
            </w:r>
          </w:p>
        </w:tc>
        <w:tc>
          <w:tcPr>
            <w:tcW w:w="1234"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Afatinib</w:t>
            </w:r>
          </w:p>
        </w:tc>
        <w:tc>
          <w:tcPr>
            <w:tcW w:w="1076"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Gefitinib</w:t>
            </w:r>
          </w:p>
        </w:tc>
        <w:tc>
          <w:tcPr>
            <w:tcW w:w="710"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711"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711"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711"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836"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764"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r>
      <w:tr w:rsidR="00A956EF" w:rsidRPr="00A956EF" w:rsidTr="00A956EF">
        <w:trPr>
          <w:trHeight w:val="786"/>
        </w:trPr>
        <w:tc>
          <w:tcPr>
            <w:tcW w:w="1476" w:type="dxa"/>
            <w:tcBorders>
              <w:top w:val="nil"/>
              <w:left w:val="single" w:sz="4" w:space="0" w:color="auto"/>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MARIPOSA</w:t>
            </w:r>
          </w:p>
        </w:tc>
        <w:tc>
          <w:tcPr>
            <w:tcW w:w="1234"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Lazertinib</w:t>
            </w:r>
          </w:p>
        </w:tc>
        <w:tc>
          <w:tcPr>
            <w:tcW w:w="1076"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Osimertinib</w:t>
            </w:r>
          </w:p>
        </w:tc>
        <w:tc>
          <w:tcPr>
            <w:tcW w:w="710"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711"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711"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711"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836"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Some concerns</w:t>
            </w:r>
          </w:p>
        </w:tc>
        <w:tc>
          <w:tcPr>
            <w:tcW w:w="764"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r>
      <w:tr w:rsidR="00A956EF" w:rsidRPr="00A956EF" w:rsidTr="00A956EF">
        <w:trPr>
          <w:trHeight w:val="393"/>
        </w:trPr>
        <w:tc>
          <w:tcPr>
            <w:tcW w:w="1476" w:type="dxa"/>
            <w:tcBorders>
              <w:top w:val="nil"/>
              <w:left w:val="single" w:sz="4" w:space="0" w:color="auto"/>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LASER301</w:t>
            </w:r>
          </w:p>
        </w:tc>
        <w:tc>
          <w:tcPr>
            <w:tcW w:w="1234"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Lazertinib</w:t>
            </w:r>
          </w:p>
        </w:tc>
        <w:tc>
          <w:tcPr>
            <w:tcW w:w="1076"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Gefitinib</w:t>
            </w:r>
          </w:p>
        </w:tc>
        <w:tc>
          <w:tcPr>
            <w:tcW w:w="710"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711"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711"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711"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836"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764"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r>
      <w:tr w:rsidR="00A956EF" w:rsidRPr="00A956EF" w:rsidTr="00A956EF">
        <w:trPr>
          <w:trHeight w:val="786"/>
        </w:trPr>
        <w:tc>
          <w:tcPr>
            <w:tcW w:w="1476" w:type="dxa"/>
            <w:tcBorders>
              <w:top w:val="nil"/>
              <w:left w:val="single" w:sz="4" w:space="0" w:color="auto"/>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Befotertinib (Lu S et al., 2023)</w:t>
            </w:r>
          </w:p>
        </w:tc>
        <w:tc>
          <w:tcPr>
            <w:tcW w:w="1234"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Befotertinib</w:t>
            </w:r>
          </w:p>
        </w:tc>
        <w:tc>
          <w:tcPr>
            <w:tcW w:w="1076"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Icotinib</w:t>
            </w:r>
          </w:p>
        </w:tc>
        <w:tc>
          <w:tcPr>
            <w:tcW w:w="710"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711"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711"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711"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836"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c>
          <w:tcPr>
            <w:tcW w:w="764" w:type="dxa"/>
            <w:tcBorders>
              <w:top w:val="nil"/>
              <w:left w:val="nil"/>
              <w:bottom w:val="single" w:sz="4" w:space="0" w:color="auto"/>
              <w:right w:val="single" w:sz="4" w:space="0" w:color="auto"/>
            </w:tcBorders>
            <w:shd w:val="clear" w:color="auto" w:fill="auto"/>
            <w:hideMark/>
          </w:tcPr>
          <w:p w:rsidR="00A956EF" w:rsidRPr="00A956EF" w:rsidRDefault="00A956EF" w:rsidP="00A956EF">
            <w:pPr>
              <w:spacing w:after="0" w:line="240" w:lineRule="auto"/>
              <w:rPr>
                <w:rFonts w:ascii="Calibri" w:eastAsia="Times New Roman" w:hAnsi="Calibri" w:cs="Calibri"/>
                <w:color w:val="000000"/>
                <w:lang w:eastAsia="en-IN"/>
              </w:rPr>
            </w:pPr>
            <w:r w:rsidRPr="00A956EF">
              <w:rPr>
                <w:rFonts w:ascii="Calibri" w:eastAsia="Times New Roman" w:hAnsi="Calibri" w:cs="Calibri"/>
                <w:color w:val="000000"/>
                <w:lang w:eastAsia="en-IN"/>
              </w:rPr>
              <w:t>Low risk</w:t>
            </w:r>
          </w:p>
        </w:tc>
      </w:tr>
    </w:tbl>
    <w:p w:rsidR="00A956EF" w:rsidRDefault="00A956EF">
      <w:pPr>
        <w:rPr>
          <w:rFonts w:ascii="Times New Roman" w:eastAsia="Calibri" w:hAnsi="Times New Roman" w:cs="Times New Roman"/>
          <w:sz w:val="24"/>
        </w:rPr>
      </w:pPr>
      <w:r>
        <w:rPr>
          <w:rFonts w:ascii="Times New Roman" w:eastAsia="Calibri" w:hAnsi="Times New Roman" w:cs="Times New Roman"/>
          <w:sz w:val="24"/>
        </w:rPr>
        <w:br w:type="page"/>
      </w:r>
    </w:p>
    <w:p w:rsidR="00953100" w:rsidRPr="00B30DDC" w:rsidRDefault="00953100" w:rsidP="00953100">
      <w:pPr>
        <w:rPr>
          <w:rFonts w:ascii="Times New Roman" w:eastAsia="Calibri" w:hAnsi="Times New Roman" w:cs="Times New Roman"/>
        </w:rPr>
      </w:pPr>
      <w:r w:rsidRPr="00B30DDC">
        <w:rPr>
          <w:rFonts w:ascii="Times New Roman" w:eastAsia="Calibri" w:hAnsi="Times New Roman" w:cs="Times New Roman"/>
        </w:rPr>
        <w:tab/>
      </w:r>
    </w:p>
    <w:p w:rsidR="00246892" w:rsidRPr="00D942A7" w:rsidRDefault="00246892" w:rsidP="00246892">
      <w:pPr>
        <w:jc w:val="both"/>
        <w:rPr>
          <w:rFonts w:ascii="Times New Roman" w:hAnsi="Times New Roman" w:cs="Times New Roman"/>
          <w:b/>
          <w:sz w:val="24"/>
        </w:rPr>
      </w:pPr>
      <w:r w:rsidRPr="00D942A7">
        <w:rPr>
          <w:rFonts w:ascii="Times New Roman" w:hAnsi="Times New Roman" w:cs="Times New Roman"/>
          <w:b/>
          <w:sz w:val="24"/>
        </w:rPr>
        <w:t>Supplemen</w:t>
      </w:r>
      <w:r w:rsidR="00921DAB">
        <w:rPr>
          <w:rFonts w:ascii="Times New Roman" w:hAnsi="Times New Roman" w:cs="Times New Roman"/>
          <w:b/>
          <w:sz w:val="24"/>
        </w:rPr>
        <w:t>t</w:t>
      </w:r>
      <w:r w:rsidR="0085468A">
        <w:rPr>
          <w:rFonts w:ascii="Times New Roman" w:hAnsi="Times New Roman" w:cs="Times New Roman"/>
          <w:b/>
          <w:sz w:val="24"/>
        </w:rPr>
        <w:t>ary T</w:t>
      </w:r>
      <w:r w:rsidRPr="00D942A7">
        <w:rPr>
          <w:rFonts w:ascii="Times New Roman" w:hAnsi="Times New Roman" w:cs="Times New Roman"/>
          <w:b/>
          <w:sz w:val="24"/>
        </w:rPr>
        <w:t xml:space="preserve">able </w:t>
      </w:r>
      <w:r w:rsidR="00921DAB">
        <w:rPr>
          <w:rFonts w:ascii="Times New Roman" w:hAnsi="Times New Roman" w:cs="Times New Roman"/>
          <w:b/>
          <w:sz w:val="24"/>
        </w:rPr>
        <w:t>S</w:t>
      </w:r>
      <w:r w:rsidRPr="00D942A7">
        <w:rPr>
          <w:rFonts w:ascii="Times New Roman" w:hAnsi="Times New Roman" w:cs="Times New Roman"/>
          <w:b/>
          <w:sz w:val="24"/>
        </w:rPr>
        <w:t xml:space="preserve">3: </w:t>
      </w:r>
      <w:r w:rsidRPr="00D942A7">
        <w:rPr>
          <w:rFonts w:ascii="Times New Roman" w:hAnsi="Times New Roman" w:cs="Times New Roman"/>
          <w:sz w:val="24"/>
        </w:rPr>
        <w:t xml:space="preserve">RoB 2 Table – </w:t>
      </w:r>
      <w:r w:rsidR="0086128B" w:rsidRPr="0086128B">
        <w:rPr>
          <w:rFonts w:ascii="Times New Roman" w:eastAsia="Calibri" w:hAnsi="Times New Roman" w:cs="Times New Roman"/>
          <w:sz w:val="24"/>
        </w:rPr>
        <w:t>Grade ≥3 adverse events.</w:t>
      </w:r>
    </w:p>
    <w:tbl>
      <w:tblPr>
        <w:tblW w:w="5000" w:type="pct"/>
        <w:tblLook w:val="04A0" w:firstRow="1" w:lastRow="0" w:firstColumn="1" w:lastColumn="0" w:noHBand="0" w:noVBand="1"/>
      </w:tblPr>
      <w:tblGrid>
        <w:gridCol w:w="1294"/>
        <w:gridCol w:w="1433"/>
        <w:gridCol w:w="1316"/>
        <w:gridCol w:w="635"/>
        <w:gridCol w:w="636"/>
        <w:gridCol w:w="636"/>
        <w:gridCol w:w="1022"/>
        <w:gridCol w:w="1022"/>
        <w:gridCol w:w="1022"/>
      </w:tblGrid>
      <w:tr w:rsidR="0085468A" w:rsidRPr="0085468A" w:rsidTr="00AA58A5">
        <w:trPr>
          <w:trHeight w:val="900"/>
        </w:trPr>
        <w:tc>
          <w:tcPr>
            <w:tcW w:w="694" w:type="pct"/>
            <w:tcBorders>
              <w:top w:val="single" w:sz="4" w:space="0" w:color="auto"/>
              <w:left w:val="single" w:sz="4" w:space="0" w:color="auto"/>
              <w:bottom w:val="single" w:sz="4" w:space="0" w:color="auto"/>
              <w:right w:val="single" w:sz="4" w:space="0" w:color="auto"/>
            </w:tcBorders>
            <w:shd w:val="clear" w:color="auto" w:fill="auto"/>
            <w:hideMark/>
          </w:tcPr>
          <w:p w:rsidR="0085468A" w:rsidRPr="0085468A" w:rsidRDefault="0085468A" w:rsidP="0085468A">
            <w:pPr>
              <w:spacing w:after="0" w:line="240" w:lineRule="auto"/>
              <w:jc w:val="center"/>
              <w:rPr>
                <w:rFonts w:ascii="Calibri" w:eastAsia="Times New Roman" w:hAnsi="Calibri" w:cs="Calibri"/>
                <w:b/>
                <w:bCs/>
                <w:color w:val="000000"/>
                <w:lang w:eastAsia="en-IN"/>
              </w:rPr>
            </w:pPr>
            <w:r w:rsidRPr="0085468A">
              <w:rPr>
                <w:rFonts w:ascii="Calibri" w:eastAsia="Times New Roman" w:hAnsi="Calibri" w:cs="Calibri"/>
                <w:b/>
                <w:bCs/>
                <w:color w:val="000000"/>
                <w:lang w:eastAsia="en-IN"/>
              </w:rPr>
              <w:t>Study (Unique ID)</w:t>
            </w:r>
          </w:p>
        </w:tc>
        <w:tc>
          <w:tcPr>
            <w:tcW w:w="769" w:type="pct"/>
            <w:tcBorders>
              <w:top w:val="single" w:sz="4" w:space="0" w:color="auto"/>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jc w:val="center"/>
              <w:rPr>
                <w:rFonts w:ascii="Calibri" w:eastAsia="Times New Roman" w:hAnsi="Calibri" w:cs="Calibri"/>
                <w:b/>
                <w:bCs/>
                <w:color w:val="000000"/>
                <w:lang w:eastAsia="en-IN"/>
              </w:rPr>
            </w:pPr>
            <w:r w:rsidRPr="0085468A">
              <w:rPr>
                <w:rFonts w:ascii="Calibri" w:eastAsia="Times New Roman" w:hAnsi="Calibri" w:cs="Calibri"/>
                <w:b/>
                <w:bCs/>
                <w:color w:val="000000"/>
                <w:lang w:eastAsia="en-IN"/>
              </w:rPr>
              <w:t>Experimental</w:t>
            </w:r>
          </w:p>
        </w:tc>
        <w:tc>
          <w:tcPr>
            <w:tcW w:w="706" w:type="pct"/>
            <w:tcBorders>
              <w:top w:val="single" w:sz="4" w:space="0" w:color="auto"/>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jc w:val="center"/>
              <w:rPr>
                <w:rFonts w:ascii="Calibri" w:eastAsia="Times New Roman" w:hAnsi="Calibri" w:cs="Calibri"/>
                <w:b/>
                <w:bCs/>
                <w:color w:val="000000"/>
                <w:lang w:eastAsia="en-IN"/>
              </w:rPr>
            </w:pPr>
            <w:r w:rsidRPr="0085468A">
              <w:rPr>
                <w:rFonts w:ascii="Calibri" w:eastAsia="Times New Roman" w:hAnsi="Calibri" w:cs="Calibri"/>
                <w:b/>
                <w:bCs/>
                <w:color w:val="000000"/>
                <w:lang w:eastAsia="en-IN"/>
              </w:rPr>
              <w:t>Comparator</w:t>
            </w:r>
          </w:p>
        </w:tc>
        <w:tc>
          <w:tcPr>
            <w:tcW w:w="395" w:type="pct"/>
            <w:tcBorders>
              <w:top w:val="single" w:sz="4" w:space="0" w:color="auto"/>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jc w:val="center"/>
              <w:rPr>
                <w:rFonts w:ascii="Calibri" w:eastAsia="Times New Roman" w:hAnsi="Calibri" w:cs="Calibri"/>
                <w:b/>
                <w:bCs/>
                <w:color w:val="000000"/>
                <w:lang w:eastAsia="en-IN"/>
              </w:rPr>
            </w:pPr>
            <w:r w:rsidRPr="0085468A">
              <w:rPr>
                <w:rFonts w:ascii="Calibri" w:eastAsia="Times New Roman" w:hAnsi="Calibri" w:cs="Calibri"/>
                <w:b/>
                <w:bCs/>
                <w:color w:val="000000"/>
                <w:lang w:eastAsia="en-IN"/>
              </w:rPr>
              <w:t>D1</w:t>
            </w:r>
          </w:p>
        </w:tc>
        <w:tc>
          <w:tcPr>
            <w:tcW w:w="395" w:type="pct"/>
            <w:tcBorders>
              <w:top w:val="single" w:sz="4" w:space="0" w:color="auto"/>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jc w:val="center"/>
              <w:rPr>
                <w:rFonts w:ascii="Calibri" w:eastAsia="Times New Roman" w:hAnsi="Calibri" w:cs="Calibri"/>
                <w:b/>
                <w:bCs/>
                <w:color w:val="000000"/>
                <w:lang w:eastAsia="en-IN"/>
              </w:rPr>
            </w:pPr>
            <w:r w:rsidRPr="0085468A">
              <w:rPr>
                <w:rFonts w:ascii="Calibri" w:eastAsia="Times New Roman" w:hAnsi="Calibri" w:cs="Calibri"/>
                <w:b/>
                <w:bCs/>
                <w:color w:val="000000"/>
                <w:lang w:eastAsia="en-IN"/>
              </w:rPr>
              <w:t>D2</w:t>
            </w:r>
          </w:p>
        </w:tc>
        <w:tc>
          <w:tcPr>
            <w:tcW w:w="395" w:type="pct"/>
            <w:tcBorders>
              <w:top w:val="single" w:sz="4" w:space="0" w:color="auto"/>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jc w:val="center"/>
              <w:rPr>
                <w:rFonts w:ascii="Calibri" w:eastAsia="Times New Roman" w:hAnsi="Calibri" w:cs="Calibri"/>
                <w:b/>
                <w:bCs/>
                <w:color w:val="000000"/>
                <w:lang w:eastAsia="en-IN"/>
              </w:rPr>
            </w:pPr>
            <w:r w:rsidRPr="0085468A">
              <w:rPr>
                <w:rFonts w:ascii="Calibri" w:eastAsia="Times New Roman" w:hAnsi="Calibri" w:cs="Calibri"/>
                <w:b/>
                <w:bCs/>
                <w:color w:val="000000"/>
                <w:lang w:eastAsia="en-IN"/>
              </w:rPr>
              <w:t>D3</w:t>
            </w:r>
          </w:p>
        </w:tc>
        <w:tc>
          <w:tcPr>
            <w:tcW w:w="548" w:type="pct"/>
            <w:tcBorders>
              <w:top w:val="single" w:sz="4" w:space="0" w:color="auto"/>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jc w:val="center"/>
              <w:rPr>
                <w:rFonts w:ascii="Calibri" w:eastAsia="Times New Roman" w:hAnsi="Calibri" w:cs="Calibri"/>
                <w:b/>
                <w:bCs/>
                <w:color w:val="000000"/>
                <w:lang w:eastAsia="en-IN"/>
              </w:rPr>
            </w:pPr>
            <w:r w:rsidRPr="0085468A">
              <w:rPr>
                <w:rFonts w:ascii="Calibri" w:eastAsia="Times New Roman" w:hAnsi="Calibri" w:cs="Calibri"/>
                <w:b/>
                <w:bCs/>
                <w:color w:val="000000"/>
                <w:lang w:eastAsia="en-IN"/>
              </w:rPr>
              <w:t>D4</w:t>
            </w:r>
          </w:p>
        </w:tc>
        <w:tc>
          <w:tcPr>
            <w:tcW w:w="548" w:type="pct"/>
            <w:tcBorders>
              <w:top w:val="single" w:sz="4" w:space="0" w:color="auto"/>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jc w:val="center"/>
              <w:rPr>
                <w:rFonts w:ascii="Calibri" w:eastAsia="Times New Roman" w:hAnsi="Calibri" w:cs="Calibri"/>
                <w:b/>
                <w:bCs/>
                <w:color w:val="000000"/>
                <w:lang w:eastAsia="en-IN"/>
              </w:rPr>
            </w:pPr>
            <w:r w:rsidRPr="0085468A">
              <w:rPr>
                <w:rFonts w:ascii="Calibri" w:eastAsia="Times New Roman" w:hAnsi="Calibri" w:cs="Calibri"/>
                <w:b/>
                <w:bCs/>
                <w:color w:val="000000"/>
                <w:lang w:eastAsia="en-IN"/>
              </w:rPr>
              <w:t>D5</w:t>
            </w:r>
          </w:p>
        </w:tc>
        <w:tc>
          <w:tcPr>
            <w:tcW w:w="548" w:type="pct"/>
            <w:tcBorders>
              <w:top w:val="single" w:sz="4" w:space="0" w:color="auto"/>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jc w:val="center"/>
              <w:rPr>
                <w:rFonts w:ascii="Calibri" w:eastAsia="Times New Roman" w:hAnsi="Calibri" w:cs="Calibri"/>
                <w:b/>
                <w:bCs/>
                <w:color w:val="000000"/>
                <w:lang w:eastAsia="en-IN"/>
              </w:rPr>
            </w:pPr>
            <w:r w:rsidRPr="0085468A">
              <w:rPr>
                <w:rFonts w:ascii="Calibri" w:eastAsia="Times New Roman" w:hAnsi="Calibri" w:cs="Calibri"/>
                <w:b/>
                <w:bCs/>
                <w:color w:val="000000"/>
                <w:lang w:eastAsia="en-IN"/>
              </w:rPr>
              <w:t>Overall</w:t>
            </w:r>
          </w:p>
        </w:tc>
      </w:tr>
      <w:tr w:rsidR="0085468A" w:rsidRPr="0085468A" w:rsidTr="00AA58A5">
        <w:trPr>
          <w:trHeight w:val="900"/>
        </w:trPr>
        <w:tc>
          <w:tcPr>
            <w:tcW w:w="694" w:type="pct"/>
            <w:tcBorders>
              <w:top w:val="nil"/>
              <w:left w:val="single" w:sz="4" w:space="0" w:color="auto"/>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Soria JC (FLAURA)</w:t>
            </w:r>
          </w:p>
        </w:tc>
        <w:tc>
          <w:tcPr>
            <w:tcW w:w="769"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Osimertinib</w:t>
            </w:r>
          </w:p>
        </w:tc>
        <w:tc>
          <w:tcPr>
            <w:tcW w:w="706"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1st gen TKI</w:t>
            </w:r>
          </w:p>
        </w:tc>
        <w:tc>
          <w:tcPr>
            <w:tcW w:w="395"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395"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395"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548"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548"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548"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r>
      <w:tr w:rsidR="0085468A" w:rsidRPr="0085468A" w:rsidTr="00AA58A5">
        <w:trPr>
          <w:trHeight w:val="900"/>
        </w:trPr>
        <w:tc>
          <w:tcPr>
            <w:tcW w:w="694" w:type="pct"/>
            <w:tcBorders>
              <w:top w:val="nil"/>
              <w:left w:val="single" w:sz="4" w:space="0" w:color="auto"/>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Cheng Y (FLAURA China)</w:t>
            </w:r>
          </w:p>
        </w:tc>
        <w:tc>
          <w:tcPr>
            <w:tcW w:w="769"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Osimertinib</w:t>
            </w:r>
          </w:p>
        </w:tc>
        <w:tc>
          <w:tcPr>
            <w:tcW w:w="706"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1st gen TKI</w:t>
            </w:r>
          </w:p>
        </w:tc>
        <w:tc>
          <w:tcPr>
            <w:tcW w:w="395"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395"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395"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548"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548"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548"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r>
      <w:tr w:rsidR="0085468A" w:rsidRPr="0085468A" w:rsidTr="00AA58A5">
        <w:trPr>
          <w:trHeight w:val="900"/>
        </w:trPr>
        <w:tc>
          <w:tcPr>
            <w:tcW w:w="694" w:type="pct"/>
            <w:tcBorders>
              <w:top w:val="nil"/>
              <w:left w:val="single" w:sz="4" w:space="0" w:color="auto"/>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Park K (LUX-Lung 7)</w:t>
            </w:r>
          </w:p>
        </w:tc>
        <w:tc>
          <w:tcPr>
            <w:tcW w:w="769"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Afatinib</w:t>
            </w:r>
          </w:p>
        </w:tc>
        <w:tc>
          <w:tcPr>
            <w:tcW w:w="706"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Gefitinib</w:t>
            </w:r>
          </w:p>
        </w:tc>
        <w:tc>
          <w:tcPr>
            <w:tcW w:w="395"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395"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395"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548"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Some concerns</w:t>
            </w:r>
          </w:p>
        </w:tc>
        <w:tc>
          <w:tcPr>
            <w:tcW w:w="548"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548"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Some concerns</w:t>
            </w:r>
          </w:p>
        </w:tc>
      </w:tr>
      <w:tr w:rsidR="0085468A" w:rsidRPr="0085468A" w:rsidTr="00AA58A5">
        <w:trPr>
          <w:trHeight w:val="600"/>
        </w:trPr>
        <w:tc>
          <w:tcPr>
            <w:tcW w:w="694" w:type="pct"/>
            <w:tcBorders>
              <w:top w:val="nil"/>
              <w:left w:val="single" w:sz="4" w:space="0" w:color="auto"/>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AENEAS</w:t>
            </w:r>
          </w:p>
        </w:tc>
        <w:tc>
          <w:tcPr>
            <w:tcW w:w="769"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Aumolertinib</w:t>
            </w:r>
          </w:p>
        </w:tc>
        <w:tc>
          <w:tcPr>
            <w:tcW w:w="706"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Gefitinib</w:t>
            </w:r>
          </w:p>
        </w:tc>
        <w:tc>
          <w:tcPr>
            <w:tcW w:w="395"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395"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395"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548"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548"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548"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r>
      <w:tr w:rsidR="0085468A" w:rsidRPr="0085468A" w:rsidTr="00AA58A5">
        <w:trPr>
          <w:trHeight w:val="600"/>
        </w:trPr>
        <w:tc>
          <w:tcPr>
            <w:tcW w:w="694" w:type="pct"/>
            <w:tcBorders>
              <w:top w:val="nil"/>
              <w:left w:val="single" w:sz="4" w:space="0" w:color="auto"/>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ARCHER 1050</w:t>
            </w:r>
          </w:p>
        </w:tc>
        <w:tc>
          <w:tcPr>
            <w:tcW w:w="769"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Dacomitinib</w:t>
            </w:r>
          </w:p>
        </w:tc>
        <w:tc>
          <w:tcPr>
            <w:tcW w:w="706"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Gefitinib</w:t>
            </w:r>
          </w:p>
        </w:tc>
        <w:tc>
          <w:tcPr>
            <w:tcW w:w="395"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395"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395"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548"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Some concerns</w:t>
            </w:r>
          </w:p>
        </w:tc>
        <w:tc>
          <w:tcPr>
            <w:tcW w:w="548"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548"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Some concerns</w:t>
            </w:r>
          </w:p>
        </w:tc>
      </w:tr>
      <w:tr w:rsidR="0085468A" w:rsidRPr="0085468A" w:rsidTr="00AA58A5">
        <w:trPr>
          <w:trHeight w:val="600"/>
        </w:trPr>
        <w:tc>
          <w:tcPr>
            <w:tcW w:w="694" w:type="pct"/>
            <w:tcBorders>
              <w:top w:val="nil"/>
              <w:left w:val="single" w:sz="4" w:space="0" w:color="auto"/>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MARIPOSA</w:t>
            </w:r>
          </w:p>
        </w:tc>
        <w:tc>
          <w:tcPr>
            <w:tcW w:w="769"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Lazertinib</w:t>
            </w:r>
          </w:p>
        </w:tc>
        <w:tc>
          <w:tcPr>
            <w:tcW w:w="706"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Osimertinib</w:t>
            </w:r>
          </w:p>
        </w:tc>
        <w:tc>
          <w:tcPr>
            <w:tcW w:w="395"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395"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395"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548"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548"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Some concerns</w:t>
            </w:r>
          </w:p>
        </w:tc>
        <w:tc>
          <w:tcPr>
            <w:tcW w:w="548"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Some concerns</w:t>
            </w:r>
          </w:p>
        </w:tc>
      </w:tr>
      <w:tr w:rsidR="0085468A" w:rsidRPr="0085468A" w:rsidTr="00AA58A5">
        <w:trPr>
          <w:trHeight w:val="1200"/>
        </w:trPr>
        <w:tc>
          <w:tcPr>
            <w:tcW w:w="694" w:type="pct"/>
            <w:tcBorders>
              <w:top w:val="nil"/>
              <w:left w:val="single" w:sz="4" w:space="0" w:color="auto"/>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Befotertinib (Lu S et al., 2023)</w:t>
            </w:r>
          </w:p>
        </w:tc>
        <w:tc>
          <w:tcPr>
            <w:tcW w:w="769"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Befotertinib</w:t>
            </w:r>
          </w:p>
        </w:tc>
        <w:tc>
          <w:tcPr>
            <w:tcW w:w="706"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Icotinib</w:t>
            </w:r>
          </w:p>
        </w:tc>
        <w:tc>
          <w:tcPr>
            <w:tcW w:w="395"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395"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395"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548"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548"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Some concerns</w:t>
            </w:r>
          </w:p>
        </w:tc>
        <w:tc>
          <w:tcPr>
            <w:tcW w:w="548"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Some concerns</w:t>
            </w:r>
          </w:p>
        </w:tc>
      </w:tr>
      <w:tr w:rsidR="0085468A" w:rsidRPr="0085468A" w:rsidTr="00AA58A5">
        <w:trPr>
          <w:trHeight w:val="600"/>
        </w:trPr>
        <w:tc>
          <w:tcPr>
            <w:tcW w:w="694" w:type="pct"/>
            <w:tcBorders>
              <w:top w:val="nil"/>
              <w:left w:val="single" w:sz="4" w:space="0" w:color="auto"/>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LASER301</w:t>
            </w:r>
          </w:p>
        </w:tc>
        <w:tc>
          <w:tcPr>
            <w:tcW w:w="769"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Lazertinib</w:t>
            </w:r>
          </w:p>
        </w:tc>
        <w:tc>
          <w:tcPr>
            <w:tcW w:w="706"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Gefitinib</w:t>
            </w:r>
          </w:p>
        </w:tc>
        <w:tc>
          <w:tcPr>
            <w:tcW w:w="395"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395"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395"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548"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548"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c>
          <w:tcPr>
            <w:tcW w:w="548" w:type="pct"/>
            <w:tcBorders>
              <w:top w:val="nil"/>
              <w:left w:val="nil"/>
              <w:bottom w:val="single" w:sz="4" w:space="0" w:color="auto"/>
              <w:right w:val="single" w:sz="4" w:space="0" w:color="auto"/>
            </w:tcBorders>
            <w:shd w:val="clear" w:color="auto" w:fill="auto"/>
            <w:hideMark/>
          </w:tcPr>
          <w:p w:rsidR="0085468A" w:rsidRPr="0085468A" w:rsidRDefault="0085468A" w:rsidP="0085468A">
            <w:pPr>
              <w:spacing w:after="0" w:line="240" w:lineRule="auto"/>
              <w:rPr>
                <w:rFonts w:ascii="Calibri" w:eastAsia="Times New Roman" w:hAnsi="Calibri" w:cs="Calibri"/>
                <w:color w:val="000000"/>
                <w:lang w:eastAsia="en-IN"/>
              </w:rPr>
            </w:pPr>
            <w:r w:rsidRPr="0085468A">
              <w:rPr>
                <w:rFonts w:ascii="Calibri" w:eastAsia="Times New Roman" w:hAnsi="Calibri" w:cs="Calibri"/>
                <w:color w:val="000000"/>
                <w:lang w:eastAsia="en-IN"/>
              </w:rPr>
              <w:t>Low risk</w:t>
            </w:r>
          </w:p>
        </w:tc>
      </w:tr>
    </w:tbl>
    <w:p w:rsidR="00953100" w:rsidRDefault="00953100" w:rsidP="00953100">
      <w:pPr>
        <w:rPr>
          <w:rFonts w:ascii="Times New Roman" w:eastAsia="Calibri" w:hAnsi="Times New Roman" w:cs="Times New Roman"/>
        </w:rPr>
      </w:pPr>
    </w:p>
    <w:p w:rsidR="00D942A7" w:rsidRDefault="0085468A" w:rsidP="00953100">
      <w:pPr>
        <w:rPr>
          <w:rFonts w:ascii="Times New Roman" w:eastAsia="Calibri" w:hAnsi="Times New Roman" w:cs="Times New Roman"/>
        </w:rPr>
      </w:pPr>
      <w:r>
        <w:t xml:space="preserve">D1: Randomisation process </w:t>
      </w:r>
      <w:r>
        <w:br/>
        <w:t xml:space="preserve">D2: Deviations from intended interventions </w:t>
      </w:r>
      <w:r>
        <w:br/>
        <w:t xml:space="preserve">D3: Missing outcome data </w:t>
      </w:r>
      <w:r>
        <w:br/>
        <w:t xml:space="preserve">D4: Measurement of the outcome </w:t>
      </w:r>
      <w:r>
        <w:br/>
        <w:t>D5: Selection of the reported result</w:t>
      </w:r>
    </w:p>
    <w:p w:rsidR="00953100" w:rsidRPr="00B30DDC" w:rsidRDefault="00953100" w:rsidP="00953100">
      <w:pPr>
        <w:rPr>
          <w:rFonts w:ascii="Times New Roman" w:eastAsia="Calibri" w:hAnsi="Times New Roman" w:cs="Times New Roman"/>
        </w:rPr>
      </w:pPr>
      <w:r w:rsidRPr="00B30DDC">
        <w:rPr>
          <w:rFonts w:ascii="Times New Roman" w:eastAsia="Calibri" w:hAnsi="Times New Roman" w:cs="Times New Roman"/>
        </w:rPr>
        <w:tab/>
      </w:r>
    </w:p>
    <w:p w:rsidR="00AA58A5" w:rsidRDefault="00AA58A5">
      <w:pPr>
        <w:rPr>
          <w:rFonts w:ascii="Times New Roman" w:hAnsi="Times New Roman" w:cs="Times New Roman"/>
        </w:rPr>
      </w:pPr>
      <w:r>
        <w:rPr>
          <w:rFonts w:ascii="Times New Roman" w:hAnsi="Times New Roman" w:cs="Times New Roman"/>
        </w:rPr>
        <w:br w:type="page"/>
      </w:r>
    </w:p>
    <w:p w:rsidR="00B6319A" w:rsidRPr="00B30DDC" w:rsidRDefault="00B6319A">
      <w:pPr>
        <w:rPr>
          <w:rFonts w:ascii="Times New Roman" w:hAnsi="Times New Roman" w:cs="Times New Roman"/>
        </w:rPr>
      </w:pPr>
    </w:p>
    <w:p w:rsidR="0071705C" w:rsidRPr="00D942A7" w:rsidRDefault="00AA58A5">
      <w:pPr>
        <w:rPr>
          <w:rFonts w:ascii="Times New Roman" w:hAnsi="Times New Roman" w:cs="Times New Roman"/>
          <w:sz w:val="24"/>
        </w:rPr>
      </w:pPr>
      <w:r w:rsidRPr="00D942A7">
        <w:rPr>
          <w:rFonts w:ascii="Times New Roman" w:hAnsi="Times New Roman" w:cs="Times New Roman"/>
          <w:b/>
          <w:sz w:val="24"/>
        </w:rPr>
        <w:t>Supplementary</w:t>
      </w:r>
      <w:r w:rsidR="003A769C" w:rsidRPr="00D942A7">
        <w:rPr>
          <w:rFonts w:ascii="Times New Roman" w:hAnsi="Times New Roman" w:cs="Times New Roman"/>
          <w:b/>
          <w:sz w:val="24"/>
        </w:rPr>
        <w:t xml:space="preserve"> table </w:t>
      </w:r>
      <w:r w:rsidR="00921DAB">
        <w:rPr>
          <w:rFonts w:ascii="Times New Roman" w:hAnsi="Times New Roman" w:cs="Times New Roman"/>
          <w:b/>
          <w:sz w:val="24"/>
        </w:rPr>
        <w:t>S</w:t>
      </w:r>
      <w:r w:rsidR="003A769C" w:rsidRPr="00D942A7">
        <w:rPr>
          <w:rFonts w:ascii="Times New Roman" w:hAnsi="Times New Roman" w:cs="Times New Roman"/>
          <w:b/>
          <w:sz w:val="24"/>
        </w:rPr>
        <w:t xml:space="preserve">4:  </w:t>
      </w:r>
      <w:r w:rsidR="00B6319A" w:rsidRPr="00D942A7">
        <w:rPr>
          <w:rFonts w:ascii="Times New Roman" w:hAnsi="Times New Roman" w:cs="Times New Roman"/>
          <w:sz w:val="24"/>
        </w:rPr>
        <w:t xml:space="preserve">League table- </w:t>
      </w:r>
      <w:r w:rsidR="00C471D1" w:rsidRPr="00D942A7">
        <w:rPr>
          <w:rFonts w:ascii="Times New Roman" w:eastAsia="Calibri" w:hAnsi="Times New Roman" w:cs="Times New Roman"/>
          <w:sz w:val="24"/>
        </w:rPr>
        <w:t>Overall Survival</w:t>
      </w:r>
      <w:r w:rsidR="00C471D1" w:rsidRPr="00D942A7">
        <w:rPr>
          <w:rFonts w:ascii="Times New Roman" w:eastAsia="Calibri" w:hAnsi="Times New Roman" w:cs="Times New Roman"/>
          <w:b/>
          <w:sz w:val="24"/>
        </w:rPr>
        <w:t xml:space="preserve"> </w:t>
      </w:r>
    </w:p>
    <w:tbl>
      <w:tblPr>
        <w:tblW w:w="5000" w:type="pct"/>
        <w:tblLook w:val="04A0" w:firstRow="1" w:lastRow="0" w:firstColumn="1" w:lastColumn="0" w:noHBand="0" w:noVBand="1"/>
      </w:tblPr>
      <w:tblGrid>
        <w:gridCol w:w="1622"/>
        <w:gridCol w:w="1383"/>
        <w:gridCol w:w="1215"/>
        <w:gridCol w:w="1360"/>
        <w:gridCol w:w="1012"/>
        <w:gridCol w:w="1623"/>
        <w:gridCol w:w="801"/>
      </w:tblGrid>
      <w:tr w:rsidR="0071705C" w:rsidRPr="00B30DDC" w:rsidTr="00AA58A5">
        <w:trPr>
          <w:trHeight w:val="347"/>
        </w:trPr>
        <w:tc>
          <w:tcPr>
            <w:tcW w:w="9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jc w:val="center"/>
              <w:rPr>
                <w:rFonts w:ascii="Times New Roman" w:eastAsia="Times New Roman" w:hAnsi="Times New Roman" w:cs="Times New Roman"/>
                <w:b/>
                <w:bCs/>
                <w:color w:val="000000"/>
                <w:lang w:eastAsia="en-IN"/>
              </w:rPr>
            </w:pPr>
            <w:r w:rsidRPr="00B30DDC">
              <w:rPr>
                <w:rFonts w:ascii="Times New Roman" w:eastAsia="Times New Roman" w:hAnsi="Times New Roman" w:cs="Times New Roman"/>
                <w:b/>
                <w:bCs/>
                <w:color w:val="000000"/>
                <w:lang w:eastAsia="en-IN"/>
              </w:rPr>
              <w:t> </w:t>
            </w:r>
          </w:p>
        </w:tc>
        <w:tc>
          <w:tcPr>
            <w:tcW w:w="767" w:type="pct"/>
            <w:tcBorders>
              <w:top w:val="single" w:sz="4" w:space="0" w:color="auto"/>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jc w:val="center"/>
              <w:rPr>
                <w:rFonts w:ascii="Times New Roman" w:eastAsia="Times New Roman" w:hAnsi="Times New Roman" w:cs="Times New Roman"/>
                <w:b/>
                <w:bCs/>
                <w:color w:val="000000"/>
                <w:lang w:eastAsia="en-IN"/>
              </w:rPr>
            </w:pPr>
            <w:r w:rsidRPr="00B30DDC">
              <w:rPr>
                <w:rFonts w:ascii="Times New Roman" w:eastAsia="Times New Roman" w:hAnsi="Times New Roman" w:cs="Times New Roman"/>
                <w:b/>
                <w:bCs/>
                <w:color w:val="000000"/>
                <w:lang w:eastAsia="en-IN"/>
              </w:rPr>
              <w:t>Dacomitinib</w:t>
            </w:r>
          </w:p>
        </w:tc>
        <w:tc>
          <w:tcPr>
            <w:tcW w:w="674" w:type="pct"/>
            <w:tcBorders>
              <w:top w:val="single" w:sz="4" w:space="0" w:color="auto"/>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jc w:val="center"/>
              <w:rPr>
                <w:rFonts w:ascii="Times New Roman" w:eastAsia="Times New Roman" w:hAnsi="Times New Roman" w:cs="Times New Roman"/>
                <w:b/>
                <w:bCs/>
                <w:color w:val="000000"/>
                <w:lang w:eastAsia="en-IN"/>
              </w:rPr>
            </w:pPr>
            <w:r w:rsidRPr="00B30DDC">
              <w:rPr>
                <w:rFonts w:ascii="Times New Roman" w:eastAsia="Times New Roman" w:hAnsi="Times New Roman" w:cs="Times New Roman"/>
                <w:b/>
                <w:bCs/>
                <w:color w:val="000000"/>
                <w:lang w:eastAsia="en-IN"/>
              </w:rPr>
              <w:t>Lazertinib</w:t>
            </w:r>
          </w:p>
        </w:tc>
        <w:tc>
          <w:tcPr>
            <w:tcW w:w="754" w:type="pct"/>
            <w:tcBorders>
              <w:top w:val="single" w:sz="4" w:space="0" w:color="auto"/>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jc w:val="center"/>
              <w:rPr>
                <w:rFonts w:ascii="Times New Roman" w:eastAsia="Times New Roman" w:hAnsi="Times New Roman" w:cs="Times New Roman"/>
                <w:b/>
                <w:bCs/>
                <w:color w:val="000000"/>
                <w:lang w:eastAsia="en-IN"/>
              </w:rPr>
            </w:pPr>
            <w:r w:rsidRPr="00B30DDC">
              <w:rPr>
                <w:rFonts w:ascii="Times New Roman" w:eastAsia="Times New Roman" w:hAnsi="Times New Roman" w:cs="Times New Roman"/>
                <w:b/>
                <w:bCs/>
                <w:color w:val="000000"/>
                <w:lang w:eastAsia="en-IN"/>
              </w:rPr>
              <w:t>Osimertinib</w:t>
            </w:r>
          </w:p>
        </w:tc>
        <w:tc>
          <w:tcPr>
            <w:tcW w:w="561" w:type="pct"/>
            <w:tcBorders>
              <w:top w:val="single" w:sz="4" w:space="0" w:color="auto"/>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jc w:val="center"/>
              <w:rPr>
                <w:rFonts w:ascii="Times New Roman" w:eastAsia="Times New Roman" w:hAnsi="Times New Roman" w:cs="Times New Roman"/>
                <w:b/>
                <w:bCs/>
                <w:color w:val="000000"/>
                <w:lang w:eastAsia="en-IN"/>
              </w:rPr>
            </w:pPr>
            <w:r w:rsidRPr="00B30DDC">
              <w:rPr>
                <w:rFonts w:ascii="Times New Roman" w:eastAsia="Times New Roman" w:hAnsi="Times New Roman" w:cs="Times New Roman"/>
                <w:b/>
                <w:bCs/>
                <w:color w:val="000000"/>
                <w:lang w:eastAsia="en-IN"/>
              </w:rPr>
              <w:t>Afatinib</w:t>
            </w:r>
          </w:p>
        </w:tc>
        <w:tc>
          <w:tcPr>
            <w:tcW w:w="900" w:type="pct"/>
            <w:tcBorders>
              <w:top w:val="single" w:sz="4" w:space="0" w:color="auto"/>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jc w:val="center"/>
              <w:rPr>
                <w:rFonts w:ascii="Times New Roman" w:eastAsia="Times New Roman" w:hAnsi="Times New Roman" w:cs="Times New Roman"/>
                <w:b/>
                <w:bCs/>
                <w:color w:val="000000"/>
                <w:lang w:eastAsia="en-IN"/>
              </w:rPr>
            </w:pPr>
            <w:r w:rsidRPr="00B30DDC">
              <w:rPr>
                <w:rFonts w:ascii="Times New Roman" w:eastAsia="Times New Roman" w:hAnsi="Times New Roman" w:cs="Times New Roman"/>
                <w:b/>
                <w:bCs/>
                <w:color w:val="000000"/>
                <w:lang w:eastAsia="en-IN"/>
              </w:rPr>
              <w:t>Furmonertinib</w:t>
            </w:r>
          </w:p>
        </w:tc>
        <w:tc>
          <w:tcPr>
            <w:tcW w:w="445" w:type="pct"/>
            <w:tcBorders>
              <w:top w:val="single" w:sz="4" w:space="0" w:color="auto"/>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jc w:val="center"/>
              <w:rPr>
                <w:rFonts w:ascii="Times New Roman" w:eastAsia="Times New Roman" w:hAnsi="Times New Roman" w:cs="Times New Roman"/>
                <w:b/>
                <w:bCs/>
                <w:color w:val="000000"/>
                <w:lang w:eastAsia="en-IN"/>
              </w:rPr>
            </w:pPr>
            <w:r w:rsidRPr="00B30DDC">
              <w:rPr>
                <w:rFonts w:ascii="Times New Roman" w:eastAsia="Times New Roman" w:hAnsi="Times New Roman" w:cs="Times New Roman"/>
                <w:b/>
                <w:bCs/>
                <w:color w:val="000000"/>
                <w:lang w:eastAsia="en-IN"/>
              </w:rPr>
              <w:t>1st gen TKI</w:t>
            </w:r>
          </w:p>
        </w:tc>
      </w:tr>
      <w:tr w:rsidR="0071705C" w:rsidRPr="00B30DDC" w:rsidTr="00AA58A5">
        <w:trPr>
          <w:trHeight w:val="347"/>
        </w:trPr>
        <w:tc>
          <w:tcPr>
            <w:tcW w:w="900" w:type="pct"/>
            <w:tcBorders>
              <w:top w:val="nil"/>
              <w:left w:val="single" w:sz="4" w:space="0" w:color="auto"/>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b/>
                <w:bCs/>
                <w:color w:val="000000"/>
                <w:lang w:eastAsia="en-IN"/>
              </w:rPr>
            </w:pPr>
            <w:r w:rsidRPr="00B30DDC">
              <w:rPr>
                <w:rFonts w:ascii="Times New Roman" w:eastAsia="Times New Roman" w:hAnsi="Times New Roman" w:cs="Times New Roman"/>
                <w:b/>
                <w:bCs/>
                <w:color w:val="000000"/>
                <w:lang w:eastAsia="en-IN"/>
              </w:rPr>
              <w:t>Dacomitinib</w:t>
            </w:r>
          </w:p>
        </w:tc>
        <w:tc>
          <w:tcPr>
            <w:tcW w:w="767"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674"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754"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561"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900"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445"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r>
      <w:tr w:rsidR="0071705C" w:rsidRPr="00B30DDC" w:rsidTr="00AA58A5">
        <w:trPr>
          <w:trHeight w:val="347"/>
        </w:trPr>
        <w:tc>
          <w:tcPr>
            <w:tcW w:w="900" w:type="pct"/>
            <w:tcBorders>
              <w:top w:val="nil"/>
              <w:left w:val="single" w:sz="4" w:space="0" w:color="auto"/>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b/>
                <w:bCs/>
                <w:color w:val="000000"/>
                <w:lang w:eastAsia="en-IN"/>
              </w:rPr>
            </w:pPr>
            <w:r w:rsidRPr="00B30DDC">
              <w:rPr>
                <w:rFonts w:ascii="Times New Roman" w:eastAsia="Times New Roman" w:hAnsi="Times New Roman" w:cs="Times New Roman"/>
                <w:b/>
                <w:bCs/>
                <w:color w:val="000000"/>
                <w:lang w:eastAsia="en-IN"/>
              </w:rPr>
              <w:t>Lazertinib</w:t>
            </w:r>
          </w:p>
        </w:tc>
        <w:tc>
          <w:tcPr>
            <w:tcW w:w="767"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0.97 (0.68–1.38)</w:t>
            </w:r>
          </w:p>
        </w:tc>
        <w:tc>
          <w:tcPr>
            <w:tcW w:w="674"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754"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561"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900"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445"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r>
      <w:tr w:rsidR="0071705C" w:rsidRPr="00B30DDC" w:rsidTr="00AA58A5">
        <w:trPr>
          <w:trHeight w:val="695"/>
        </w:trPr>
        <w:tc>
          <w:tcPr>
            <w:tcW w:w="900" w:type="pct"/>
            <w:tcBorders>
              <w:top w:val="nil"/>
              <w:left w:val="single" w:sz="4" w:space="0" w:color="auto"/>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b/>
                <w:bCs/>
                <w:color w:val="000000"/>
                <w:lang w:eastAsia="en-IN"/>
              </w:rPr>
            </w:pPr>
            <w:r w:rsidRPr="00B30DDC">
              <w:rPr>
                <w:rFonts w:ascii="Times New Roman" w:eastAsia="Times New Roman" w:hAnsi="Times New Roman" w:cs="Times New Roman"/>
                <w:b/>
                <w:bCs/>
                <w:color w:val="000000"/>
                <w:lang w:eastAsia="en-IN"/>
              </w:rPr>
              <w:t>Osimertinib</w:t>
            </w:r>
          </w:p>
        </w:tc>
        <w:tc>
          <w:tcPr>
            <w:tcW w:w="767"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0.93 (0.69–1.26)</w:t>
            </w:r>
          </w:p>
        </w:tc>
        <w:tc>
          <w:tcPr>
            <w:tcW w:w="674"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0.97 (0.75–1.25)</w:t>
            </w:r>
          </w:p>
        </w:tc>
        <w:tc>
          <w:tcPr>
            <w:tcW w:w="754"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561"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900"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445"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r>
      <w:tr w:rsidR="0071705C" w:rsidRPr="00B30DDC" w:rsidTr="00AA58A5">
        <w:trPr>
          <w:trHeight w:val="695"/>
        </w:trPr>
        <w:tc>
          <w:tcPr>
            <w:tcW w:w="900" w:type="pct"/>
            <w:tcBorders>
              <w:top w:val="nil"/>
              <w:left w:val="single" w:sz="4" w:space="0" w:color="auto"/>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b/>
                <w:bCs/>
                <w:color w:val="000000"/>
                <w:lang w:eastAsia="en-IN"/>
              </w:rPr>
            </w:pPr>
            <w:r w:rsidRPr="00B30DDC">
              <w:rPr>
                <w:rFonts w:ascii="Times New Roman" w:eastAsia="Times New Roman" w:hAnsi="Times New Roman" w:cs="Times New Roman"/>
                <w:b/>
                <w:bCs/>
                <w:color w:val="000000"/>
                <w:lang w:eastAsia="en-IN"/>
              </w:rPr>
              <w:t>Afatinib</w:t>
            </w:r>
          </w:p>
        </w:tc>
        <w:tc>
          <w:tcPr>
            <w:tcW w:w="767"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0.87 (0.61–1.24)</w:t>
            </w:r>
          </w:p>
        </w:tc>
        <w:tc>
          <w:tcPr>
            <w:tcW w:w="674"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0.90 (0.62–1.31)</w:t>
            </w:r>
          </w:p>
        </w:tc>
        <w:tc>
          <w:tcPr>
            <w:tcW w:w="754"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0.93 (0.68–1.28)</w:t>
            </w:r>
          </w:p>
        </w:tc>
        <w:tc>
          <w:tcPr>
            <w:tcW w:w="561"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900"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445"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r>
      <w:tr w:rsidR="0071705C" w:rsidRPr="00B30DDC" w:rsidTr="00AA58A5">
        <w:trPr>
          <w:trHeight w:val="695"/>
        </w:trPr>
        <w:tc>
          <w:tcPr>
            <w:tcW w:w="900" w:type="pct"/>
            <w:tcBorders>
              <w:top w:val="nil"/>
              <w:left w:val="single" w:sz="4" w:space="0" w:color="auto"/>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b/>
                <w:bCs/>
                <w:color w:val="000000"/>
                <w:lang w:eastAsia="en-IN"/>
              </w:rPr>
            </w:pPr>
            <w:r w:rsidRPr="00B30DDC">
              <w:rPr>
                <w:rFonts w:ascii="Times New Roman" w:eastAsia="Times New Roman" w:hAnsi="Times New Roman" w:cs="Times New Roman"/>
                <w:b/>
                <w:bCs/>
                <w:color w:val="000000"/>
                <w:lang w:eastAsia="en-IN"/>
              </w:rPr>
              <w:t>Furmonertinib</w:t>
            </w:r>
          </w:p>
        </w:tc>
        <w:tc>
          <w:tcPr>
            <w:tcW w:w="767"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0.80 (0.51–1.23)</w:t>
            </w:r>
          </w:p>
        </w:tc>
        <w:tc>
          <w:tcPr>
            <w:tcW w:w="674"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0.82 (0.52–1.30)</w:t>
            </w:r>
          </w:p>
        </w:tc>
        <w:tc>
          <w:tcPr>
            <w:tcW w:w="754"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0.85 (0.56–1.29)</w:t>
            </w:r>
          </w:p>
        </w:tc>
        <w:tc>
          <w:tcPr>
            <w:tcW w:w="561"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0.91 (0.58–1.44)</w:t>
            </w:r>
          </w:p>
        </w:tc>
        <w:tc>
          <w:tcPr>
            <w:tcW w:w="900"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445"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r>
      <w:tr w:rsidR="0071705C" w:rsidRPr="00B30DDC" w:rsidTr="00AA58A5">
        <w:trPr>
          <w:trHeight w:val="695"/>
        </w:trPr>
        <w:tc>
          <w:tcPr>
            <w:tcW w:w="900" w:type="pct"/>
            <w:tcBorders>
              <w:top w:val="nil"/>
              <w:left w:val="single" w:sz="4" w:space="0" w:color="auto"/>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b/>
                <w:bCs/>
                <w:color w:val="000000"/>
                <w:lang w:eastAsia="en-IN"/>
              </w:rPr>
            </w:pPr>
            <w:r w:rsidRPr="00B30DDC">
              <w:rPr>
                <w:rFonts w:ascii="Times New Roman" w:eastAsia="Times New Roman" w:hAnsi="Times New Roman" w:cs="Times New Roman"/>
                <w:b/>
                <w:bCs/>
                <w:color w:val="000000"/>
                <w:lang w:eastAsia="en-IN"/>
              </w:rPr>
              <w:t>1st gen TKI</w:t>
            </w:r>
          </w:p>
        </w:tc>
        <w:tc>
          <w:tcPr>
            <w:tcW w:w="767"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0.75 (0.59–0.95)</w:t>
            </w:r>
          </w:p>
        </w:tc>
        <w:tc>
          <w:tcPr>
            <w:tcW w:w="674"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0.77 (0.59–1.01)</w:t>
            </w:r>
          </w:p>
        </w:tc>
        <w:tc>
          <w:tcPr>
            <w:tcW w:w="754"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0.80 (0.67–0.96)</w:t>
            </w:r>
          </w:p>
        </w:tc>
        <w:tc>
          <w:tcPr>
            <w:tcW w:w="561"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0.86 (0.66–1.12)</w:t>
            </w:r>
          </w:p>
        </w:tc>
        <w:tc>
          <w:tcPr>
            <w:tcW w:w="900"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0.94 (0.65–1.36)</w:t>
            </w:r>
          </w:p>
        </w:tc>
        <w:tc>
          <w:tcPr>
            <w:tcW w:w="445"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r>
      <w:tr w:rsidR="0071705C" w:rsidRPr="00B30DDC" w:rsidTr="00AA58A5">
        <w:trPr>
          <w:trHeight w:val="695"/>
        </w:trPr>
        <w:tc>
          <w:tcPr>
            <w:tcW w:w="900" w:type="pct"/>
            <w:tcBorders>
              <w:top w:val="nil"/>
              <w:left w:val="single" w:sz="4" w:space="0" w:color="auto"/>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b/>
                <w:bCs/>
                <w:color w:val="000000"/>
                <w:lang w:eastAsia="en-IN"/>
              </w:rPr>
            </w:pPr>
            <w:r w:rsidRPr="00B30DDC">
              <w:rPr>
                <w:rFonts w:ascii="Times New Roman" w:eastAsia="Times New Roman" w:hAnsi="Times New Roman" w:cs="Times New Roman"/>
                <w:b/>
                <w:bCs/>
                <w:color w:val="000000"/>
                <w:lang w:eastAsia="en-IN"/>
              </w:rPr>
              <w:t>Befotertinib</w:t>
            </w:r>
          </w:p>
        </w:tc>
        <w:tc>
          <w:tcPr>
            <w:tcW w:w="767"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0.64 (0.40–1.01)</w:t>
            </w:r>
          </w:p>
        </w:tc>
        <w:tc>
          <w:tcPr>
            <w:tcW w:w="674"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0.66 (0.41–1.06)</w:t>
            </w:r>
          </w:p>
        </w:tc>
        <w:tc>
          <w:tcPr>
            <w:tcW w:w="754"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0.68 (0.44–1.06)</w:t>
            </w:r>
          </w:p>
        </w:tc>
        <w:tc>
          <w:tcPr>
            <w:tcW w:w="561"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0.74 (0.46–1.18)</w:t>
            </w:r>
          </w:p>
        </w:tc>
        <w:tc>
          <w:tcPr>
            <w:tcW w:w="900"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0.80 (0.47–1.38)</w:t>
            </w:r>
          </w:p>
        </w:tc>
        <w:tc>
          <w:tcPr>
            <w:tcW w:w="445" w:type="pct"/>
            <w:tcBorders>
              <w:top w:val="nil"/>
              <w:left w:val="nil"/>
              <w:bottom w:val="single" w:sz="4" w:space="0" w:color="auto"/>
              <w:right w:val="single" w:sz="4" w:space="0" w:color="auto"/>
            </w:tcBorders>
            <w:shd w:val="clear" w:color="auto" w:fill="auto"/>
            <w:vAlign w:val="center"/>
            <w:hideMark/>
          </w:tcPr>
          <w:p w:rsidR="0071705C" w:rsidRPr="00B30DDC" w:rsidRDefault="0071705C" w:rsidP="0071705C">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0.85 (0.58–1.27)</w:t>
            </w:r>
          </w:p>
        </w:tc>
      </w:tr>
    </w:tbl>
    <w:p w:rsidR="00B6319A" w:rsidRPr="00B30DDC" w:rsidRDefault="00B6319A">
      <w:pPr>
        <w:rPr>
          <w:rFonts w:ascii="Times New Roman" w:hAnsi="Times New Roman" w:cs="Times New Roman"/>
        </w:rPr>
      </w:pPr>
    </w:p>
    <w:p w:rsidR="00B6319A" w:rsidRPr="00B30DDC" w:rsidRDefault="00B6319A">
      <w:pPr>
        <w:rPr>
          <w:rFonts w:ascii="Times New Roman" w:hAnsi="Times New Roman" w:cs="Times New Roman"/>
        </w:rPr>
      </w:pPr>
    </w:p>
    <w:p w:rsidR="00953100" w:rsidRPr="00B30DDC" w:rsidRDefault="00B6319A">
      <w:pPr>
        <w:rPr>
          <w:rFonts w:ascii="Times New Roman" w:hAnsi="Times New Roman" w:cs="Times New Roman"/>
        </w:rPr>
      </w:pPr>
      <w:r w:rsidRPr="00B30DDC">
        <w:rPr>
          <w:rFonts w:ascii="Times New Roman" w:hAnsi="Times New Roman" w:cs="Times New Roman"/>
        </w:rPr>
        <w:fldChar w:fldCharType="begin"/>
      </w:r>
      <w:r w:rsidRPr="00B30DDC">
        <w:rPr>
          <w:rFonts w:ascii="Times New Roman" w:hAnsi="Times New Roman" w:cs="Times New Roman"/>
        </w:rPr>
        <w:instrText xml:space="preserve"> LINK </w:instrText>
      </w:r>
      <w:r w:rsidR="00D63F62">
        <w:rPr>
          <w:rFonts w:ascii="Times New Roman" w:hAnsi="Times New Roman" w:cs="Times New Roman"/>
        </w:rPr>
        <w:instrText xml:space="preserve">Excel.Sheet.12 C:\\Users\\HP\\OneDrive\\Desktop\\NMA-TKI\\Network-tki\\network-tki\\OS_plot\\league.xlsx Sheet1!R1C1:R8C8 </w:instrText>
      </w:r>
      <w:r w:rsidRPr="00B30DDC">
        <w:rPr>
          <w:rFonts w:ascii="Times New Roman" w:hAnsi="Times New Roman" w:cs="Times New Roman"/>
        </w:rPr>
        <w:instrText xml:space="preserve">\a \f 5 \h  \* MERGEFORMAT </w:instrText>
      </w:r>
      <w:r w:rsidR="00D63F62">
        <w:rPr>
          <w:rFonts w:ascii="Times New Roman" w:hAnsi="Times New Roman" w:cs="Times New Roman"/>
        </w:rPr>
        <w:fldChar w:fldCharType="separate"/>
      </w:r>
      <w:r w:rsidRPr="00B30DDC">
        <w:rPr>
          <w:rFonts w:ascii="Times New Roman" w:hAnsi="Times New Roman" w:cs="Times New Roman"/>
        </w:rPr>
        <w:fldChar w:fldCharType="end"/>
      </w:r>
      <w:r w:rsidRPr="00B30DDC">
        <w:rPr>
          <w:rFonts w:ascii="Times New Roman" w:hAnsi="Times New Roman" w:cs="Times New Roman"/>
        </w:rPr>
        <w:t>Note- Values are presented as hazard ratios (HRs) comparing column treatments to row treatments. HR &lt; 1 favors the column treatment.</w:t>
      </w:r>
    </w:p>
    <w:p w:rsidR="00D942A7" w:rsidRDefault="00D942A7">
      <w:pPr>
        <w:rPr>
          <w:rFonts w:ascii="Times New Roman" w:hAnsi="Times New Roman" w:cs="Times New Roman"/>
          <w:b/>
        </w:rPr>
      </w:pPr>
      <w:r>
        <w:rPr>
          <w:rFonts w:ascii="Times New Roman" w:hAnsi="Times New Roman" w:cs="Times New Roman"/>
          <w:b/>
        </w:rPr>
        <w:br w:type="page"/>
      </w:r>
    </w:p>
    <w:p w:rsidR="003A769C" w:rsidRPr="00D942A7" w:rsidRDefault="00D63F62" w:rsidP="003A769C">
      <w:pPr>
        <w:rPr>
          <w:rFonts w:ascii="Times New Roman" w:hAnsi="Times New Roman" w:cs="Times New Roman"/>
          <w:b/>
          <w:sz w:val="24"/>
        </w:rPr>
      </w:pPr>
      <w:r w:rsidRPr="00D942A7">
        <w:rPr>
          <w:rFonts w:ascii="Times New Roman" w:hAnsi="Times New Roman" w:cs="Times New Roman"/>
          <w:b/>
          <w:sz w:val="24"/>
        </w:rPr>
        <w:t>Supplementary</w:t>
      </w:r>
      <w:r w:rsidR="00C471D1" w:rsidRPr="00D942A7">
        <w:rPr>
          <w:rFonts w:ascii="Times New Roman" w:hAnsi="Times New Roman" w:cs="Times New Roman"/>
          <w:b/>
          <w:sz w:val="24"/>
        </w:rPr>
        <w:t xml:space="preserve"> Table </w:t>
      </w:r>
      <w:r w:rsidR="00921DAB">
        <w:rPr>
          <w:rFonts w:ascii="Times New Roman" w:hAnsi="Times New Roman" w:cs="Times New Roman"/>
          <w:b/>
          <w:sz w:val="24"/>
        </w:rPr>
        <w:t>S</w:t>
      </w:r>
      <w:r w:rsidR="00C471D1" w:rsidRPr="00D942A7">
        <w:rPr>
          <w:rFonts w:ascii="Times New Roman" w:hAnsi="Times New Roman" w:cs="Times New Roman"/>
          <w:b/>
          <w:sz w:val="24"/>
        </w:rPr>
        <w:t>5</w:t>
      </w:r>
      <w:r w:rsidR="003A769C" w:rsidRPr="00D942A7">
        <w:rPr>
          <w:rFonts w:ascii="Times New Roman" w:hAnsi="Times New Roman" w:cs="Times New Roman"/>
          <w:b/>
          <w:sz w:val="24"/>
        </w:rPr>
        <w:t xml:space="preserve">:  </w:t>
      </w:r>
      <w:r w:rsidR="003A769C" w:rsidRPr="00D942A7">
        <w:rPr>
          <w:rFonts w:ascii="Times New Roman" w:hAnsi="Times New Roman" w:cs="Times New Roman"/>
          <w:sz w:val="24"/>
        </w:rPr>
        <w:t xml:space="preserve">League table- </w:t>
      </w:r>
      <w:r w:rsidR="00C471D1" w:rsidRPr="00D942A7">
        <w:rPr>
          <w:rFonts w:ascii="Times New Roman" w:eastAsia="Calibri" w:hAnsi="Times New Roman" w:cs="Times New Roman"/>
          <w:sz w:val="24"/>
        </w:rPr>
        <w:t>Progression free survival</w:t>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8"/>
        <w:gridCol w:w="1319"/>
        <w:gridCol w:w="992"/>
        <w:gridCol w:w="1214"/>
        <w:gridCol w:w="1108"/>
        <w:gridCol w:w="1108"/>
        <w:gridCol w:w="1127"/>
        <w:gridCol w:w="830"/>
      </w:tblGrid>
      <w:tr w:rsidR="00C471D1" w:rsidRPr="00B30DDC" w:rsidTr="00C471D1">
        <w:trPr>
          <w:trHeight w:val="550"/>
        </w:trPr>
        <w:tc>
          <w:tcPr>
            <w:tcW w:w="1313"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lang w:eastAsia="en-IN"/>
              </w:rPr>
            </w:pPr>
          </w:p>
        </w:tc>
        <w:tc>
          <w:tcPr>
            <w:tcW w:w="1312" w:type="dxa"/>
            <w:shd w:val="clear" w:color="auto" w:fill="auto"/>
            <w:vAlign w:val="center"/>
            <w:hideMark/>
          </w:tcPr>
          <w:p w:rsidR="00C471D1" w:rsidRPr="00B30DDC" w:rsidRDefault="00C471D1" w:rsidP="00C471D1">
            <w:pPr>
              <w:spacing w:after="0" w:line="240" w:lineRule="auto"/>
              <w:jc w:val="center"/>
              <w:rPr>
                <w:rFonts w:ascii="Times New Roman" w:eastAsia="Times New Roman" w:hAnsi="Times New Roman" w:cs="Times New Roman"/>
                <w:b/>
                <w:bCs/>
                <w:color w:val="000000"/>
                <w:lang w:eastAsia="en-IN"/>
              </w:rPr>
            </w:pPr>
            <w:r w:rsidRPr="00B30DDC">
              <w:rPr>
                <w:rFonts w:ascii="Times New Roman" w:eastAsia="Times New Roman" w:hAnsi="Times New Roman" w:cs="Times New Roman"/>
                <w:b/>
                <w:bCs/>
                <w:color w:val="000000"/>
                <w:lang w:eastAsia="en-IN"/>
              </w:rPr>
              <w:t>Furmonertinib</w:t>
            </w:r>
          </w:p>
        </w:tc>
        <w:tc>
          <w:tcPr>
            <w:tcW w:w="962" w:type="dxa"/>
            <w:shd w:val="clear" w:color="auto" w:fill="auto"/>
            <w:vAlign w:val="center"/>
            <w:hideMark/>
          </w:tcPr>
          <w:p w:rsidR="00C471D1" w:rsidRPr="00B30DDC" w:rsidRDefault="00C471D1" w:rsidP="00C471D1">
            <w:pPr>
              <w:spacing w:after="0" w:line="240" w:lineRule="auto"/>
              <w:jc w:val="center"/>
              <w:rPr>
                <w:rFonts w:ascii="Times New Roman" w:eastAsia="Times New Roman" w:hAnsi="Times New Roman" w:cs="Times New Roman"/>
                <w:b/>
                <w:bCs/>
                <w:color w:val="000000"/>
                <w:lang w:eastAsia="en-IN"/>
              </w:rPr>
            </w:pPr>
            <w:r w:rsidRPr="00B30DDC">
              <w:rPr>
                <w:rFonts w:ascii="Times New Roman" w:eastAsia="Times New Roman" w:hAnsi="Times New Roman" w:cs="Times New Roman"/>
                <w:b/>
                <w:bCs/>
                <w:color w:val="000000"/>
                <w:lang w:eastAsia="en-IN"/>
              </w:rPr>
              <w:t>Lazertinib</w:t>
            </w:r>
          </w:p>
        </w:tc>
        <w:tc>
          <w:tcPr>
            <w:tcW w:w="1222" w:type="dxa"/>
            <w:shd w:val="clear" w:color="auto" w:fill="auto"/>
            <w:vAlign w:val="center"/>
            <w:hideMark/>
          </w:tcPr>
          <w:p w:rsidR="00C471D1" w:rsidRPr="00B30DDC" w:rsidRDefault="00C471D1" w:rsidP="00C471D1">
            <w:pPr>
              <w:spacing w:after="0" w:line="240" w:lineRule="auto"/>
              <w:jc w:val="center"/>
              <w:rPr>
                <w:rFonts w:ascii="Times New Roman" w:eastAsia="Times New Roman" w:hAnsi="Times New Roman" w:cs="Times New Roman"/>
                <w:b/>
                <w:bCs/>
                <w:color w:val="000000"/>
                <w:lang w:eastAsia="en-IN"/>
              </w:rPr>
            </w:pPr>
            <w:r w:rsidRPr="00B30DDC">
              <w:rPr>
                <w:rFonts w:ascii="Times New Roman" w:eastAsia="Times New Roman" w:hAnsi="Times New Roman" w:cs="Times New Roman"/>
                <w:b/>
                <w:bCs/>
                <w:color w:val="000000"/>
                <w:lang w:eastAsia="en-IN"/>
              </w:rPr>
              <w:t>Aumolertinib</w:t>
            </w:r>
          </w:p>
        </w:tc>
        <w:tc>
          <w:tcPr>
            <w:tcW w:w="1111" w:type="dxa"/>
            <w:shd w:val="clear" w:color="auto" w:fill="auto"/>
            <w:vAlign w:val="center"/>
            <w:hideMark/>
          </w:tcPr>
          <w:p w:rsidR="00C471D1" w:rsidRPr="00B30DDC" w:rsidRDefault="00C471D1" w:rsidP="00C471D1">
            <w:pPr>
              <w:spacing w:after="0" w:line="240" w:lineRule="auto"/>
              <w:jc w:val="center"/>
              <w:rPr>
                <w:rFonts w:ascii="Times New Roman" w:eastAsia="Times New Roman" w:hAnsi="Times New Roman" w:cs="Times New Roman"/>
                <w:b/>
                <w:bCs/>
                <w:color w:val="000000"/>
                <w:lang w:eastAsia="en-IN"/>
              </w:rPr>
            </w:pPr>
            <w:r w:rsidRPr="00B30DDC">
              <w:rPr>
                <w:rFonts w:ascii="Times New Roman" w:eastAsia="Times New Roman" w:hAnsi="Times New Roman" w:cs="Times New Roman"/>
                <w:b/>
                <w:bCs/>
                <w:color w:val="000000"/>
                <w:lang w:eastAsia="en-IN"/>
              </w:rPr>
              <w:t>Osimertinib</w:t>
            </w:r>
          </w:p>
        </w:tc>
        <w:tc>
          <w:tcPr>
            <w:tcW w:w="1135" w:type="dxa"/>
            <w:shd w:val="clear" w:color="auto" w:fill="auto"/>
            <w:vAlign w:val="center"/>
            <w:hideMark/>
          </w:tcPr>
          <w:p w:rsidR="00C471D1" w:rsidRPr="00B30DDC" w:rsidRDefault="00C471D1" w:rsidP="00C471D1">
            <w:pPr>
              <w:spacing w:after="0" w:line="240" w:lineRule="auto"/>
              <w:jc w:val="center"/>
              <w:rPr>
                <w:rFonts w:ascii="Times New Roman" w:eastAsia="Times New Roman" w:hAnsi="Times New Roman" w:cs="Times New Roman"/>
                <w:b/>
                <w:bCs/>
                <w:color w:val="000000"/>
                <w:lang w:eastAsia="en-IN"/>
              </w:rPr>
            </w:pPr>
            <w:r w:rsidRPr="00B30DDC">
              <w:rPr>
                <w:rFonts w:ascii="Times New Roman" w:eastAsia="Times New Roman" w:hAnsi="Times New Roman" w:cs="Times New Roman"/>
                <w:b/>
                <w:bCs/>
                <w:color w:val="000000"/>
                <w:lang w:eastAsia="en-IN"/>
              </w:rPr>
              <w:t>Befotertinib</w:t>
            </w:r>
          </w:p>
        </w:tc>
        <w:tc>
          <w:tcPr>
            <w:tcW w:w="1138" w:type="dxa"/>
            <w:shd w:val="clear" w:color="auto" w:fill="auto"/>
            <w:vAlign w:val="center"/>
            <w:hideMark/>
          </w:tcPr>
          <w:p w:rsidR="00C471D1" w:rsidRPr="00B30DDC" w:rsidRDefault="00C471D1" w:rsidP="00C471D1">
            <w:pPr>
              <w:spacing w:after="0" w:line="240" w:lineRule="auto"/>
              <w:jc w:val="center"/>
              <w:rPr>
                <w:rFonts w:ascii="Times New Roman" w:eastAsia="Times New Roman" w:hAnsi="Times New Roman" w:cs="Times New Roman"/>
                <w:b/>
                <w:bCs/>
                <w:color w:val="000000"/>
                <w:lang w:eastAsia="en-IN"/>
              </w:rPr>
            </w:pPr>
            <w:r w:rsidRPr="00B30DDC">
              <w:rPr>
                <w:rFonts w:ascii="Times New Roman" w:eastAsia="Times New Roman" w:hAnsi="Times New Roman" w:cs="Times New Roman"/>
                <w:b/>
                <w:bCs/>
                <w:color w:val="000000"/>
                <w:lang w:eastAsia="en-IN"/>
              </w:rPr>
              <w:t>Dacomitinib</w:t>
            </w:r>
          </w:p>
        </w:tc>
        <w:tc>
          <w:tcPr>
            <w:tcW w:w="823" w:type="dxa"/>
            <w:shd w:val="clear" w:color="auto" w:fill="auto"/>
            <w:vAlign w:val="center"/>
            <w:hideMark/>
          </w:tcPr>
          <w:p w:rsidR="00C471D1" w:rsidRPr="00B30DDC" w:rsidRDefault="00C471D1" w:rsidP="00C471D1">
            <w:pPr>
              <w:spacing w:after="0" w:line="240" w:lineRule="auto"/>
              <w:jc w:val="center"/>
              <w:rPr>
                <w:rFonts w:ascii="Times New Roman" w:eastAsia="Times New Roman" w:hAnsi="Times New Roman" w:cs="Times New Roman"/>
                <w:b/>
                <w:bCs/>
                <w:color w:val="000000"/>
                <w:lang w:eastAsia="en-IN"/>
              </w:rPr>
            </w:pPr>
            <w:r w:rsidRPr="00B30DDC">
              <w:rPr>
                <w:rFonts w:ascii="Times New Roman" w:eastAsia="Times New Roman" w:hAnsi="Times New Roman" w:cs="Times New Roman"/>
                <w:b/>
                <w:bCs/>
                <w:color w:val="000000"/>
                <w:lang w:eastAsia="en-IN"/>
              </w:rPr>
              <w:t>Afatinib</w:t>
            </w:r>
          </w:p>
        </w:tc>
      </w:tr>
      <w:tr w:rsidR="00C471D1" w:rsidRPr="00B30DDC" w:rsidTr="00C471D1">
        <w:trPr>
          <w:trHeight w:val="550"/>
        </w:trPr>
        <w:tc>
          <w:tcPr>
            <w:tcW w:w="1313"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b/>
                <w:bCs/>
                <w:color w:val="000000"/>
                <w:lang w:eastAsia="en-IN"/>
              </w:rPr>
            </w:pPr>
            <w:r w:rsidRPr="00B30DDC">
              <w:rPr>
                <w:rFonts w:ascii="Times New Roman" w:eastAsia="Times New Roman" w:hAnsi="Times New Roman" w:cs="Times New Roman"/>
                <w:b/>
                <w:bCs/>
                <w:color w:val="000000"/>
                <w:lang w:eastAsia="en-IN"/>
              </w:rPr>
              <w:t>Furmonertinib</w:t>
            </w:r>
          </w:p>
        </w:tc>
        <w:tc>
          <w:tcPr>
            <w:tcW w:w="1312"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962"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1222"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1111"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1135"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1138"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823"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r>
      <w:tr w:rsidR="00C471D1" w:rsidRPr="00B30DDC" w:rsidTr="00C471D1">
        <w:trPr>
          <w:trHeight w:val="826"/>
        </w:trPr>
        <w:tc>
          <w:tcPr>
            <w:tcW w:w="1313"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b/>
                <w:bCs/>
                <w:color w:val="000000"/>
                <w:lang w:eastAsia="en-IN"/>
              </w:rPr>
            </w:pPr>
            <w:r w:rsidRPr="00B30DDC">
              <w:rPr>
                <w:rFonts w:ascii="Times New Roman" w:eastAsia="Times New Roman" w:hAnsi="Times New Roman" w:cs="Times New Roman"/>
                <w:b/>
                <w:bCs/>
                <w:color w:val="000000"/>
                <w:lang w:eastAsia="en-IN"/>
              </w:rPr>
              <w:t>Lazertinib</w:t>
            </w:r>
          </w:p>
        </w:tc>
        <w:tc>
          <w:tcPr>
            <w:tcW w:w="1312"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0.96 (0.69–1.33)</w:t>
            </w:r>
          </w:p>
        </w:tc>
        <w:tc>
          <w:tcPr>
            <w:tcW w:w="962"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1222"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1111"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1135"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1138"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823"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r>
      <w:tr w:rsidR="00C471D1" w:rsidRPr="00B30DDC" w:rsidTr="00C471D1">
        <w:trPr>
          <w:trHeight w:val="826"/>
        </w:trPr>
        <w:tc>
          <w:tcPr>
            <w:tcW w:w="1313"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b/>
                <w:bCs/>
                <w:color w:val="000000"/>
                <w:lang w:eastAsia="en-IN"/>
              </w:rPr>
            </w:pPr>
            <w:r w:rsidRPr="00B30DDC">
              <w:rPr>
                <w:rFonts w:ascii="Times New Roman" w:eastAsia="Times New Roman" w:hAnsi="Times New Roman" w:cs="Times New Roman"/>
                <w:b/>
                <w:bCs/>
                <w:color w:val="000000"/>
                <w:lang w:eastAsia="en-IN"/>
              </w:rPr>
              <w:t>Aumolertinib</w:t>
            </w:r>
          </w:p>
        </w:tc>
        <w:tc>
          <w:tcPr>
            <w:tcW w:w="1312"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0.96 (0.67–1.37)</w:t>
            </w:r>
          </w:p>
        </w:tc>
        <w:tc>
          <w:tcPr>
            <w:tcW w:w="962"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1.00 (0.73–1.37)</w:t>
            </w:r>
          </w:p>
        </w:tc>
        <w:tc>
          <w:tcPr>
            <w:tcW w:w="1222"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1111"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1135"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1138"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823"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r>
      <w:tr w:rsidR="00C471D1" w:rsidRPr="00B30DDC" w:rsidTr="00C471D1">
        <w:trPr>
          <w:trHeight w:val="826"/>
        </w:trPr>
        <w:tc>
          <w:tcPr>
            <w:tcW w:w="1313"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b/>
                <w:bCs/>
                <w:color w:val="000000"/>
                <w:lang w:eastAsia="en-IN"/>
              </w:rPr>
            </w:pPr>
            <w:r w:rsidRPr="00B30DDC">
              <w:rPr>
                <w:rFonts w:ascii="Times New Roman" w:eastAsia="Times New Roman" w:hAnsi="Times New Roman" w:cs="Times New Roman"/>
                <w:b/>
                <w:bCs/>
                <w:color w:val="000000"/>
                <w:lang w:eastAsia="en-IN"/>
              </w:rPr>
              <w:t>Osimertinib</w:t>
            </w:r>
          </w:p>
        </w:tc>
        <w:tc>
          <w:tcPr>
            <w:tcW w:w="1312"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0.93 (0.68–1.26)</w:t>
            </w:r>
          </w:p>
        </w:tc>
        <w:tc>
          <w:tcPr>
            <w:tcW w:w="962"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0.97 (0.81–1.16)</w:t>
            </w:r>
          </w:p>
        </w:tc>
        <w:tc>
          <w:tcPr>
            <w:tcW w:w="1222"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0.97 (0.72–1.30)</w:t>
            </w:r>
          </w:p>
        </w:tc>
        <w:tc>
          <w:tcPr>
            <w:tcW w:w="1111"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1135"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1138"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823"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r>
      <w:tr w:rsidR="00C471D1" w:rsidRPr="00B30DDC" w:rsidTr="00C471D1">
        <w:trPr>
          <w:trHeight w:val="826"/>
        </w:trPr>
        <w:tc>
          <w:tcPr>
            <w:tcW w:w="1313"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b/>
                <w:bCs/>
                <w:color w:val="000000"/>
                <w:lang w:eastAsia="en-IN"/>
              </w:rPr>
            </w:pPr>
            <w:r w:rsidRPr="00B30DDC">
              <w:rPr>
                <w:rFonts w:ascii="Times New Roman" w:eastAsia="Times New Roman" w:hAnsi="Times New Roman" w:cs="Times New Roman"/>
                <w:b/>
                <w:bCs/>
                <w:color w:val="000000"/>
                <w:lang w:eastAsia="en-IN"/>
              </w:rPr>
              <w:t>Befotertinib</w:t>
            </w:r>
          </w:p>
        </w:tc>
        <w:tc>
          <w:tcPr>
            <w:tcW w:w="1312"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0.90 (0.60–1.34)</w:t>
            </w:r>
          </w:p>
        </w:tc>
        <w:tc>
          <w:tcPr>
            <w:tcW w:w="962"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0.94 (0.65–1.36)</w:t>
            </w:r>
          </w:p>
        </w:tc>
        <w:tc>
          <w:tcPr>
            <w:tcW w:w="1222"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0.94 (0.63–1.39)</w:t>
            </w:r>
          </w:p>
        </w:tc>
        <w:tc>
          <w:tcPr>
            <w:tcW w:w="1111"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0.97 (0.68–1.38)</w:t>
            </w:r>
          </w:p>
        </w:tc>
        <w:tc>
          <w:tcPr>
            <w:tcW w:w="1135"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1138"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823"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r>
      <w:tr w:rsidR="00C471D1" w:rsidRPr="00B30DDC" w:rsidTr="00C471D1">
        <w:trPr>
          <w:trHeight w:val="826"/>
        </w:trPr>
        <w:tc>
          <w:tcPr>
            <w:tcW w:w="1313"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b/>
                <w:bCs/>
                <w:color w:val="000000"/>
                <w:lang w:eastAsia="en-IN"/>
              </w:rPr>
            </w:pPr>
            <w:r w:rsidRPr="00B30DDC">
              <w:rPr>
                <w:rFonts w:ascii="Times New Roman" w:eastAsia="Times New Roman" w:hAnsi="Times New Roman" w:cs="Times New Roman"/>
                <w:b/>
                <w:bCs/>
                <w:color w:val="000000"/>
                <w:lang w:eastAsia="en-IN"/>
              </w:rPr>
              <w:t>Dacomitinib</w:t>
            </w:r>
          </w:p>
        </w:tc>
        <w:tc>
          <w:tcPr>
            <w:tcW w:w="1312"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0.75 (0.53–1.05)</w:t>
            </w:r>
          </w:p>
        </w:tc>
        <w:tc>
          <w:tcPr>
            <w:tcW w:w="962"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0.78 (0.57–1.06)</w:t>
            </w:r>
          </w:p>
        </w:tc>
        <w:tc>
          <w:tcPr>
            <w:tcW w:w="1222"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0.78 (0.56–1.09)</w:t>
            </w:r>
          </w:p>
        </w:tc>
        <w:tc>
          <w:tcPr>
            <w:tcW w:w="1111"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0.81 (0.61–1.07)</w:t>
            </w:r>
          </w:p>
        </w:tc>
        <w:tc>
          <w:tcPr>
            <w:tcW w:w="1135"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0.83 (0.57–1.22)</w:t>
            </w:r>
          </w:p>
        </w:tc>
        <w:tc>
          <w:tcPr>
            <w:tcW w:w="1138"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c>
          <w:tcPr>
            <w:tcW w:w="823"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r>
      <w:tr w:rsidR="00C471D1" w:rsidRPr="00B30DDC" w:rsidTr="00C471D1">
        <w:trPr>
          <w:trHeight w:val="826"/>
        </w:trPr>
        <w:tc>
          <w:tcPr>
            <w:tcW w:w="1313"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b/>
                <w:bCs/>
                <w:color w:val="000000"/>
                <w:lang w:eastAsia="en-IN"/>
              </w:rPr>
            </w:pPr>
            <w:r w:rsidRPr="00B30DDC">
              <w:rPr>
                <w:rFonts w:ascii="Times New Roman" w:eastAsia="Times New Roman" w:hAnsi="Times New Roman" w:cs="Times New Roman"/>
                <w:b/>
                <w:bCs/>
                <w:color w:val="000000"/>
                <w:lang w:eastAsia="en-IN"/>
              </w:rPr>
              <w:t>Afatinib</w:t>
            </w:r>
          </w:p>
        </w:tc>
        <w:tc>
          <w:tcPr>
            <w:tcW w:w="1312"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0.60 (0.42–0.86)</w:t>
            </w:r>
          </w:p>
        </w:tc>
        <w:tc>
          <w:tcPr>
            <w:tcW w:w="962"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0.63 (0.46–0.87)</w:t>
            </w:r>
          </w:p>
        </w:tc>
        <w:tc>
          <w:tcPr>
            <w:tcW w:w="1222"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0.63 (0.44–0.89)</w:t>
            </w:r>
          </w:p>
        </w:tc>
        <w:tc>
          <w:tcPr>
            <w:tcW w:w="1111"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0.65 (0.48–0.88)</w:t>
            </w:r>
          </w:p>
        </w:tc>
        <w:tc>
          <w:tcPr>
            <w:tcW w:w="1135"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0.67 (0.45–1.00)</w:t>
            </w:r>
          </w:p>
        </w:tc>
        <w:tc>
          <w:tcPr>
            <w:tcW w:w="1138"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0.81 (0.58–1.13)</w:t>
            </w:r>
          </w:p>
        </w:tc>
        <w:tc>
          <w:tcPr>
            <w:tcW w:w="823"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w:t>
            </w:r>
          </w:p>
        </w:tc>
      </w:tr>
      <w:tr w:rsidR="00C471D1" w:rsidRPr="00B30DDC" w:rsidTr="00C471D1">
        <w:trPr>
          <w:trHeight w:val="826"/>
        </w:trPr>
        <w:tc>
          <w:tcPr>
            <w:tcW w:w="1313"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b/>
                <w:bCs/>
                <w:color w:val="000000"/>
                <w:lang w:eastAsia="en-IN"/>
              </w:rPr>
            </w:pPr>
            <w:r w:rsidRPr="00B30DDC">
              <w:rPr>
                <w:rFonts w:ascii="Times New Roman" w:eastAsia="Times New Roman" w:hAnsi="Times New Roman" w:cs="Times New Roman"/>
                <w:b/>
                <w:bCs/>
                <w:color w:val="000000"/>
                <w:lang w:eastAsia="en-IN"/>
              </w:rPr>
              <w:t>1st gen TKI</w:t>
            </w:r>
          </w:p>
        </w:tc>
        <w:tc>
          <w:tcPr>
            <w:tcW w:w="1312"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0.44 (0.34–0.57)</w:t>
            </w:r>
          </w:p>
        </w:tc>
        <w:tc>
          <w:tcPr>
            <w:tcW w:w="962"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0.46 (0.38–0.56)</w:t>
            </w:r>
          </w:p>
        </w:tc>
        <w:tc>
          <w:tcPr>
            <w:tcW w:w="1222"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0.46 (0.36–0.59)</w:t>
            </w:r>
          </w:p>
        </w:tc>
        <w:tc>
          <w:tcPr>
            <w:tcW w:w="1111"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0.48 (0.40–0.56)</w:t>
            </w:r>
          </w:p>
        </w:tc>
        <w:tc>
          <w:tcPr>
            <w:tcW w:w="1135"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0.49 (0.36–0.67)</w:t>
            </w:r>
          </w:p>
        </w:tc>
        <w:tc>
          <w:tcPr>
            <w:tcW w:w="1138"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0.59 (0.47–0.74)</w:t>
            </w:r>
          </w:p>
        </w:tc>
        <w:tc>
          <w:tcPr>
            <w:tcW w:w="823" w:type="dxa"/>
            <w:shd w:val="clear" w:color="auto" w:fill="auto"/>
            <w:vAlign w:val="center"/>
            <w:hideMark/>
          </w:tcPr>
          <w:p w:rsidR="00C471D1" w:rsidRPr="00B30DDC" w:rsidRDefault="00C471D1" w:rsidP="00C471D1">
            <w:pPr>
              <w:spacing w:after="0" w:line="240" w:lineRule="auto"/>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lang w:eastAsia="en-IN"/>
              </w:rPr>
              <w:t>0.73 (0.57–0.93)</w:t>
            </w:r>
          </w:p>
        </w:tc>
      </w:tr>
    </w:tbl>
    <w:p w:rsidR="00C471D1" w:rsidRPr="00B30DDC" w:rsidRDefault="00C471D1" w:rsidP="00C471D1">
      <w:pPr>
        <w:rPr>
          <w:rFonts w:ascii="Times New Roman" w:hAnsi="Times New Roman" w:cs="Times New Roman"/>
        </w:rPr>
      </w:pPr>
      <w:r w:rsidRPr="00B30DDC">
        <w:rPr>
          <w:rFonts w:ascii="Times New Roman" w:hAnsi="Times New Roman" w:cs="Times New Roman"/>
        </w:rPr>
        <w:fldChar w:fldCharType="begin"/>
      </w:r>
      <w:r w:rsidRPr="00B30DDC">
        <w:rPr>
          <w:rFonts w:ascii="Times New Roman" w:hAnsi="Times New Roman" w:cs="Times New Roman"/>
        </w:rPr>
        <w:instrText xml:space="preserve"> LINK </w:instrText>
      </w:r>
      <w:r w:rsidR="00D63F62">
        <w:rPr>
          <w:rFonts w:ascii="Times New Roman" w:hAnsi="Times New Roman" w:cs="Times New Roman"/>
        </w:rPr>
        <w:instrText xml:space="preserve">Excel.Sheet.12 C:\\Users\\HP\\OneDrive\\Desktop\\NMA-TKI\\Network-tki\\network-tki\\OS_plot\\league.xlsx Sheet1!R1C1:R8C8 </w:instrText>
      </w:r>
      <w:r w:rsidRPr="00B30DDC">
        <w:rPr>
          <w:rFonts w:ascii="Times New Roman" w:hAnsi="Times New Roman" w:cs="Times New Roman"/>
        </w:rPr>
        <w:instrText xml:space="preserve">\a \f 5 \h  \* MERGEFORMAT </w:instrText>
      </w:r>
      <w:r w:rsidR="00D63F62">
        <w:rPr>
          <w:rFonts w:ascii="Times New Roman" w:hAnsi="Times New Roman" w:cs="Times New Roman"/>
        </w:rPr>
        <w:fldChar w:fldCharType="separate"/>
      </w:r>
      <w:r w:rsidRPr="00B30DDC">
        <w:rPr>
          <w:rFonts w:ascii="Times New Roman" w:hAnsi="Times New Roman" w:cs="Times New Roman"/>
        </w:rPr>
        <w:fldChar w:fldCharType="end"/>
      </w:r>
      <w:r w:rsidRPr="00B30DDC">
        <w:rPr>
          <w:rFonts w:ascii="Times New Roman" w:hAnsi="Times New Roman" w:cs="Times New Roman"/>
        </w:rPr>
        <w:t>Note- Values are presented as hazard ratios (HRs) comparing column treatments to row treatments. HR &lt; 1 favors the column treatment.</w:t>
      </w:r>
    </w:p>
    <w:p w:rsidR="00D316B2" w:rsidRPr="00B30DDC" w:rsidRDefault="00D316B2" w:rsidP="00C471D1">
      <w:pPr>
        <w:rPr>
          <w:rFonts w:ascii="Times New Roman" w:hAnsi="Times New Roman" w:cs="Times New Roman"/>
        </w:rPr>
      </w:pPr>
    </w:p>
    <w:p w:rsidR="00DF6819" w:rsidRPr="00B30DDC" w:rsidRDefault="00DF6819">
      <w:pPr>
        <w:rPr>
          <w:rFonts w:ascii="Times New Roman" w:hAnsi="Times New Roman" w:cs="Times New Roman"/>
          <w:b/>
        </w:rPr>
      </w:pPr>
      <w:r w:rsidRPr="00B30DDC">
        <w:rPr>
          <w:rFonts w:ascii="Times New Roman" w:hAnsi="Times New Roman" w:cs="Times New Roman"/>
          <w:b/>
        </w:rPr>
        <w:br w:type="page"/>
      </w:r>
    </w:p>
    <w:p w:rsidR="001E4DAF" w:rsidRDefault="00533724" w:rsidP="001E4DAF">
      <w:pPr>
        <w:rPr>
          <w:rFonts w:ascii="Times New Roman" w:eastAsia="Calibri" w:hAnsi="Times New Roman" w:cs="Times New Roman"/>
          <w:sz w:val="24"/>
        </w:rPr>
      </w:pPr>
      <w:r w:rsidRPr="006D7B1F">
        <w:rPr>
          <w:rFonts w:ascii="Times New Roman" w:hAnsi="Times New Roman" w:cs="Times New Roman"/>
          <w:b/>
          <w:sz w:val="24"/>
        </w:rPr>
        <w:t>Supplementary</w:t>
      </w:r>
      <w:r w:rsidR="00C33645" w:rsidRPr="006D7B1F">
        <w:rPr>
          <w:rFonts w:ascii="Times New Roman" w:hAnsi="Times New Roman" w:cs="Times New Roman"/>
          <w:b/>
          <w:sz w:val="24"/>
        </w:rPr>
        <w:t xml:space="preserve"> Table </w:t>
      </w:r>
      <w:r w:rsidR="00921DAB">
        <w:rPr>
          <w:rFonts w:ascii="Times New Roman" w:hAnsi="Times New Roman" w:cs="Times New Roman"/>
          <w:b/>
          <w:sz w:val="24"/>
        </w:rPr>
        <w:t>S</w:t>
      </w:r>
      <w:r w:rsidR="00C33645" w:rsidRPr="006D7B1F">
        <w:rPr>
          <w:rFonts w:ascii="Times New Roman" w:hAnsi="Times New Roman" w:cs="Times New Roman"/>
          <w:b/>
          <w:sz w:val="24"/>
        </w:rPr>
        <w:t>6</w:t>
      </w:r>
      <w:r w:rsidR="001E4DAF" w:rsidRPr="006D7B1F">
        <w:rPr>
          <w:rFonts w:ascii="Times New Roman" w:hAnsi="Times New Roman" w:cs="Times New Roman"/>
          <w:b/>
          <w:sz w:val="24"/>
        </w:rPr>
        <w:t xml:space="preserve">:  </w:t>
      </w:r>
      <w:r w:rsidR="001E4DAF" w:rsidRPr="006D7B1F">
        <w:rPr>
          <w:rFonts w:ascii="Times New Roman" w:hAnsi="Times New Roman" w:cs="Times New Roman"/>
          <w:sz w:val="24"/>
        </w:rPr>
        <w:t xml:space="preserve">League table- </w:t>
      </w:r>
      <w:r w:rsidR="001E4DAF" w:rsidRPr="006D7B1F">
        <w:rPr>
          <w:rFonts w:ascii="Times New Roman" w:eastAsia="Calibri" w:hAnsi="Times New Roman" w:cs="Times New Roman"/>
          <w:sz w:val="24"/>
        </w:rPr>
        <w:t>Grade 3 and above AE</w:t>
      </w:r>
    </w:p>
    <w:tbl>
      <w:tblPr>
        <w:tblStyle w:val="TableGrid1"/>
        <w:tblW w:w="0" w:type="auto"/>
        <w:tblLook w:val="04A0" w:firstRow="1" w:lastRow="0" w:firstColumn="1" w:lastColumn="0" w:noHBand="0" w:noVBand="1"/>
      </w:tblPr>
      <w:tblGrid>
        <w:gridCol w:w="1275"/>
        <w:gridCol w:w="1051"/>
        <w:gridCol w:w="868"/>
        <w:gridCol w:w="1275"/>
        <w:gridCol w:w="1162"/>
        <w:gridCol w:w="1183"/>
        <w:gridCol w:w="1040"/>
        <w:gridCol w:w="1162"/>
      </w:tblGrid>
      <w:tr w:rsidR="00B75720" w:rsidRPr="00B75720" w:rsidTr="00B75720">
        <w:tc>
          <w:tcPr>
            <w:tcW w:w="0" w:type="auto"/>
            <w:hideMark/>
          </w:tcPr>
          <w:p w:rsidR="00B75720" w:rsidRPr="00B75720" w:rsidRDefault="00B75720" w:rsidP="00B75720">
            <w:pPr>
              <w:jc w:val="center"/>
              <w:rPr>
                <w:rFonts w:ascii="Times New Roman" w:eastAsia="Times New Roman" w:hAnsi="Times New Roman" w:cs="Times New Roman"/>
                <w:b/>
                <w:bCs/>
                <w:sz w:val="24"/>
                <w:szCs w:val="24"/>
                <w:lang w:eastAsia="en-IN"/>
              </w:rPr>
            </w:pPr>
            <w:r w:rsidRPr="00B75720">
              <w:rPr>
                <w:rFonts w:ascii="Times New Roman" w:eastAsia="Times New Roman" w:hAnsi="Times New Roman" w:cs="Times New Roman"/>
                <w:b/>
                <w:bCs/>
                <w:sz w:val="24"/>
                <w:szCs w:val="24"/>
                <w:lang w:eastAsia="en-IN"/>
              </w:rPr>
              <w:t>Row treatment</w:t>
            </w:r>
          </w:p>
        </w:tc>
        <w:tc>
          <w:tcPr>
            <w:tcW w:w="0" w:type="auto"/>
            <w:hideMark/>
          </w:tcPr>
          <w:p w:rsidR="00B75720" w:rsidRPr="00B75720" w:rsidRDefault="00B75720" w:rsidP="00B75720">
            <w:pPr>
              <w:jc w:val="center"/>
              <w:rPr>
                <w:rFonts w:ascii="Times New Roman" w:eastAsia="Times New Roman" w:hAnsi="Times New Roman" w:cs="Times New Roman"/>
                <w:b/>
                <w:bCs/>
                <w:sz w:val="24"/>
                <w:szCs w:val="24"/>
                <w:lang w:eastAsia="en-IN"/>
              </w:rPr>
            </w:pPr>
            <w:r w:rsidRPr="00B75720">
              <w:rPr>
                <w:rFonts w:ascii="Times New Roman" w:eastAsia="Times New Roman" w:hAnsi="Times New Roman" w:cs="Times New Roman"/>
                <w:b/>
                <w:bCs/>
                <w:sz w:val="24"/>
                <w:szCs w:val="24"/>
                <w:lang w:eastAsia="en-IN"/>
              </w:rPr>
              <w:t>1st-generation TKI</w:t>
            </w:r>
          </w:p>
        </w:tc>
        <w:tc>
          <w:tcPr>
            <w:tcW w:w="0" w:type="auto"/>
            <w:hideMark/>
          </w:tcPr>
          <w:p w:rsidR="00B75720" w:rsidRPr="00B75720" w:rsidRDefault="00B75720" w:rsidP="00B75720">
            <w:pPr>
              <w:jc w:val="center"/>
              <w:rPr>
                <w:rFonts w:ascii="Times New Roman" w:eastAsia="Times New Roman" w:hAnsi="Times New Roman" w:cs="Times New Roman"/>
                <w:b/>
                <w:bCs/>
                <w:sz w:val="24"/>
                <w:szCs w:val="24"/>
                <w:lang w:eastAsia="en-IN"/>
              </w:rPr>
            </w:pPr>
            <w:r w:rsidRPr="00B75720">
              <w:rPr>
                <w:rFonts w:ascii="Times New Roman" w:eastAsia="Times New Roman" w:hAnsi="Times New Roman" w:cs="Times New Roman"/>
                <w:b/>
                <w:bCs/>
                <w:sz w:val="24"/>
                <w:szCs w:val="24"/>
                <w:lang w:eastAsia="en-IN"/>
              </w:rPr>
              <w:t>Afatinib</w:t>
            </w:r>
          </w:p>
        </w:tc>
        <w:tc>
          <w:tcPr>
            <w:tcW w:w="0" w:type="auto"/>
            <w:hideMark/>
          </w:tcPr>
          <w:p w:rsidR="00B75720" w:rsidRPr="00B75720" w:rsidRDefault="00B75720" w:rsidP="00B75720">
            <w:pPr>
              <w:jc w:val="center"/>
              <w:rPr>
                <w:rFonts w:ascii="Times New Roman" w:eastAsia="Times New Roman" w:hAnsi="Times New Roman" w:cs="Times New Roman"/>
                <w:b/>
                <w:bCs/>
                <w:sz w:val="24"/>
                <w:szCs w:val="24"/>
                <w:lang w:eastAsia="en-IN"/>
              </w:rPr>
            </w:pPr>
            <w:r w:rsidRPr="00B75720">
              <w:rPr>
                <w:rFonts w:ascii="Times New Roman" w:eastAsia="Times New Roman" w:hAnsi="Times New Roman" w:cs="Times New Roman"/>
                <w:b/>
                <w:bCs/>
                <w:sz w:val="24"/>
                <w:szCs w:val="24"/>
                <w:lang w:eastAsia="en-IN"/>
              </w:rPr>
              <w:t>Aumolertinib</w:t>
            </w:r>
          </w:p>
        </w:tc>
        <w:tc>
          <w:tcPr>
            <w:tcW w:w="0" w:type="auto"/>
            <w:hideMark/>
          </w:tcPr>
          <w:p w:rsidR="00B75720" w:rsidRPr="00B75720" w:rsidRDefault="00B75720" w:rsidP="00B75720">
            <w:pPr>
              <w:jc w:val="center"/>
              <w:rPr>
                <w:rFonts w:ascii="Times New Roman" w:eastAsia="Times New Roman" w:hAnsi="Times New Roman" w:cs="Times New Roman"/>
                <w:b/>
                <w:bCs/>
                <w:sz w:val="24"/>
                <w:szCs w:val="24"/>
                <w:lang w:eastAsia="en-IN"/>
              </w:rPr>
            </w:pPr>
            <w:r w:rsidRPr="00B75720">
              <w:rPr>
                <w:rFonts w:ascii="Times New Roman" w:eastAsia="Times New Roman" w:hAnsi="Times New Roman" w:cs="Times New Roman"/>
                <w:b/>
                <w:bCs/>
                <w:sz w:val="24"/>
                <w:szCs w:val="24"/>
                <w:lang w:eastAsia="en-IN"/>
              </w:rPr>
              <w:t>Befotertinib</w:t>
            </w:r>
          </w:p>
        </w:tc>
        <w:tc>
          <w:tcPr>
            <w:tcW w:w="0" w:type="auto"/>
            <w:hideMark/>
          </w:tcPr>
          <w:p w:rsidR="00B75720" w:rsidRPr="00B75720" w:rsidRDefault="00B75720" w:rsidP="00B75720">
            <w:pPr>
              <w:jc w:val="center"/>
              <w:rPr>
                <w:rFonts w:ascii="Times New Roman" w:eastAsia="Times New Roman" w:hAnsi="Times New Roman" w:cs="Times New Roman"/>
                <w:b/>
                <w:bCs/>
                <w:sz w:val="24"/>
                <w:szCs w:val="24"/>
                <w:lang w:eastAsia="en-IN"/>
              </w:rPr>
            </w:pPr>
            <w:r w:rsidRPr="00B75720">
              <w:rPr>
                <w:rFonts w:ascii="Times New Roman" w:eastAsia="Times New Roman" w:hAnsi="Times New Roman" w:cs="Times New Roman"/>
                <w:b/>
                <w:bCs/>
                <w:sz w:val="24"/>
                <w:szCs w:val="24"/>
                <w:lang w:eastAsia="en-IN"/>
              </w:rPr>
              <w:t>Dacomitinib</w:t>
            </w:r>
          </w:p>
        </w:tc>
        <w:tc>
          <w:tcPr>
            <w:tcW w:w="0" w:type="auto"/>
            <w:hideMark/>
          </w:tcPr>
          <w:p w:rsidR="00B75720" w:rsidRPr="00B75720" w:rsidRDefault="00B75720" w:rsidP="00B75720">
            <w:pPr>
              <w:jc w:val="center"/>
              <w:rPr>
                <w:rFonts w:ascii="Times New Roman" w:eastAsia="Times New Roman" w:hAnsi="Times New Roman" w:cs="Times New Roman"/>
                <w:b/>
                <w:bCs/>
                <w:sz w:val="24"/>
                <w:szCs w:val="24"/>
                <w:lang w:eastAsia="en-IN"/>
              </w:rPr>
            </w:pPr>
            <w:r w:rsidRPr="00B75720">
              <w:rPr>
                <w:rFonts w:ascii="Times New Roman" w:eastAsia="Times New Roman" w:hAnsi="Times New Roman" w:cs="Times New Roman"/>
                <w:b/>
                <w:bCs/>
                <w:sz w:val="24"/>
                <w:szCs w:val="24"/>
                <w:lang w:eastAsia="en-IN"/>
              </w:rPr>
              <w:t>Lazertinib</w:t>
            </w:r>
          </w:p>
        </w:tc>
        <w:tc>
          <w:tcPr>
            <w:tcW w:w="0" w:type="auto"/>
            <w:hideMark/>
          </w:tcPr>
          <w:p w:rsidR="00B75720" w:rsidRPr="00B75720" w:rsidRDefault="00B75720" w:rsidP="00B75720">
            <w:pPr>
              <w:jc w:val="center"/>
              <w:rPr>
                <w:rFonts w:ascii="Times New Roman" w:eastAsia="Times New Roman" w:hAnsi="Times New Roman" w:cs="Times New Roman"/>
                <w:b/>
                <w:bCs/>
                <w:sz w:val="24"/>
                <w:szCs w:val="24"/>
                <w:lang w:eastAsia="en-IN"/>
              </w:rPr>
            </w:pPr>
            <w:r w:rsidRPr="00B75720">
              <w:rPr>
                <w:rFonts w:ascii="Times New Roman" w:eastAsia="Times New Roman" w:hAnsi="Times New Roman" w:cs="Times New Roman"/>
                <w:b/>
                <w:bCs/>
                <w:sz w:val="24"/>
                <w:szCs w:val="24"/>
                <w:lang w:eastAsia="en-IN"/>
              </w:rPr>
              <w:t>Osimertinib</w:t>
            </w:r>
          </w:p>
        </w:tc>
      </w:tr>
      <w:tr w:rsidR="00B75720" w:rsidRPr="00B75720" w:rsidTr="00B75720">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b/>
                <w:bCs/>
                <w:sz w:val="24"/>
                <w:szCs w:val="24"/>
                <w:lang w:eastAsia="en-IN"/>
              </w:rPr>
              <w:t>1st-generation TKI</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sz w:val="24"/>
                <w:szCs w:val="24"/>
                <w:lang w:eastAsia="en-IN"/>
              </w:rPr>
              <w:t>—</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p>
        </w:tc>
        <w:tc>
          <w:tcPr>
            <w:tcW w:w="0" w:type="auto"/>
            <w:hideMark/>
          </w:tcPr>
          <w:p w:rsidR="00B75720" w:rsidRPr="00B75720" w:rsidRDefault="00B75720" w:rsidP="00B75720">
            <w:pPr>
              <w:rPr>
                <w:rFonts w:ascii="Times New Roman" w:eastAsia="Times New Roman" w:hAnsi="Times New Roman" w:cs="Times New Roman"/>
                <w:sz w:val="20"/>
                <w:szCs w:val="20"/>
                <w:lang w:eastAsia="en-IN"/>
              </w:rPr>
            </w:pPr>
          </w:p>
        </w:tc>
        <w:tc>
          <w:tcPr>
            <w:tcW w:w="0" w:type="auto"/>
            <w:hideMark/>
          </w:tcPr>
          <w:p w:rsidR="00B75720" w:rsidRPr="00B75720" w:rsidRDefault="00B75720" w:rsidP="00B75720">
            <w:pPr>
              <w:rPr>
                <w:rFonts w:ascii="Times New Roman" w:eastAsia="Times New Roman" w:hAnsi="Times New Roman" w:cs="Times New Roman"/>
                <w:sz w:val="20"/>
                <w:szCs w:val="20"/>
                <w:lang w:eastAsia="en-IN"/>
              </w:rPr>
            </w:pPr>
          </w:p>
        </w:tc>
        <w:tc>
          <w:tcPr>
            <w:tcW w:w="0" w:type="auto"/>
            <w:hideMark/>
          </w:tcPr>
          <w:p w:rsidR="00B75720" w:rsidRPr="00B75720" w:rsidRDefault="00B75720" w:rsidP="00B75720">
            <w:pPr>
              <w:rPr>
                <w:rFonts w:ascii="Times New Roman" w:eastAsia="Times New Roman" w:hAnsi="Times New Roman" w:cs="Times New Roman"/>
                <w:sz w:val="20"/>
                <w:szCs w:val="20"/>
                <w:lang w:eastAsia="en-IN"/>
              </w:rPr>
            </w:pPr>
          </w:p>
        </w:tc>
        <w:tc>
          <w:tcPr>
            <w:tcW w:w="0" w:type="auto"/>
            <w:hideMark/>
          </w:tcPr>
          <w:p w:rsidR="00B75720" w:rsidRPr="00B75720" w:rsidRDefault="00B75720" w:rsidP="00B75720">
            <w:pPr>
              <w:rPr>
                <w:rFonts w:ascii="Times New Roman" w:eastAsia="Times New Roman" w:hAnsi="Times New Roman" w:cs="Times New Roman"/>
                <w:sz w:val="20"/>
                <w:szCs w:val="20"/>
                <w:lang w:eastAsia="en-IN"/>
              </w:rPr>
            </w:pPr>
          </w:p>
        </w:tc>
        <w:tc>
          <w:tcPr>
            <w:tcW w:w="0" w:type="auto"/>
            <w:hideMark/>
          </w:tcPr>
          <w:p w:rsidR="00B75720" w:rsidRPr="00B75720" w:rsidRDefault="00B75720" w:rsidP="00B75720">
            <w:pPr>
              <w:rPr>
                <w:rFonts w:ascii="Times New Roman" w:eastAsia="Times New Roman" w:hAnsi="Times New Roman" w:cs="Times New Roman"/>
                <w:sz w:val="20"/>
                <w:szCs w:val="20"/>
                <w:lang w:eastAsia="en-IN"/>
              </w:rPr>
            </w:pPr>
          </w:p>
        </w:tc>
      </w:tr>
      <w:tr w:rsidR="00B75720" w:rsidRPr="00B75720" w:rsidTr="00B75720">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b/>
                <w:bCs/>
                <w:sz w:val="24"/>
                <w:szCs w:val="24"/>
                <w:lang w:eastAsia="en-IN"/>
              </w:rPr>
              <w:t>Afatinib</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sz w:val="24"/>
                <w:szCs w:val="24"/>
                <w:lang w:eastAsia="en-IN"/>
              </w:rPr>
              <w:t>0.87 (0.25–3.04)</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sz w:val="24"/>
                <w:szCs w:val="24"/>
                <w:lang w:eastAsia="en-IN"/>
              </w:rPr>
              <w:t>—</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p>
        </w:tc>
        <w:tc>
          <w:tcPr>
            <w:tcW w:w="0" w:type="auto"/>
            <w:hideMark/>
          </w:tcPr>
          <w:p w:rsidR="00B75720" w:rsidRPr="00B75720" w:rsidRDefault="00B75720" w:rsidP="00B75720">
            <w:pPr>
              <w:rPr>
                <w:rFonts w:ascii="Times New Roman" w:eastAsia="Times New Roman" w:hAnsi="Times New Roman" w:cs="Times New Roman"/>
                <w:sz w:val="20"/>
                <w:szCs w:val="20"/>
                <w:lang w:eastAsia="en-IN"/>
              </w:rPr>
            </w:pPr>
          </w:p>
        </w:tc>
        <w:tc>
          <w:tcPr>
            <w:tcW w:w="0" w:type="auto"/>
            <w:hideMark/>
          </w:tcPr>
          <w:p w:rsidR="00B75720" w:rsidRPr="00B75720" w:rsidRDefault="00B75720" w:rsidP="00B75720">
            <w:pPr>
              <w:rPr>
                <w:rFonts w:ascii="Times New Roman" w:eastAsia="Times New Roman" w:hAnsi="Times New Roman" w:cs="Times New Roman"/>
                <w:sz w:val="20"/>
                <w:szCs w:val="20"/>
                <w:lang w:eastAsia="en-IN"/>
              </w:rPr>
            </w:pPr>
          </w:p>
        </w:tc>
        <w:tc>
          <w:tcPr>
            <w:tcW w:w="0" w:type="auto"/>
            <w:hideMark/>
          </w:tcPr>
          <w:p w:rsidR="00B75720" w:rsidRPr="00B75720" w:rsidRDefault="00B75720" w:rsidP="00B75720">
            <w:pPr>
              <w:rPr>
                <w:rFonts w:ascii="Times New Roman" w:eastAsia="Times New Roman" w:hAnsi="Times New Roman" w:cs="Times New Roman"/>
                <w:sz w:val="20"/>
                <w:szCs w:val="20"/>
                <w:lang w:eastAsia="en-IN"/>
              </w:rPr>
            </w:pPr>
          </w:p>
        </w:tc>
        <w:tc>
          <w:tcPr>
            <w:tcW w:w="0" w:type="auto"/>
            <w:hideMark/>
          </w:tcPr>
          <w:p w:rsidR="00B75720" w:rsidRPr="00B75720" w:rsidRDefault="00B75720" w:rsidP="00B75720">
            <w:pPr>
              <w:rPr>
                <w:rFonts w:ascii="Times New Roman" w:eastAsia="Times New Roman" w:hAnsi="Times New Roman" w:cs="Times New Roman"/>
                <w:sz w:val="20"/>
                <w:szCs w:val="20"/>
                <w:lang w:eastAsia="en-IN"/>
              </w:rPr>
            </w:pPr>
          </w:p>
        </w:tc>
      </w:tr>
      <w:tr w:rsidR="00B75720" w:rsidRPr="00B75720" w:rsidTr="00B75720">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b/>
                <w:bCs/>
                <w:sz w:val="24"/>
                <w:szCs w:val="24"/>
                <w:lang w:eastAsia="en-IN"/>
              </w:rPr>
              <w:t>Aumolertinib</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sz w:val="24"/>
                <w:szCs w:val="24"/>
                <w:lang w:eastAsia="en-IN"/>
              </w:rPr>
              <w:t>0.97 (0.28–3.35)</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sz w:val="24"/>
                <w:szCs w:val="24"/>
                <w:lang w:eastAsia="en-IN"/>
              </w:rPr>
              <w:t>1.12 (0.19–6.51)</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sz w:val="24"/>
                <w:szCs w:val="24"/>
                <w:lang w:eastAsia="en-IN"/>
              </w:rPr>
              <w:t>—</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p>
        </w:tc>
        <w:tc>
          <w:tcPr>
            <w:tcW w:w="0" w:type="auto"/>
            <w:hideMark/>
          </w:tcPr>
          <w:p w:rsidR="00B75720" w:rsidRPr="00B75720" w:rsidRDefault="00B75720" w:rsidP="00B75720">
            <w:pPr>
              <w:rPr>
                <w:rFonts w:ascii="Times New Roman" w:eastAsia="Times New Roman" w:hAnsi="Times New Roman" w:cs="Times New Roman"/>
                <w:sz w:val="20"/>
                <w:szCs w:val="20"/>
                <w:lang w:eastAsia="en-IN"/>
              </w:rPr>
            </w:pPr>
          </w:p>
        </w:tc>
        <w:tc>
          <w:tcPr>
            <w:tcW w:w="0" w:type="auto"/>
            <w:hideMark/>
          </w:tcPr>
          <w:p w:rsidR="00B75720" w:rsidRPr="00B75720" w:rsidRDefault="00B75720" w:rsidP="00B75720">
            <w:pPr>
              <w:rPr>
                <w:rFonts w:ascii="Times New Roman" w:eastAsia="Times New Roman" w:hAnsi="Times New Roman" w:cs="Times New Roman"/>
                <w:sz w:val="20"/>
                <w:szCs w:val="20"/>
                <w:lang w:eastAsia="en-IN"/>
              </w:rPr>
            </w:pPr>
          </w:p>
        </w:tc>
        <w:tc>
          <w:tcPr>
            <w:tcW w:w="0" w:type="auto"/>
            <w:hideMark/>
          </w:tcPr>
          <w:p w:rsidR="00B75720" w:rsidRPr="00B75720" w:rsidRDefault="00B75720" w:rsidP="00B75720">
            <w:pPr>
              <w:rPr>
                <w:rFonts w:ascii="Times New Roman" w:eastAsia="Times New Roman" w:hAnsi="Times New Roman" w:cs="Times New Roman"/>
                <w:sz w:val="20"/>
                <w:szCs w:val="20"/>
                <w:lang w:eastAsia="en-IN"/>
              </w:rPr>
            </w:pPr>
          </w:p>
        </w:tc>
      </w:tr>
      <w:tr w:rsidR="00B75720" w:rsidRPr="00B75720" w:rsidTr="00B75720">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b/>
                <w:bCs/>
                <w:sz w:val="24"/>
                <w:szCs w:val="24"/>
                <w:lang w:eastAsia="en-IN"/>
              </w:rPr>
              <w:t>Befotertinib</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sz w:val="24"/>
                <w:szCs w:val="24"/>
                <w:lang w:eastAsia="en-IN"/>
              </w:rPr>
              <w:t>0.48 (0.14–1.67)</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sz w:val="24"/>
                <w:szCs w:val="24"/>
                <w:lang w:eastAsia="en-IN"/>
              </w:rPr>
              <w:t>0.55 (0.09–3.23)</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sz w:val="24"/>
                <w:szCs w:val="24"/>
                <w:lang w:eastAsia="en-IN"/>
              </w:rPr>
              <w:t>0.49 (0.08–2.86)</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sz w:val="24"/>
                <w:szCs w:val="24"/>
                <w:lang w:eastAsia="en-IN"/>
              </w:rPr>
              <w:t>—</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p>
        </w:tc>
        <w:tc>
          <w:tcPr>
            <w:tcW w:w="0" w:type="auto"/>
            <w:hideMark/>
          </w:tcPr>
          <w:p w:rsidR="00B75720" w:rsidRPr="00B75720" w:rsidRDefault="00B75720" w:rsidP="00B75720">
            <w:pPr>
              <w:rPr>
                <w:rFonts w:ascii="Times New Roman" w:eastAsia="Times New Roman" w:hAnsi="Times New Roman" w:cs="Times New Roman"/>
                <w:sz w:val="20"/>
                <w:szCs w:val="20"/>
                <w:lang w:eastAsia="en-IN"/>
              </w:rPr>
            </w:pPr>
          </w:p>
        </w:tc>
        <w:tc>
          <w:tcPr>
            <w:tcW w:w="0" w:type="auto"/>
            <w:hideMark/>
          </w:tcPr>
          <w:p w:rsidR="00B75720" w:rsidRPr="00B75720" w:rsidRDefault="00B75720" w:rsidP="00B75720">
            <w:pPr>
              <w:rPr>
                <w:rFonts w:ascii="Times New Roman" w:eastAsia="Times New Roman" w:hAnsi="Times New Roman" w:cs="Times New Roman"/>
                <w:sz w:val="20"/>
                <w:szCs w:val="20"/>
                <w:lang w:eastAsia="en-IN"/>
              </w:rPr>
            </w:pPr>
          </w:p>
        </w:tc>
      </w:tr>
      <w:tr w:rsidR="00B75720" w:rsidRPr="00B75720" w:rsidTr="00B75720">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b/>
                <w:bCs/>
                <w:sz w:val="24"/>
                <w:szCs w:val="24"/>
                <w:lang w:eastAsia="en-IN"/>
              </w:rPr>
              <w:t>Dacomitinib</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sz w:val="24"/>
                <w:szCs w:val="24"/>
                <w:lang w:eastAsia="en-IN"/>
              </w:rPr>
              <w:t>0.41 (0.12–1.41)</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sz w:val="24"/>
                <w:szCs w:val="24"/>
                <w:lang w:eastAsia="en-IN"/>
              </w:rPr>
              <w:t>0.47 (0.08–2.73)</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sz w:val="24"/>
                <w:szCs w:val="24"/>
                <w:lang w:eastAsia="en-IN"/>
              </w:rPr>
              <w:t>0.42 (0.07–2.42)</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sz w:val="24"/>
                <w:szCs w:val="24"/>
                <w:lang w:eastAsia="en-IN"/>
              </w:rPr>
              <w:t>0.86 (0.15–4.96)</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sz w:val="24"/>
                <w:szCs w:val="24"/>
                <w:lang w:eastAsia="en-IN"/>
              </w:rPr>
              <w:t>—</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p>
        </w:tc>
        <w:tc>
          <w:tcPr>
            <w:tcW w:w="0" w:type="auto"/>
            <w:hideMark/>
          </w:tcPr>
          <w:p w:rsidR="00B75720" w:rsidRPr="00B75720" w:rsidRDefault="00B75720" w:rsidP="00B75720">
            <w:pPr>
              <w:rPr>
                <w:rFonts w:ascii="Times New Roman" w:eastAsia="Times New Roman" w:hAnsi="Times New Roman" w:cs="Times New Roman"/>
                <w:sz w:val="20"/>
                <w:szCs w:val="20"/>
                <w:lang w:eastAsia="en-IN"/>
              </w:rPr>
            </w:pPr>
          </w:p>
        </w:tc>
      </w:tr>
      <w:tr w:rsidR="00B75720" w:rsidRPr="00B75720" w:rsidTr="00B75720">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b/>
                <w:bCs/>
                <w:sz w:val="24"/>
                <w:szCs w:val="24"/>
                <w:lang w:eastAsia="en-IN"/>
              </w:rPr>
              <w:t>Lazertinib</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sz w:val="24"/>
                <w:szCs w:val="24"/>
                <w:lang w:eastAsia="en-IN"/>
              </w:rPr>
              <w:t>0.93 (0.36–2.44)</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sz w:val="24"/>
                <w:szCs w:val="24"/>
                <w:lang w:eastAsia="en-IN"/>
              </w:rPr>
              <w:t>1.07 (0.22–5.20)</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sz w:val="24"/>
                <w:szCs w:val="24"/>
                <w:lang w:eastAsia="en-IN"/>
              </w:rPr>
              <w:t>0.96 (0.20–4.59)</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sz w:val="24"/>
                <w:szCs w:val="24"/>
                <w:lang w:eastAsia="en-IN"/>
              </w:rPr>
              <w:t>1.95 (0.40–9.43)</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sz w:val="24"/>
                <w:szCs w:val="24"/>
                <w:lang w:eastAsia="en-IN"/>
              </w:rPr>
              <w:t>2.27 (0.48–10.86)</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sz w:val="24"/>
                <w:szCs w:val="24"/>
                <w:lang w:eastAsia="en-IN"/>
              </w:rPr>
              <w:t>—</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p>
        </w:tc>
      </w:tr>
      <w:tr w:rsidR="00B75720" w:rsidRPr="00B75720" w:rsidTr="00B75720">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b/>
                <w:bCs/>
                <w:sz w:val="24"/>
                <w:szCs w:val="24"/>
                <w:lang w:eastAsia="en-IN"/>
              </w:rPr>
              <w:t>Osimertinib</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sz w:val="24"/>
                <w:szCs w:val="24"/>
                <w:lang w:eastAsia="en-IN"/>
              </w:rPr>
              <w:t>0.91 (0.40–2.03)</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sz w:val="24"/>
                <w:szCs w:val="24"/>
                <w:lang w:eastAsia="en-IN"/>
              </w:rPr>
              <w:t>1.04 (0.23–4.62)</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sz w:val="24"/>
                <w:szCs w:val="24"/>
                <w:lang w:eastAsia="en-IN"/>
              </w:rPr>
              <w:t>0.93 (0.21–4.08)</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sz w:val="24"/>
                <w:szCs w:val="24"/>
                <w:lang w:eastAsia="en-IN"/>
              </w:rPr>
              <w:t>1.89 (0.43–8.39)</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sz w:val="24"/>
                <w:szCs w:val="24"/>
                <w:lang w:eastAsia="en-IN"/>
              </w:rPr>
              <w:t>2.21 (0.51–9.64)</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sz w:val="24"/>
                <w:szCs w:val="24"/>
                <w:lang w:eastAsia="en-IN"/>
              </w:rPr>
              <w:t>0.97 (0.37–2.53)</w:t>
            </w:r>
          </w:p>
        </w:tc>
        <w:tc>
          <w:tcPr>
            <w:tcW w:w="0" w:type="auto"/>
            <w:hideMark/>
          </w:tcPr>
          <w:p w:rsidR="00B75720" w:rsidRPr="00B75720" w:rsidRDefault="00B75720" w:rsidP="00B75720">
            <w:pPr>
              <w:rPr>
                <w:rFonts w:ascii="Times New Roman" w:eastAsia="Times New Roman" w:hAnsi="Times New Roman" w:cs="Times New Roman"/>
                <w:sz w:val="24"/>
                <w:szCs w:val="24"/>
                <w:lang w:eastAsia="en-IN"/>
              </w:rPr>
            </w:pPr>
            <w:r w:rsidRPr="00B75720">
              <w:rPr>
                <w:rFonts w:ascii="Times New Roman" w:eastAsia="Times New Roman" w:hAnsi="Times New Roman" w:cs="Times New Roman"/>
                <w:sz w:val="24"/>
                <w:szCs w:val="24"/>
                <w:lang w:eastAsia="en-IN"/>
              </w:rPr>
              <w:t>—</w:t>
            </w:r>
          </w:p>
        </w:tc>
      </w:tr>
    </w:tbl>
    <w:p w:rsidR="00B75720" w:rsidRPr="006D7B1F" w:rsidRDefault="00B75720" w:rsidP="001E4DAF">
      <w:pPr>
        <w:rPr>
          <w:rFonts w:ascii="Times New Roman" w:eastAsia="Calibri" w:hAnsi="Times New Roman" w:cs="Times New Roman"/>
          <w:b/>
          <w:sz w:val="24"/>
        </w:rPr>
      </w:pPr>
    </w:p>
    <w:p w:rsidR="0076536A" w:rsidRPr="00B30DDC" w:rsidRDefault="00DD7A5B" w:rsidP="001E4DAF">
      <w:pPr>
        <w:rPr>
          <w:rFonts w:ascii="Times New Roman" w:hAnsi="Times New Roman" w:cs="Times New Roman"/>
        </w:rPr>
      </w:pPr>
      <w:r w:rsidRPr="00B30DDC">
        <w:rPr>
          <w:rFonts w:ascii="Times New Roman" w:hAnsi="Times New Roman" w:cs="Times New Roman"/>
        </w:rPr>
        <w:t>Odds ratios (ORs) compare column treatments to row treatments. OR &lt; 1 favors the column treatment (fewer adverse events).</w:t>
      </w:r>
    </w:p>
    <w:p w:rsidR="001E4DAF" w:rsidRPr="00B30DDC" w:rsidRDefault="001E4DAF">
      <w:pPr>
        <w:rPr>
          <w:rFonts w:ascii="Times New Roman" w:hAnsi="Times New Roman" w:cs="Times New Roman"/>
          <w:b/>
        </w:rPr>
      </w:pPr>
      <w:r w:rsidRPr="00B30DDC">
        <w:rPr>
          <w:rFonts w:ascii="Times New Roman" w:hAnsi="Times New Roman" w:cs="Times New Roman"/>
          <w:b/>
        </w:rPr>
        <w:br w:type="page"/>
      </w:r>
    </w:p>
    <w:p w:rsidR="00D316B2" w:rsidRPr="00D460DA" w:rsidRDefault="00921DAB" w:rsidP="00C471D1">
      <w:pPr>
        <w:rPr>
          <w:rFonts w:ascii="Times New Roman" w:hAnsi="Times New Roman" w:cs="Times New Roman"/>
          <w:sz w:val="24"/>
          <w:szCs w:val="24"/>
        </w:rPr>
      </w:pPr>
      <w:r>
        <w:rPr>
          <w:rFonts w:ascii="Times New Roman" w:eastAsia="Times New Roman" w:hAnsi="Times New Roman" w:cs="Times New Roman"/>
          <w:b/>
          <w:sz w:val="24"/>
          <w:szCs w:val="24"/>
          <w:lang w:eastAsia="en-IN"/>
        </w:rPr>
        <w:t>Supplementary T</w:t>
      </w:r>
      <w:r w:rsidR="00D460DA" w:rsidRPr="00D460DA">
        <w:rPr>
          <w:rFonts w:ascii="Times New Roman" w:eastAsia="Times New Roman" w:hAnsi="Times New Roman" w:cs="Times New Roman"/>
          <w:b/>
          <w:sz w:val="24"/>
          <w:szCs w:val="24"/>
          <w:lang w:eastAsia="en-IN"/>
        </w:rPr>
        <w:t xml:space="preserve">able </w:t>
      </w:r>
      <w:r>
        <w:rPr>
          <w:rFonts w:ascii="Times New Roman" w:eastAsia="Times New Roman" w:hAnsi="Times New Roman" w:cs="Times New Roman"/>
          <w:b/>
          <w:sz w:val="24"/>
          <w:szCs w:val="24"/>
          <w:lang w:eastAsia="en-IN"/>
        </w:rPr>
        <w:t>S</w:t>
      </w:r>
      <w:r w:rsidR="00D460DA" w:rsidRPr="00D460DA">
        <w:rPr>
          <w:rFonts w:ascii="Times New Roman" w:eastAsia="Times New Roman" w:hAnsi="Times New Roman" w:cs="Times New Roman"/>
          <w:b/>
          <w:sz w:val="24"/>
          <w:szCs w:val="24"/>
          <w:lang w:eastAsia="en-IN"/>
        </w:rPr>
        <w:t>7:</w:t>
      </w:r>
      <w:r w:rsidR="00D460DA" w:rsidRPr="00D460DA">
        <w:rPr>
          <w:rFonts w:ascii="Times New Roman" w:eastAsia="Times New Roman" w:hAnsi="Times New Roman" w:cs="Times New Roman"/>
          <w:sz w:val="24"/>
          <w:szCs w:val="24"/>
          <w:lang w:eastAsia="en-IN"/>
        </w:rPr>
        <w:t xml:space="preserve"> </w:t>
      </w:r>
      <w:r w:rsidR="00D316B2" w:rsidRPr="00D460DA">
        <w:rPr>
          <w:rFonts w:ascii="Times New Roman" w:hAnsi="Times New Roman" w:cs="Times New Roman"/>
          <w:sz w:val="24"/>
          <w:szCs w:val="24"/>
        </w:rPr>
        <w:t xml:space="preserve">Assessment of consistency using the design-by-treatment interaction model for </w:t>
      </w:r>
    </w:p>
    <w:p w:rsidR="00F30652" w:rsidRPr="00B30DDC" w:rsidRDefault="006D7B1F" w:rsidP="00C471D1">
      <w:pPr>
        <w:rPr>
          <w:rFonts w:ascii="Times New Roman" w:hAnsi="Times New Roman" w:cs="Times New Roman"/>
          <w:b/>
        </w:rPr>
      </w:pPr>
      <w:r>
        <w:rPr>
          <w:rFonts w:ascii="Times New Roman" w:hAnsi="Times New Roman" w:cs="Times New Roman"/>
          <w:b/>
        </w:rPr>
        <w:t>Overall Survival (</w:t>
      </w:r>
      <w:r w:rsidR="00F30652" w:rsidRPr="00B30DDC">
        <w:rPr>
          <w:rFonts w:ascii="Times New Roman" w:hAnsi="Times New Roman" w:cs="Times New Roman"/>
          <w:b/>
        </w:rPr>
        <w:t>OS</w:t>
      </w:r>
      <w:r>
        <w:rPr>
          <w:rFonts w:ascii="Times New Roman" w:hAnsi="Times New Roman" w:cs="Times New Roman"/>
          <w:b/>
        </w:rPr>
        <w:t>)</w:t>
      </w:r>
    </w:p>
    <w:p w:rsidR="00F30652" w:rsidRPr="00B30DDC" w:rsidRDefault="00F30652" w:rsidP="00F3065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bdr w:val="none" w:sz="0" w:space="0" w:color="auto" w:frame="1"/>
          <w:lang w:eastAsia="en-IN"/>
        </w:rPr>
      </w:pPr>
      <w:r w:rsidRPr="00B30DDC">
        <w:rPr>
          <w:rFonts w:ascii="Times New Roman" w:eastAsia="Times New Roman" w:hAnsi="Times New Roman" w:cs="Times New Roman"/>
          <w:color w:val="000000"/>
          <w:bdr w:val="none" w:sz="0" w:space="0" w:color="auto" w:frame="1"/>
          <w:lang w:eastAsia="en-IN"/>
        </w:rPr>
        <w:t>Quantifying heterogeneity / inconsistency:</w:t>
      </w:r>
    </w:p>
    <w:p w:rsidR="00F30652" w:rsidRPr="00B30DDC" w:rsidRDefault="00F30652" w:rsidP="00F3065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bdr w:val="none" w:sz="0" w:space="0" w:color="auto" w:frame="1"/>
          <w:lang w:eastAsia="en-IN"/>
        </w:rPr>
      </w:pPr>
      <w:r w:rsidRPr="00B30DDC">
        <w:rPr>
          <w:rFonts w:ascii="Times New Roman" w:eastAsia="Times New Roman" w:hAnsi="Times New Roman" w:cs="Times New Roman"/>
          <w:color w:val="000000"/>
          <w:bdr w:val="none" w:sz="0" w:space="0" w:color="auto" w:frame="1"/>
          <w:lang w:eastAsia="en-IN"/>
        </w:rPr>
        <w:t>tau^2 = 0; tau = 0; I^2 = 0% [0.0%; 89.6%]</w:t>
      </w:r>
    </w:p>
    <w:p w:rsidR="00F30652" w:rsidRPr="00B30DDC" w:rsidRDefault="00F30652" w:rsidP="00F3065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bdr w:val="none" w:sz="0" w:space="0" w:color="auto" w:frame="1"/>
          <w:lang w:eastAsia="en-IN"/>
        </w:rPr>
      </w:pPr>
    </w:p>
    <w:p w:rsidR="00F30652" w:rsidRPr="00B30DDC" w:rsidRDefault="00F30652" w:rsidP="00F3065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bdr w:val="none" w:sz="0" w:space="0" w:color="auto" w:frame="1"/>
          <w:lang w:eastAsia="en-IN"/>
        </w:rPr>
      </w:pPr>
      <w:r w:rsidRPr="00B30DDC">
        <w:rPr>
          <w:rFonts w:ascii="Times New Roman" w:eastAsia="Times New Roman" w:hAnsi="Times New Roman" w:cs="Times New Roman"/>
          <w:color w:val="000000"/>
          <w:bdr w:val="none" w:sz="0" w:space="0" w:color="auto" w:frame="1"/>
          <w:lang w:eastAsia="en-IN"/>
        </w:rPr>
        <w:t>Tests of heterogeneity (within designs) and inconsistency (between designs):</w:t>
      </w:r>
    </w:p>
    <w:p w:rsidR="00F30652" w:rsidRPr="00B30DDC" w:rsidRDefault="00F30652" w:rsidP="00F3065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bdr w:val="none" w:sz="0" w:space="0" w:color="auto" w:frame="1"/>
          <w:lang w:eastAsia="en-IN"/>
        </w:rPr>
      </w:pPr>
      <w:r w:rsidRPr="00B30DDC">
        <w:rPr>
          <w:rFonts w:ascii="Times New Roman" w:eastAsia="Times New Roman" w:hAnsi="Times New Roman" w:cs="Times New Roman"/>
          <w:color w:val="000000"/>
          <w:bdr w:val="none" w:sz="0" w:space="0" w:color="auto" w:frame="1"/>
          <w:lang w:eastAsia="en-IN"/>
        </w:rPr>
        <w:t xml:space="preserve">                   </w:t>
      </w:r>
      <w:r w:rsidR="006D7B1F">
        <w:rPr>
          <w:rFonts w:ascii="Times New Roman" w:eastAsia="Times New Roman" w:hAnsi="Times New Roman" w:cs="Times New Roman"/>
          <w:color w:val="000000"/>
          <w:bdr w:val="none" w:sz="0" w:space="0" w:color="auto" w:frame="1"/>
          <w:lang w:eastAsia="en-IN"/>
        </w:rPr>
        <w:t xml:space="preserve">           </w:t>
      </w:r>
      <w:r w:rsidRPr="00B30DDC">
        <w:rPr>
          <w:rFonts w:ascii="Times New Roman" w:eastAsia="Times New Roman" w:hAnsi="Times New Roman" w:cs="Times New Roman"/>
          <w:color w:val="000000"/>
          <w:bdr w:val="none" w:sz="0" w:space="0" w:color="auto" w:frame="1"/>
          <w:lang w:eastAsia="en-IN"/>
        </w:rPr>
        <w:t xml:space="preserve">Q </w:t>
      </w:r>
      <w:r w:rsidR="006D7B1F">
        <w:rPr>
          <w:rFonts w:ascii="Times New Roman" w:eastAsia="Times New Roman" w:hAnsi="Times New Roman" w:cs="Times New Roman"/>
          <w:color w:val="000000"/>
          <w:bdr w:val="none" w:sz="0" w:space="0" w:color="auto" w:frame="1"/>
          <w:lang w:eastAsia="en-IN"/>
        </w:rPr>
        <w:t xml:space="preserve">  </w:t>
      </w:r>
      <w:r w:rsidRPr="00B30DDC">
        <w:rPr>
          <w:rFonts w:ascii="Times New Roman" w:eastAsia="Times New Roman" w:hAnsi="Times New Roman" w:cs="Times New Roman"/>
          <w:color w:val="000000"/>
          <w:bdr w:val="none" w:sz="0" w:space="0" w:color="auto" w:frame="1"/>
          <w:lang w:eastAsia="en-IN"/>
        </w:rPr>
        <w:t xml:space="preserve">d.f. </w:t>
      </w:r>
      <w:r w:rsidR="006D7B1F">
        <w:rPr>
          <w:rFonts w:ascii="Times New Roman" w:eastAsia="Times New Roman" w:hAnsi="Times New Roman" w:cs="Times New Roman"/>
          <w:color w:val="000000"/>
          <w:bdr w:val="none" w:sz="0" w:space="0" w:color="auto" w:frame="1"/>
          <w:lang w:eastAsia="en-IN"/>
        </w:rPr>
        <w:t xml:space="preserve"> </w:t>
      </w:r>
      <w:r w:rsidRPr="00B30DDC">
        <w:rPr>
          <w:rFonts w:ascii="Times New Roman" w:eastAsia="Times New Roman" w:hAnsi="Times New Roman" w:cs="Times New Roman"/>
          <w:color w:val="000000"/>
          <w:bdr w:val="none" w:sz="0" w:space="0" w:color="auto" w:frame="1"/>
          <w:lang w:eastAsia="en-IN"/>
        </w:rPr>
        <w:t>p-value</w:t>
      </w:r>
    </w:p>
    <w:p w:rsidR="00F30652" w:rsidRPr="00B30DDC" w:rsidRDefault="00F30652" w:rsidP="00F3065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bdr w:val="none" w:sz="0" w:space="0" w:color="auto" w:frame="1"/>
          <w:lang w:eastAsia="en-IN"/>
        </w:rPr>
      </w:pPr>
      <w:r w:rsidRPr="00B30DDC">
        <w:rPr>
          <w:rFonts w:ascii="Times New Roman" w:eastAsia="Times New Roman" w:hAnsi="Times New Roman" w:cs="Times New Roman"/>
          <w:color w:val="000000"/>
          <w:bdr w:val="none" w:sz="0" w:space="0" w:color="auto" w:frame="1"/>
          <w:lang w:eastAsia="en-IN"/>
        </w:rPr>
        <w:t xml:space="preserve">Total           </w:t>
      </w:r>
      <w:r w:rsidR="006D7B1F">
        <w:rPr>
          <w:rFonts w:ascii="Times New Roman" w:eastAsia="Times New Roman" w:hAnsi="Times New Roman" w:cs="Times New Roman"/>
          <w:color w:val="000000"/>
          <w:bdr w:val="none" w:sz="0" w:space="0" w:color="auto" w:frame="1"/>
          <w:lang w:eastAsia="en-IN"/>
        </w:rPr>
        <w:t xml:space="preserve">         </w:t>
      </w:r>
      <w:r w:rsidRPr="00B30DDC">
        <w:rPr>
          <w:rFonts w:ascii="Times New Roman" w:eastAsia="Times New Roman" w:hAnsi="Times New Roman" w:cs="Times New Roman"/>
          <w:color w:val="000000"/>
          <w:bdr w:val="none" w:sz="0" w:space="0" w:color="auto" w:frame="1"/>
          <w:lang w:eastAsia="en-IN"/>
        </w:rPr>
        <w:t xml:space="preserve">0.18    2  </w:t>
      </w:r>
      <w:r w:rsidR="006D7B1F">
        <w:rPr>
          <w:rFonts w:ascii="Times New Roman" w:eastAsia="Times New Roman" w:hAnsi="Times New Roman" w:cs="Times New Roman"/>
          <w:color w:val="000000"/>
          <w:bdr w:val="none" w:sz="0" w:space="0" w:color="auto" w:frame="1"/>
          <w:lang w:eastAsia="en-IN"/>
        </w:rPr>
        <w:t xml:space="preserve"> </w:t>
      </w:r>
      <w:r w:rsidRPr="00B30DDC">
        <w:rPr>
          <w:rFonts w:ascii="Times New Roman" w:eastAsia="Times New Roman" w:hAnsi="Times New Roman" w:cs="Times New Roman"/>
          <w:color w:val="000000"/>
          <w:bdr w:val="none" w:sz="0" w:space="0" w:color="auto" w:frame="1"/>
          <w:lang w:eastAsia="en-IN"/>
        </w:rPr>
        <w:t>0.9148</w:t>
      </w:r>
    </w:p>
    <w:p w:rsidR="00F30652" w:rsidRPr="00B30DDC" w:rsidRDefault="00F30652" w:rsidP="00F3065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bdr w:val="none" w:sz="0" w:space="0" w:color="auto" w:frame="1"/>
          <w:lang w:eastAsia="en-IN"/>
        </w:rPr>
      </w:pPr>
      <w:r w:rsidRPr="00B30DDC">
        <w:rPr>
          <w:rFonts w:ascii="Times New Roman" w:eastAsia="Times New Roman" w:hAnsi="Times New Roman" w:cs="Times New Roman"/>
          <w:color w:val="000000"/>
          <w:bdr w:val="none" w:sz="0" w:space="0" w:color="auto" w:frame="1"/>
          <w:lang w:eastAsia="en-IN"/>
        </w:rPr>
        <w:t xml:space="preserve">Within designs  </w:t>
      </w:r>
      <w:r w:rsidR="006D7B1F">
        <w:rPr>
          <w:rFonts w:ascii="Times New Roman" w:eastAsia="Times New Roman" w:hAnsi="Times New Roman" w:cs="Times New Roman"/>
          <w:color w:val="000000"/>
          <w:bdr w:val="none" w:sz="0" w:space="0" w:color="auto" w:frame="1"/>
          <w:lang w:eastAsia="en-IN"/>
        </w:rPr>
        <w:t xml:space="preserve">  </w:t>
      </w:r>
      <w:r w:rsidRPr="00B30DDC">
        <w:rPr>
          <w:rFonts w:ascii="Times New Roman" w:eastAsia="Times New Roman" w:hAnsi="Times New Roman" w:cs="Times New Roman"/>
          <w:color w:val="000000"/>
          <w:bdr w:val="none" w:sz="0" w:space="0" w:color="auto" w:frame="1"/>
          <w:lang w:eastAsia="en-IN"/>
        </w:rPr>
        <w:t xml:space="preserve">0.06    1  </w:t>
      </w:r>
      <w:r w:rsidR="006D7B1F">
        <w:rPr>
          <w:rFonts w:ascii="Times New Roman" w:eastAsia="Times New Roman" w:hAnsi="Times New Roman" w:cs="Times New Roman"/>
          <w:color w:val="000000"/>
          <w:bdr w:val="none" w:sz="0" w:space="0" w:color="auto" w:frame="1"/>
          <w:lang w:eastAsia="en-IN"/>
        </w:rPr>
        <w:t xml:space="preserve"> </w:t>
      </w:r>
      <w:r w:rsidRPr="00B30DDC">
        <w:rPr>
          <w:rFonts w:ascii="Times New Roman" w:eastAsia="Times New Roman" w:hAnsi="Times New Roman" w:cs="Times New Roman"/>
          <w:color w:val="000000"/>
          <w:bdr w:val="none" w:sz="0" w:space="0" w:color="auto" w:frame="1"/>
          <w:lang w:eastAsia="en-IN"/>
        </w:rPr>
        <w:t>0.8018</w:t>
      </w:r>
    </w:p>
    <w:p w:rsidR="00F30652" w:rsidRPr="00B30DDC" w:rsidRDefault="00F30652" w:rsidP="00F3065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bdr w:val="none" w:sz="0" w:space="0" w:color="auto" w:frame="1"/>
          <w:lang w:eastAsia="en-IN"/>
        </w:rPr>
        <w:t xml:space="preserve">Between designs 0.12    1  </w:t>
      </w:r>
      <w:r w:rsidR="006D7B1F">
        <w:rPr>
          <w:rFonts w:ascii="Times New Roman" w:eastAsia="Times New Roman" w:hAnsi="Times New Roman" w:cs="Times New Roman"/>
          <w:color w:val="000000"/>
          <w:bdr w:val="none" w:sz="0" w:space="0" w:color="auto" w:frame="1"/>
          <w:lang w:eastAsia="en-IN"/>
        </w:rPr>
        <w:t xml:space="preserve"> </w:t>
      </w:r>
      <w:r w:rsidRPr="00B30DDC">
        <w:rPr>
          <w:rFonts w:ascii="Times New Roman" w:eastAsia="Times New Roman" w:hAnsi="Times New Roman" w:cs="Times New Roman"/>
          <w:color w:val="000000"/>
          <w:bdr w:val="none" w:sz="0" w:space="0" w:color="auto" w:frame="1"/>
          <w:lang w:eastAsia="en-IN"/>
        </w:rPr>
        <w:t>0.7344</w:t>
      </w:r>
    </w:p>
    <w:p w:rsidR="00F30652" w:rsidRPr="00B30DDC" w:rsidRDefault="006D7B1F">
      <w:pPr>
        <w:rPr>
          <w:rFonts w:ascii="Times New Roman" w:hAnsi="Times New Roman" w:cs="Times New Roman"/>
          <w:b/>
        </w:rPr>
      </w:pPr>
      <w:r>
        <w:rPr>
          <w:rFonts w:ascii="Times New Roman" w:hAnsi="Times New Roman" w:cs="Times New Roman"/>
          <w:b/>
        </w:rPr>
        <w:t>Progression free survival (</w:t>
      </w:r>
      <w:r w:rsidR="00197066" w:rsidRPr="00B30DDC">
        <w:rPr>
          <w:rFonts w:ascii="Times New Roman" w:hAnsi="Times New Roman" w:cs="Times New Roman"/>
          <w:b/>
        </w:rPr>
        <w:t>PFS</w:t>
      </w:r>
      <w:r>
        <w:rPr>
          <w:rFonts w:ascii="Times New Roman" w:hAnsi="Times New Roman" w:cs="Times New Roman"/>
          <w:b/>
        </w:rPr>
        <w:t>)</w:t>
      </w:r>
    </w:p>
    <w:p w:rsidR="00F30652" w:rsidRPr="00B30DDC" w:rsidRDefault="00F30652" w:rsidP="00F30652">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bdr w:val="none" w:sz="0" w:space="0" w:color="auto" w:frame="1"/>
          <w:lang w:eastAsia="en-IN"/>
        </w:rPr>
      </w:pPr>
      <w:r w:rsidRPr="00B30DDC">
        <w:rPr>
          <w:rFonts w:ascii="Times New Roman" w:eastAsia="Times New Roman" w:hAnsi="Times New Roman" w:cs="Times New Roman"/>
          <w:color w:val="000000"/>
          <w:bdr w:val="none" w:sz="0" w:space="0" w:color="auto" w:frame="1"/>
          <w:lang w:eastAsia="en-IN"/>
        </w:rPr>
        <w:t>Q statistics to assess homogeneity / consistency (Global assessment)</w:t>
      </w:r>
    </w:p>
    <w:p w:rsidR="00F30652" w:rsidRPr="00B30DDC" w:rsidRDefault="00F30652" w:rsidP="00F30652">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bdr w:val="none" w:sz="0" w:space="0" w:color="auto" w:frame="1"/>
          <w:lang w:eastAsia="en-IN"/>
        </w:rPr>
      </w:pPr>
    </w:p>
    <w:p w:rsidR="00F30652" w:rsidRPr="00B30DDC" w:rsidRDefault="00F30652" w:rsidP="00F30652">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bdr w:val="none" w:sz="0" w:space="0" w:color="auto" w:frame="1"/>
          <w:lang w:eastAsia="en-IN"/>
        </w:rPr>
      </w:pPr>
      <w:r w:rsidRPr="00B30DDC">
        <w:rPr>
          <w:rFonts w:ascii="Times New Roman" w:eastAsia="Times New Roman" w:hAnsi="Times New Roman" w:cs="Times New Roman"/>
          <w:color w:val="000000"/>
          <w:bdr w:val="none" w:sz="0" w:space="0" w:color="auto" w:frame="1"/>
          <w:lang w:eastAsia="en-IN"/>
        </w:rPr>
        <w:t xml:space="preserve">                   Q df p-value</w:t>
      </w:r>
    </w:p>
    <w:p w:rsidR="00F30652" w:rsidRPr="00B30DDC" w:rsidRDefault="00F30652" w:rsidP="00F30652">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bdr w:val="none" w:sz="0" w:space="0" w:color="auto" w:frame="1"/>
          <w:lang w:eastAsia="en-IN"/>
        </w:rPr>
      </w:pPr>
      <w:r w:rsidRPr="00B30DDC">
        <w:rPr>
          <w:rFonts w:ascii="Times New Roman" w:eastAsia="Times New Roman" w:hAnsi="Times New Roman" w:cs="Times New Roman"/>
          <w:color w:val="000000"/>
          <w:bdr w:val="none" w:sz="0" w:space="0" w:color="auto" w:frame="1"/>
          <w:lang w:eastAsia="en-IN"/>
        </w:rPr>
        <w:t>Total           0.72  2  0.6960</w:t>
      </w:r>
    </w:p>
    <w:p w:rsidR="00F30652" w:rsidRPr="00B30DDC" w:rsidRDefault="00F30652" w:rsidP="00F30652">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bdr w:val="none" w:sz="0" w:space="0" w:color="auto" w:frame="1"/>
          <w:lang w:eastAsia="en-IN"/>
        </w:rPr>
      </w:pPr>
      <w:r w:rsidRPr="00B30DDC">
        <w:rPr>
          <w:rFonts w:ascii="Times New Roman" w:eastAsia="Times New Roman" w:hAnsi="Times New Roman" w:cs="Times New Roman"/>
          <w:color w:val="000000"/>
          <w:bdr w:val="none" w:sz="0" w:space="0" w:color="auto" w:frame="1"/>
          <w:lang w:eastAsia="en-IN"/>
        </w:rPr>
        <w:t>Within designs  0.68  1  0.4101</w:t>
      </w:r>
    </w:p>
    <w:p w:rsidR="00F30652" w:rsidRPr="00B30DDC" w:rsidRDefault="00F30652" w:rsidP="00F30652">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bdr w:val="none" w:sz="0" w:space="0" w:color="auto" w:frame="1"/>
          <w:lang w:eastAsia="en-IN"/>
        </w:rPr>
      </w:pPr>
      <w:r w:rsidRPr="00B30DDC">
        <w:rPr>
          <w:rFonts w:ascii="Times New Roman" w:eastAsia="Times New Roman" w:hAnsi="Times New Roman" w:cs="Times New Roman"/>
          <w:color w:val="000000"/>
          <w:bdr w:val="none" w:sz="0" w:space="0" w:color="auto" w:frame="1"/>
          <w:lang w:eastAsia="en-IN"/>
        </w:rPr>
        <w:t>Between designs 0.05  1  0.8294</w:t>
      </w:r>
    </w:p>
    <w:p w:rsidR="00F30652" w:rsidRPr="00B30DDC" w:rsidRDefault="00F30652" w:rsidP="00F30652">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bdr w:val="none" w:sz="0" w:space="0" w:color="auto" w:frame="1"/>
          <w:lang w:eastAsia="en-IN"/>
        </w:rPr>
      </w:pPr>
    </w:p>
    <w:p w:rsidR="00F30652" w:rsidRPr="00B30DDC" w:rsidRDefault="00F30652" w:rsidP="00F30652">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bdr w:val="none" w:sz="0" w:space="0" w:color="auto" w:frame="1"/>
          <w:lang w:eastAsia="en-IN"/>
        </w:rPr>
      </w:pPr>
      <w:r w:rsidRPr="00B30DDC">
        <w:rPr>
          <w:rFonts w:ascii="Times New Roman" w:eastAsia="Times New Roman" w:hAnsi="Times New Roman" w:cs="Times New Roman"/>
          <w:i/>
          <w:color w:val="000000"/>
          <w:bdr w:val="none" w:sz="0" w:space="0" w:color="auto" w:frame="1"/>
          <w:lang w:eastAsia="en-IN"/>
        </w:rPr>
        <w:t>Design-specific decomposition</w:t>
      </w:r>
      <w:r w:rsidRPr="00B30DDC">
        <w:rPr>
          <w:rFonts w:ascii="Times New Roman" w:eastAsia="Times New Roman" w:hAnsi="Times New Roman" w:cs="Times New Roman"/>
          <w:color w:val="000000"/>
          <w:bdr w:val="none" w:sz="0" w:space="0" w:color="auto" w:frame="1"/>
          <w:lang w:eastAsia="en-IN"/>
        </w:rPr>
        <w:t xml:space="preserve"> of within-designs Q statistic</w:t>
      </w:r>
    </w:p>
    <w:p w:rsidR="00F30652" w:rsidRPr="00B30DDC" w:rsidRDefault="00F30652" w:rsidP="00F30652">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bdr w:val="none" w:sz="0" w:space="0" w:color="auto" w:frame="1"/>
          <w:lang w:eastAsia="en-IN"/>
        </w:rPr>
      </w:pPr>
      <w:r w:rsidRPr="00B30DDC">
        <w:rPr>
          <w:rFonts w:ascii="Times New Roman" w:eastAsia="Times New Roman" w:hAnsi="Times New Roman" w:cs="Times New Roman"/>
          <w:color w:val="000000"/>
          <w:bdr w:val="none" w:sz="0" w:space="0" w:color="auto" w:frame="1"/>
          <w:lang w:eastAsia="en-IN"/>
        </w:rPr>
        <w:t xml:space="preserve">                Design    Q df p-value</w:t>
      </w:r>
    </w:p>
    <w:p w:rsidR="00F30652" w:rsidRPr="00B30DDC" w:rsidRDefault="00F30652" w:rsidP="00F30652">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bdr w:val="none" w:sz="0" w:space="0" w:color="auto" w:frame="1"/>
          <w:lang w:eastAsia="en-IN"/>
        </w:rPr>
      </w:pPr>
      <w:r w:rsidRPr="00B30DDC">
        <w:rPr>
          <w:rFonts w:ascii="Times New Roman" w:eastAsia="Times New Roman" w:hAnsi="Times New Roman" w:cs="Times New Roman"/>
          <w:color w:val="000000"/>
          <w:bdr w:val="none" w:sz="0" w:space="0" w:color="auto" w:frame="1"/>
          <w:lang w:eastAsia="en-IN"/>
        </w:rPr>
        <w:t xml:space="preserve"> 1_gen_tki:Osimertinib 0.68  1  0.4101</w:t>
      </w:r>
    </w:p>
    <w:p w:rsidR="00F30652" w:rsidRPr="00B30DDC" w:rsidRDefault="00F30652" w:rsidP="00F30652">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bdr w:val="none" w:sz="0" w:space="0" w:color="auto" w:frame="1"/>
          <w:lang w:eastAsia="en-IN"/>
        </w:rPr>
      </w:pPr>
    </w:p>
    <w:p w:rsidR="00F30652" w:rsidRPr="00B30DDC" w:rsidRDefault="00F30652" w:rsidP="00F30652">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bdr w:val="none" w:sz="0" w:space="0" w:color="auto" w:frame="1"/>
          <w:lang w:eastAsia="en-IN"/>
        </w:rPr>
      </w:pPr>
      <w:r w:rsidRPr="00B30DDC">
        <w:rPr>
          <w:rFonts w:ascii="Times New Roman" w:eastAsia="Times New Roman" w:hAnsi="Times New Roman" w:cs="Times New Roman"/>
          <w:color w:val="000000"/>
          <w:bdr w:val="none" w:sz="0" w:space="0" w:color="auto" w:frame="1"/>
          <w:lang w:eastAsia="en-IN"/>
        </w:rPr>
        <w:t>Between-designs Q statistic after detaching of single designs</w:t>
      </w:r>
    </w:p>
    <w:p w:rsidR="00F30652" w:rsidRPr="00B30DDC" w:rsidRDefault="00F30652" w:rsidP="00F30652">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bdr w:val="none" w:sz="0" w:space="0" w:color="auto" w:frame="1"/>
          <w:lang w:eastAsia="en-IN"/>
        </w:rPr>
      </w:pPr>
    </w:p>
    <w:p w:rsidR="00F30652" w:rsidRPr="00B30DDC" w:rsidRDefault="00F30652" w:rsidP="00F30652">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bdr w:val="none" w:sz="0" w:space="0" w:color="auto" w:frame="1"/>
          <w:lang w:eastAsia="en-IN"/>
        </w:rPr>
      </w:pPr>
      <w:r w:rsidRPr="00B30DDC">
        <w:rPr>
          <w:rFonts w:ascii="Times New Roman" w:eastAsia="Times New Roman" w:hAnsi="Times New Roman" w:cs="Times New Roman"/>
          <w:color w:val="000000"/>
          <w:bdr w:val="none" w:sz="0" w:space="0" w:color="auto" w:frame="1"/>
          <w:lang w:eastAsia="en-IN"/>
        </w:rPr>
        <w:t xml:space="preserve">        Detached design    Q df p-value</w:t>
      </w:r>
    </w:p>
    <w:p w:rsidR="00F30652" w:rsidRPr="00B30DDC" w:rsidRDefault="00F30652" w:rsidP="00F30652">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bdr w:val="none" w:sz="0" w:space="0" w:color="auto" w:frame="1"/>
          <w:lang w:eastAsia="en-IN"/>
        </w:rPr>
      </w:pPr>
      <w:r w:rsidRPr="00B30DDC">
        <w:rPr>
          <w:rFonts w:ascii="Times New Roman" w:eastAsia="Times New Roman" w:hAnsi="Times New Roman" w:cs="Times New Roman"/>
          <w:color w:val="000000"/>
          <w:bdr w:val="none" w:sz="0" w:space="0" w:color="auto" w:frame="1"/>
          <w:lang w:eastAsia="en-IN"/>
        </w:rPr>
        <w:t xml:space="preserve">   1_gen_tki:lazertinib 0.00  0      --</w:t>
      </w:r>
    </w:p>
    <w:p w:rsidR="00F30652" w:rsidRPr="00B30DDC" w:rsidRDefault="00F30652" w:rsidP="00F30652">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bdr w:val="none" w:sz="0" w:space="0" w:color="auto" w:frame="1"/>
          <w:lang w:eastAsia="en-IN"/>
        </w:rPr>
      </w:pPr>
      <w:r w:rsidRPr="00B30DDC">
        <w:rPr>
          <w:rFonts w:ascii="Times New Roman" w:eastAsia="Times New Roman" w:hAnsi="Times New Roman" w:cs="Times New Roman"/>
          <w:color w:val="000000"/>
          <w:bdr w:val="none" w:sz="0" w:space="0" w:color="auto" w:frame="1"/>
          <w:lang w:eastAsia="en-IN"/>
        </w:rPr>
        <w:t xml:space="preserve">  1_gen_tki:Osimertinib 0.00  0      --</w:t>
      </w:r>
    </w:p>
    <w:p w:rsidR="00F30652" w:rsidRPr="00B30DDC" w:rsidRDefault="00F30652" w:rsidP="00F30652">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bdr w:val="none" w:sz="0" w:space="0" w:color="auto" w:frame="1"/>
          <w:lang w:eastAsia="en-IN"/>
        </w:rPr>
      </w:pPr>
      <w:r w:rsidRPr="00B30DDC">
        <w:rPr>
          <w:rFonts w:ascii="Times New Roman" w:eastAsia="Times New Roman" w:hAnsi="Times New Roman" w:cs="Times New Roman"/>
          <w:color w:val="000000"/>
          <w:bdr w:val="none" w:sz="0" w:space="0" w:color="auto" w:frame="1"/>
          <w:lang w:eastAsia="en-IN"/>
        </w:rPr>
        <w:t xml:space="preserve"> lazertinib:Osimertinib 0.00  0      --</w:t>
      </w:r>
    </w:p>
    <w:p w:rsidR="00F30652" w:rsidRPr="00B30DDC" w:rsidRDefault="00F30652" w:rsidP="00F30652">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bdr w:val="none" w:sz="0" w:space="0" w:color="auto" w:frame="1"/>
          <w:lang w:eastAsia="en-IN"/>
        </w:rPr>
      </w:pPr>
    </w:p>
    <w:p w:rsidR="00F30652" w:rsidRPr="00B30DDC" w:rsidRDefault="00F30652" w:rsidP="00F30652">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bdr w:val="none" w:sz="0" w:space="0" w:color="auto" w:frame="1"/>
          <w:lang w:eastAsia="en-IN"/>
        </w:rPr>
      </w:pPr>
      <w:r w:rsidRPr="00B30DDC">
        <w:rPr>
          <w:rFonts w:ascii="Times New Roman" w:eastAsia="Times New Roman" w:hAnsi="Times New Roman" w:cs="Times New Roman"/>
          <w:color w:val="000000"/>
          <w:bdr w:val="none" w:sz="0" w:space="0" w:color="auto" w:frame="1"/>
          <w:lang w:eastAsia="en-IN"/>
        </w:rPr>
        <w:t>Q statistic to assess consistency under the assumption of</w:t>
      </w:r>
    </w:p>
    <w:p w:rsidR="00F30652" w:rsidRPr="00B30DDC" w:rsidRDefault="00F30652" w:rsidP="00F30652">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bdr w:val="none" w:sz="0" w:space="0" w:color="auto" w:frame="1"/>
          <w:lang w:eastAsia="en-IN"/>
        </w:rPr>
      </w:pPr>
      <w:r w:rsidRPr="00B30DDC">
        <w:rPr>
          <w:rFonts w:ascii="Times New Roman" w:eastAsia="Times New Roman" w:hAnsi="Times New Roman" w:cs="Times New Roman"/>
          <w:color w:val="000000"/>
          <w:bdr w:val="none" w:sz="0" w:space="0" w:color="auto" w:frame="1"/>
          <w:lang w:eastAsia="en-IN"/>
        </w:rPr>
        <w:t xml:space="preserve">a full </w:t>
      </w:r>
      <w:r w:rsidRPr="00B30DDC">
        <w:rPr>
          <w:rFonts w:ascii="Times New Roman" w:eastAsia="Times New Roman" w:hAnsi="Times New Roman" w:cs="Times New Roman"/>
          <w:b/>
          <w:color w:val="000000"/>
          <w:bdr w:val="none" w:sz="0" w:space="0" w:color="auto" w:frame="1"/>
          <w:lang w:eastAsia="en-IN"/>
        </w:rPr>
        <w:t>design-by-treatment</w:t>
      </w:r>
      <w:r w:rsidRPr="00B30DDC">
        <w:rPr>
          <w:rFonts w:ascii="Times New Roman" w:eastAsia="Times New Roman" w:hAnsi="Times New Roman" w:cs="Times New Roman"/>
          <w:color w:val="000000"/>
          <w:bdr w:val="none" w:sz="0" w:space="0" w:color="auto" w:frame="1"/>
          <w:lang w:eastAsia="en-IN"/>
        </w:rPr>
        <w:t xml:space="preserve"> interaction random effects model</w:t>
      </w:r>
    </w:p>
    <w:p w:rsidR="00F30652" w:rsidRPr="00B30DDC" w:rsidRDefault="00F30652" w:rsidP="00F30652">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bdr w:val="none" w:sz="0" w:space="0" w:color="auto" w:frame="1"/>
          <w:lang w:eastAsia="en-IN"/>
        </w:rPr>
      </w:pPr>
    </w:p>
    <w:p w:rsidR="00F30652" w:rsidRPr="00B30DDC" w:rsidRDefault="00F30652" w:rsidP="00F30652">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bdr w:val="none" w:sz="0" w:space="0" w:color="auto" w:frame="1"/>
          <w:lang w:eastAsia="en-IN"/>
        </w:rPr>
      </w:pPr>
      <w:r w:rsidRPr="00B30DDC">
        <w:rPr>
          <w:rFonts w:ascii="Times New Roman" w:eastAsia="Times New Roman" w:hAnsi="Times New Roman" w:cs="Times New Roman"/>
          <w:color w:val="000000"/>
          <w:bdr w:val="none" w:sz="0" w:space="0" w:color="auto" w:frame="1"/>
          <w:lang w:eastAsia="en-IN"/>
        </w:rPr>
        <w:t xml:space="preserve">                   Q df p-value tau.within tau2.within</w:t>
      </w:r>
    </w:p>
    <w:p w:rsidR="00F30652" w:rsidRPr="00B30DDC" w:rsidRDefault="00F30652" w:rsidP="00F30652">
      <w:pPr>
        <w:pBdr>
          <w:top w:val="single" w:sz="4" w:space="1" w:color="auto"/>
          <w:left w:val="single" w:sz="4" w:space="1" w:color="auto"/>
          <w:bottom w:val="single" w:sz="4" w:space="1" w:color="auto"/>
          <w:right w:val="single" w:sz="4" w:space="1" w:color="auto"/>
          <w:between w:val="single" w:sz="4" w:space="1" w:color="auto"/>
          <w:bar w:val="single" w:sz="4" w:color="auto"/>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Times New Roman" w:eastAsia="Times New Roman" w:hAnsi="Times New Roman" w:cs="Times New Roman"/>
          <w:color w:val="000000"/>
          <w:lang w:eastAsia="en-IN"/>
        </w:rPr>
      </w:pPr>
      <w:r w:rsidRPr="00B30DDC">
        <w:rPr>
          <w:rFonts w:ascii="Times New Roman" w:eastAsia="Times New Roman" w:hAnsi="Times New Roman" w:cs="Times New Roman"/>
          <w:color w:val="000000"/>
          <w:bdr w:val="none" w:sz="0" w:space="0" w:color="auto" w:frame="1"/>
          <w:lang w:eastAsia="en-IN"/>
        </w:rPr>
        <w:t>Between designs 0.05  1  0.8294          0           0</w:t>
      </w:r>
    </w:p>
    <w:p w:rsidR="00F30652" w:rsidRPr="00B30DDC" w:rsidRDefault="00F30652" w:rsidP="00F30652">
      <w:pPr>
        <w:jc w:val="both"/>
        <w:rPr>
          <w:rFonts w:ascii="Times New Roman" w:hAnsi="Times New Roman" w:cs="Times New Roman"/>
        </w:rPr>
      </w:pPr>
      <w:r w:rsidRPr="00B30DDC">
        <w:rPr>
          <w:rFonts w:ascii="Times New Roman" w:hAnsi="Times New Roman" w:cs="Times New Roman"/>
        </w:rPr>
        <w:t>Note- Q statistics were derived using the design-by-treatment interaction model. Total Q reflects overall variability, within-design Q reflects heterogeneity, and between-design Q assesses inconsistency. τ² and I² represent the magnitude of heterogeneity. A p-value &gt;0.05 indicates no statistically significant heterogeneity or inconsistency.</w:t>
      </w:r>
    </w:p>
    <w:p w:rsidR="00F30652" w:rsidRPr="00B30DDC" w:rsidRDefault="00F30652" w:rsidP="00F30652">
      <w:pPr>
        <w:jc w:val="both"/>
        <w:rPr>
          <w:rFonts w:ascii="Times New Roman" w:hAnsi="Times New Roman" w:cs="Times New Roman"/>
          <w:b/>
        </w:rPr>
      </w:pPr>
      <w:r w:rsidRPr="00B30DDC">
        <w:rPr>
          <w:rFonts w:ascii="Times New Roman" w:hAnsi="Times New Roman" w:cs="Times New Roman"/>
          <w:b/>
        </w:rPr>
        <w:t>A</w:t>
      </w:r>
      <w:r w:rsidR="00533724">
        <w:rPr>
          <w:rFonts w:ascii="Times New Roman" w:hAnsi="Times New Roman" w:cs="Times New Roman"/>
          <w:b/>
        </w:rPr>
        <w:t xml:space="preserve">dverse </w:t>
      </w:r>
      <w:r w:rsidRPr="00B30DDC">
        <w:rPr>
          <w:rFonts w:ascii="Times New Roman" w:hAnsi="Times New Roman" w:cs="Times New Roman"/>
          <w:b/>
        </w:rPr>
        <w:t>E</w:t>
      </w:r>
      <w:r w:rsidR="00533724">
        <w:rPr>
          <w:rFonts w:ascii="Times New Roman" w:hAnsi="Times New Roman" w:cs="Times New Roman"/>
          <w:b/>
        </w:rPr>
        <w:t>vent (AE)</w:t>
      </w:r>
    </w:p>
    <w:p w:rsidR="00A15939" w:rsidRPr="00A15939" w:rsidRDefault="00A15939" w:rsidP="00A15939">
      <w:pPr>
        <w:jc w:val="both"/>
        <w:rPr>
          <w:rFonts w:ascii="Times New Roman" w:hAnsi="Times New Roman" w:cs="Times New Roman"/>
        </w:rPr>
      </w:pPr>
      <w:r w:rsidRPr="00A15939">
        <w:rPr>
          <w:rFonts w:ascii="Times New Roman" w:hAnsi="Times New Roman" w:cs="Times New Roman"/>
        </w:rPr>
        <w:t>Quantifying heterogeneity / inconsistency:</w:t>
      </w:r>
    </w:p>
    <w:p w:rsidR="00A15939" w:rsidRPr="00A15939" w:rsidRDefault="00A15939" w:rsidP="00A15939">
      <w:pPr>
        <w:jc w:val="both"/>
        <w:rPr>
          <w:rFonts w:ascii="Times New Roman" w:hAnsi="Times New Roman" w:cs="Times New Roman"/>
        </w:rPr>
      </w:pPr>
      <w:r w:rsidRPr="00A15939">
        <w:rPr>
          <w:rFonts w:ascii="Times New Roman" w:hAnsi="Times New Roman" w:cs="Times New Roman"/>
        </w:rPr>
        <w:t>tau^2 = 0.3584; tau = 0.5986; I^2 = 88.1% [66.8%; 95.7%]</w:t>
      </w:r>
    </w:p>
    <w:p w:rsidR="00A15939" w:rsidRDefault="00A15939">
      <w:pPr>
        <w:rPr>
          <w:rFonts w:ascii="Times New Roman" w:hAnsi="Times New Roman" w:cs="Times New Roman"/>
        </w:rPr>
      </w:pPr>
      <w:r>
        <w:rPr>
          <w:rFonts w:ascii="Times New Roman" w:hAnsi="Times New Roman" w:cs="Times New Roman"/>
        </w:rPr>
        <w:br w:type="page"/>
      </w:r>
    </w:p>
    <w:p w:rsidR="00A15939" w:rsidRPr="00A15939" w:rsidRDefault="00A15939" w:rsidP="00A15939">
      <w:pPr>
        <w:jc w:val="both"/>
        <w:rPr>
          <w:rFonts w:ascii="Times New Roman" w:hAnsi="Times New Roman" w:cs="Times New Roman"/>
        </w:rPr>
      </w:pPr>
      <w:r w:rsidRPr="00A15939">
        <w:rPr>
          <w:rFonts w:ascii="Times New Roman" w:hAnsi="Times New Roman" w:cs="Times New Roman"/>
        </w:rPr>
        <w:t>Tests of heterogeneity (within designs) and inconsistency (between designs):</w:t>
      </w:r>
    </w:p>
    <w:p w:rsidR="00A15939" w:rsidRPr="00A15939" w:rsidRDefault="00A15939" w:rsidP="00A15939">
      <w:pPr>
        <w:jc w:val="both"/>
        <w:rPr>
          <w:rFonts w:ascii="Times New Roman" w:hAnsi="Times New Roman" w:cs="Times New Roman"/>
        </w:rPr>
      </w:pPr>
      <w:r w:rsidRPr="00A15939">
        <w:rPr>
          <w:rFonts w:ascii="Times New Roman" w:hAnsi="Times New Roman" w:cs="Times New Roman"/>
        </w:rPr>
        <w:t xml:space="preserve">                   </w:t>
      </w:r>
      <w:r>
        <w:rPr>
          <w:rFonts w:ascii="Times New Roman" w:hAnsi="Times New Roman" w:cs="Times New Roman"/>
        </w:rPr>
        <w:t xml:space="preserve">      </w:t>
      </w:r>
      <w:r w:rsidRPr="00A15939">
        <w:rPr>
          <w:rFonts w:ascii="Times New Roman" w:hAnsi="Times New Roman" w:cs="Times New Roman"/>
        </w:rPr>
        <w:t xml:space="preserve"> Q</w:t>
      </w:r>
      <w:r>
        <w:rPr>
          <w:rFonts w:ascii="Times New Roman" w:hAnsi="Times New Roman" w:cs="Times New Roman"/>
        </w:rPr>
        <w:t xml:space="preserve">  </w:t>
      </w:r>
      <w:r w:rsidRPr="00A15939">
        <w:rPr>
          <w:rFonts w:ascii="Times New Roman" w:hAnsi="Times New Roman" w:cs="Times New Roman"/>
        </w:rPr>
        <w:t xml:space="preserve"> d.f. </w:t>
      </w:r>
      <w:r>
        <w:rPr>
          <w:rFonts w:ascii="Times New Roman" w:hAnsi="Times New Roman" w:cs="Times New Roman"/>
        </w:rPr>
        <w:t xml:space="preserve">  </w:t>
      </w:r>
      <w:r w:rsidRPr="00A15939">
        <w:rPr>
          <w:rFonts w:ascii="Times New Roman" w:hAnsi="Times New Roman" w:cs="Times New Roman"/>
        </w:rPr>
        <w:t xml:space="preserve"> p-value</w:t>
      </w:r>
    </w:p>
    <w:p w:rsidR="00A15939" w:rsidRPr="00A15939" w:rsidRDefault="00A15939" w:rsidP="00A15939">
      <w:pPr>
        <w:jc w:val="both"/>
        <w:rPr>
          <w:rFonts w:ascii="Times New Roman" w:hAnsi="Times New Roman" w:cs="Times New Roman"/>
        </w:rPr>
      </w:pPr>
      <w:r w:rsidRPr="00A15939">
        <w:rPr>
          <w:rFonts w:ascii="Times New Roman" w:hAnsi="Times New Roman" w:cs="Times New Roman"/>
        </w:rPr>
        <w:t xml:space="preserve">Total           </w:t>
      </w:r>
      <w:r>
        <w:rPr>
          <w:rFonts w:ascii="Times New Roman" w:hAnsi="Times New Roman" w:cs="Times New Roman"/>
        </w:rPr>
        <w:t xml:space="preserve">       </w:t>
      </w:r>
      <w:r w:rsidRPr="00A15939">
        <w:rPr>
          <w:rFonts w:ascii="Times New Roman" w:hAnsi="Times New Roman" w:cs="Times New Roman"/>
        </w:rPr>
        <w:t>16.79    2   0.0002</w:t>
      </w:r>
    </w:p>
    <w:p w:rsidR="00A15939" w:rsidRPr="00A15939" w:rsidRDefault="00A15939" w:rsidP="00A15939">
      <w:pPr>
        <w:jc w:val="both"/>
        <w:rPr>
          <w:rFonts w:ascii="Times New Roman" w:hAnsi="Times New Roman" w:cs="Times New Roman"/>
        </w:rPr>
      </w:pPr>
      <w:r w:rsidRPr="00A15939">
        <w:rPr>
          <w:rFonts w:ascii="Times New Roman" w:hAnsi="Times New Roman" w:cs="Times New Roman"/>
        </w:rPr>
        <w:t>Within designs  16.74    1 &lt; 0.0001</w:t>
      </w:r>
    </w:p>
    <w:p w:rsidR="00F30652" w:rsidRDefault="00A15939" w:rsidP="00A15939">
      <w:pPr>
        <w:jc w:val="both"/>
        <w:rPr>
          <w:rFonts w:ascii="Times New Roman" w:hAnsi="Times New Roman" w:cs="Times New Roman"/>
        </w:rPr>
      </w:pPr>
      <w:r w:rsidRPr="00A15939">
        <w:rPr>
          <w:rFonts w:ascii="Times New Roman" w:hAnsi="Times New Roman" w:cs="Times New Roman"/>
        </w:rPr>
        <w:t>Between designs  0.05    1   0.8228</w:t>
      </w:r>
    </w:p>
    <w:p w:rsidR="00A15939" w:rsidRDefault="00A15939" w:rsidP="00A15939">
      <w:pPr>
        <w:jc w:val="both"/>
        <w:rPr>
          <w:rFonts w:ascii="Times New Roman" w:hAnsi="Times New Roman" w:cs="Times New Roman"/>
        </w:rPr>
      </w:pPr>
      <w:r>
        <w:rPr>
          <w:rFonts w:ascii="Times New Roman" w:hAnsi="Times New Roman" w:cs="Times New Roman"/>
        </w:rPr>
        <w:t>Without FLAURA China</w:t>
      </w:r>
    </w:p>
    <w:p w:rsidR="00A15939" w:rsidRPr="00A15939" w:rsidRDefault="00A15939" w:rsidP="00A15939">
      <w:pPr>
        <w:jc w:val="both"/>
        <w:rPr>
          <w:rFonts w:ascii="Times New Roman" w:hAnsi="Times New Roman" w:cs="Times New Roman"/>
        </w:rPr>
      </w:pPr>
      <w:r w:rsidRPr="00A15939">
        <w:rPr>
          <w:rFonts w:ascii="Times New Roman" w:hAnsi="Times New Roman" w:cs="Times New Roman"/>
        </w:rPr>
        <w:t>Quantifying heterogeneity / inconsistency:</w:t>
      </w:r>
    </w:p>
    <w:p w:rsidR="00A15939" w:rsidRPr="00A15939" w:rsidRDefault="00A15939" w:rsidP="00A15939">
      <w:pPr>
        <w:jc w:val="both"/>
        <w:rPr>
          <w:rFonts w:ascii="Times New Roman" w:hAnsi="Times New Roman" w:cs="Times New Roman"/>
        </w:rPr>
      </w:pPr>
      <w:r w:rsidRPr="00A15939">
        <w:rPr>
          <w:rFonts w:ascii="Times New Roman" w:hAnsi="Times New Roman" w:cs="Times New Roman"/>
        </w:rPr>
        <w:t>tau^2 = 0.0093; tau = 0.0965; I^2 = 22%</w:t>
      </w:r>
    </w:p>
    <w:p w:rsidR="00A15939" w:rsidRPr="00A15939" w:rsidRDefault="00A15939" w:rsidP="00A15939">
      <w:pPr>
        <w:jc w:val="both"/>
        <w:rPr>
          <w:rFonts w:ascii="Times New Roman" w:hAnsi="Times New Roman" w:cs="Times New Roman"/>
        </w:rPr>
      </w:pPr>
      <w:r w:rsidRPr="00A15939">
        <w:rPr>
          <w:rFonts w:ascii="Times New Roman" w:hAnsi="Times New Roman" w:cs="Times New Roman"/>
        </w:rPr>
        <w:t>Tests of heterogeneity (within designs) and inconsistency (between designs):</w:t>
      </w:r>
    </w:p>
    <w:p w:rsidR="00A15939" w:rsidRPr="00A15939" w:rsidRDefault="00A15939" w:rsidP="00A15939">
      <w:pPr>
        <w:jc w:val="both"/>
        <w:rPr>
          <w:rFonts w:ascii="Times New Roman" w:hAnsi="Times New Roman" w:cs="Times New Roman"/>
        </w:rPr>
      </w:pPr>
      <w:r w:rsidRPr="00A15939">
        <w:rPr>
          <w:rFonts w:ascii="Times New Roman" w:hAnsi="Times New Roman" w:cs="Times New Roman"/>
        </w:rPr>
        <w:t xml:space="preserve">                  </w:t>
      </w:r>
      <w:r>
        <w:rPr>
          <w:rFonts w:ascii="Times New Roman" w:hAnsi="Times New Roman" w:cs="Times New Roman"/>
        </w:rPr>
        <w:t xml:space="preserve">         </w:t>
      </w:r>
      <w:r w:rsidRPr="00A15939">
        <w:rPr>
          <w:rFonts w:ascii="Times New Roman" w:hAnsi="Times New Roman" w:cs="Times New Roman"/>
        </w:rPr>
        <w:t xml:space="preserve"> Q </w:t>
      </w:r>
      <w:r>
        <w:rPr>
          <w:rFonts w:ascii="Times New Roman" w:hAnsi="Times New Roman" w:cs="Times New Roman"/>
        </w:rPr>
        <w:t xml:space="preserve">   </w:t>
      </w:r>
      <w:r w:rsidRPr="00A15939">
        <w:rPr>
          <w:rFonts w:ascii="Times New Roman" w:hAnsi="Times New Roman" w:cs="Times New Roman"/>
        </w:rPr>
        <w:t xml:space="preserve">d.f. </w:t>
      </w:r>
      <w:r>
        <w:rPr>
          <w:rFonts w:ascii="Times New Roman" w:hAnsi="Times New Roman" w:cs="Times New Roman"/>
        </w:rPr>
        <w:t xml:space="preserve">   </w:t>
      </w:r>
      <w:r w:rsidRPr="00A15939">
        <w:rPr>
          <w:rFonts w:ascii="Times New Roman" w:hAnsi="Times New Roman" w:cs="Times New Roman"/>
        </w:rPr>
        <w:t>p-value</w:t>
      </w:r>
    </w:p>
    <w:p w:rsidR="00A15939" w:rsidRPr="00A15939" w:rsidRDefault="00A15939" w:rsidP="00A15939">
      <w:pPr>
        <w:jc w:val="both"/>
        <w:rPr>
          <w:rFonts w:ascii="Times New Roman" w:hAnsi="Times New Roman" w:cs="Times New Roman"/>
        </w:rPr>
      </w:pPr>
      <w:r w:rsidRPr="00A15939">
        <w:rPr>
          <w:rFonts w:ascii="Times New Roman" w:hAnsi="Times New Roman" w:cs="Times New Roman"/>
        </w:rPr>
        <w:t xml:space="preserve">Total          </w:t>
      </w:r>
      <w:r>
        <w:rPr>
          <w:rFonts w:ascii="Times New Roman" w:hAnsi="Times New Roman" w:cs="Times New Roman"/>
        </w:rPr>
        <w:t xml:space="preserve">       </w:t>
      </w:r>
      <w:r w:rsidRPr="00A15939">
        <w:rPr>
          <w:rFonts w:ascii="Times New Roman" w:hAnsi="Times New Roman" w:cs="Times New Roman"/>
        </w:rPr>
        <w:t xml:space="preserve"> </w:t>
      </w:r>
      <w:r>
        <w:rPr>
          <w:rFonts w:ascii="Times New Roman" w:hAnsi="Times New Roman" w:cs="Times New Roman"/>
        </w:rPr>
        <w:t xml:space="preserve"> </w:t>
      </w:r>
      <w:r w:rsidRPr="00A15939">
        <w:rPr>
          <w:rFonts w:ascii="Times New Roman" w:hAnsi="Times New Roman" w:cs="Times New Roman"/>
        </w:rPr>
        <w:t>1.28    1  0.2574</w:t>
      </w:r>
    </w:p>
    <w:p w:rsidR="00A15939" w:rsidRPr="00A15939" w:rsidRDefault="00A15939" w:rsidP="00A15939">
      <w:pPr>
        <w:jc w:val="both"/>
        <w:rPr>
          <w:rFonts w:ascii="Times New Roman" w:hAnsi="Times New Roman" w:cs="Times New Roman"/>
        </w:rPr>
      </w:pPr>
      <w:r w:rsidRPr="00A15939">
        <w:rPr>
          <w:rFonts w:ascii="Times New Roman" w:hAnsi="Times New Roman" w:cs="Times New Roman"/>
        </w:rPr>
        <w:t xml:space="preserve">Within designs  </w:t>
      </w:r>
      <w:r>
        <w:rPr>
          <w:rFonts w:ascii="Times New Roman" w:hAnsi="Times New Roman" w:cs="Times New Roman"/>
        </w:rPr>
        <w:t xml:space="preserve">  </w:t>
      </w:r>
      <w:r w:rsidRPr="00A15939">
        <w:rPr>
          <w:rFonts w:ascii="Times New Roman" w:hAnsi="Times New Roman" w:cs="Times New Roman"/>
        </w:rPr>
        <w:t>0.00    0      --</w:t>
      </w:r>
    </w:p>
    <w:p w:rsidR="00A15939" w:rsidRDefault="00A15939" w:rsidP="00A15939">
      <w:pPr>
        <w:jc w:val="both"/>
        <w:rPr>
          <w:rFonts w:ascii="Times New Roman" w:hAnsi="Times New Roman" w:cs="Times New Roman"/>
        </w:rPr>
      </w:pPr>
      <w:r w:rsidRPr="00A15939">
        <w:rPr>
          <w:rFonts w:ascii="Times New Roman" w:hAnsi="Times New Roman" w:cs="Times New Roman"/>
        </w:rPr>
        <w:t>Between designs 1.28    1  0.2574</w:t>
      </w:r>
    </w:p>
    <w:p w:rsidR="00A15939" w:rsidRPr="00B30DDC" w:rsidRDefault="00A15939" w:rsidP="00A15939">
      <w:pPr>
        <w:jc w:val="both"/>
        <w:rPr>
          <w:rFonts w:ascii="Times New Roman" w:hAnsi="Times New Roman" w:cs="Times New Roman"/>
        </w:rPr>
      </w:pPr>
    </w:p>
    <w:p w:rsidR="00533724" w:rsidRPr="00533724" w:rsidRDefault="002E33B0" w:rsidP="00533724">
      <w:pPr>
        <w:pStyle w:val="Heading1"/>
        <w:rPr>
          <w:rStyle w:val="Strong"/>
          <w:rFonts w:ascii="Times New Roman" w:hAnsi="Times New Roman" w:cs="Times New Roman"/>
          <w:b w:val="0"/>
          <w:bCs w:val="0"/>
          <w:color w:val="000000" w:themeColor="text1"/>
          <w:sz w:val="24"/>
          <w:szCs w:val="22"/>
        </w:rPr>
      </w:pPr>
      <w:r>
        <w:rPr>
          <w:rStyle w:val="Strong"/>
          <w:rFonts w:ascii="Times New Roman" w:hAnsi="Times New Roman" w:cs="Times New Roman"/>
          <w:bCs w:val="0"/>
          <w:color w:val="000000" w:themeColor="text1"/>
          <w:sz w:val="24"/>
          <w:szCs w:val="22"/>
        </w:rPr>
        <w:t>Supplementary T</w:t>
      </w:r>
      <w:r w:rsidR="00533724" w:rsidRPr="00533724">
        <w:rPr>
          <w:rStyle w:val="Strong"/>
          <w:rFonts w:ascii="Times New Roman" w:hAnsi="Times New Roman" w:cs="Times New Roman"/>
          <w:bCs w:val="0"/>
          <w:color w:val="000000" w:themeColor="text1"/>
          <w:sz w:val="24"/>
          <w:szCs w:val="22"/>
        </w:rPr>
        <w:t xml:space="preserve">able </w:t>
      </w:r>
      <w:r w:rsidR="00921DAB">
        <w:rPr>
          <w:rStyle w:val="Strong"/>
          <w:rFonts w:ascii="Times New Roman" w:hAnsi="Times New Roman" w:cs="Times New Roman"/>
          <w:bCs w:val="0"/>
          <w:color w:val="000000" w:themeColor="text1"/>
          <w:sz w:val="24"/>
          <w:szCs w:val="22"/>
        </w:rPr>
        <w:t>S</w:t>
      </w:r>
      <w:r w:rsidR="00533724" w:rsidRPr="00533724">
        <w:rPr>
          <w:rStyle w:val="Strong"/>
          <w:rFonts w:ascii="Times New Roman" w:hAnsi="Times New Roman" w:cs="Times New Roman"/>
          <w:bCs w:val="0"/>
          <w:color w:val="000000" w:themeColor="text1"/>
          <w:sz w:val="24"/>
          <w:szCs w:val="22"/>
        </w:rPr>
        <w:t>8:</w:t>
      </w:r>
      <w:r w:rsidR="00533724" w:rsidRPr="00533724">
        <w:rPr>
          <w:rStyle w:val="Strong"/>
          <w:rFonts w:ascii="Times New Roman" w:hAnsi="Times New Roman" w:cs="Times New Roman"/>
          <w:b w:val="0"/>
          <w:bCs w:val="0"/>
          <w:color w:val="000000" w:themeColor="text1"/>
          <w:sz w:val="24"/>
          <w:szCs w:val="22"/>
        </w:rPr>
        <w:t xml:space="preserve"> Certainty of Evidence (GRADE Framework) for Network Meta-Analysis Outcomes</w:t>
      </w:r>
    </w:p>
    <w:p w:rsidR="00533724" w:rsidRPr="00B30DDC" w:rsidRDefault="00533724" w:rsidP="00533724">
      <w:pPr>
        <w:rPr>
          <w:rFonts w:ascii="Times New Roman" w:hAnsi="Times New Roman" w:cs="Times New Roman"/>
        </w:rPr>
      </w:pPr>
    </w:p>
    <w:tbl>
      <w:tblPr>
        <w:tblW w:w="7540" w:type="dxa"/>
        <w:tblInd w:w="-5" w:type="dxa"/>
        <w:tblLook w:val="04A0" w:firstRow="1" w:lastRow="0" w:firstColumn="1" w:lastColumn="0" w:noHBand="0" w:noVBand="1"/>
      </w:tblPr>
      <w:tblGrid>
        <w:gridCol w:w="1329"/>
        <w:gridCol w:w="998"/>
        <w:gridCol w:w="1488"/>
        <w:gridCol w:w="1365"/>
        <w:gridCol w:w="1341"/>
        <w:gridCol w:w="1292"/>
        <w:gridCol w:w="1133"/>
      </w:tblGrid>
      <w:tr w:rsidR="00533724" w:rsidRPr="006B1B71" w:rsidTr="00921DAB">
        <w:trPr>
          <w:trHeight w:val="600"/>
        </w:trPr>
        <w:tc>
          <w:tcPr>
            <w:tcW w:w="16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3724" w:rsidRPr="006B1B71" w:rsidRDefault="00533724" w:rsidP="00921DAB">
            <w:pPr>
              <w:spacing w:after="0" w:line="240" w:lineRule="auto"/>
              <w:jc w:val="center"/>
              <w:rPr>
                <w:rFonts w:ascii="Times New Roman" w:eastAsia="Times New Roman" w:hAnsi="Times New Roman" w:cs="Times New Roman"/>
                <w:b/>
                <w:bCs/>
                <w:color w:val="000000"/>
                <w:lang w:eastAsia="en-IN"/>
              </w:rPr>
            </w:pPr>
            <w:r w:rsidRPr="006B1B71">
              <w:rPr>
                <w:rFonts w:ascii="Times New Roman" w:eastAsia="Times New Roman" w:hAnsi="Times New Roman" w:cs="Times New Roman"/>
                <w:b/>
                <w:bCs/>
                <w:color w:val="000000"/>
                <w:lang w:eastAsia="en-IN"/>
              </w:rPr>
              <w:t>Outcome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33724" w:rsidRPr="006B1B71" w:rsidRDefault="00533724" w:rsidP="00921DAB">
            <w:pPr>
              <w:spacing w:after="0" w:line="240" w:lineRule="auto"/>
              <w:jc w:val="center"/>
              <w:rPr>
                <w:rFonts w:ascii="Times New Roman" w:eastAsia="Times New Roman" w:hAnsi="Times New Roman" w:cs="Times New Roman"/>
                <w:b/>
                <w:bCs/>
                <w:color w:val="000000"/>
                <w:lang w:eastAsia="en-IN"/>
              </w:rPr>
            </w:pPr>
            <w:r w:rsidRPr="006B1B71">
              <w:rPr>
                <w:rFonts w:ascii="Times New Roman" w:eastAsia="Times New Roman" w:hAnsi="Times New Roman" w:cs="Times New Roman"/>
                <w:b/>
                <w:bCs/>
                <w:color w:val="000000"/>
                <w:lang w:eastAsia="en-IN"/>
              </w:rPr>
              <w:t>Risk of Bias</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33724" w:rsidRPr="006B1B71" w:rsidRDefault="00533724" w:rsidP="00921DAB">
            <w:pPr>
              <w:spacing w:after="0" w:line="240" w:lineRule="auto"/>
              <w:jc w:val="center"/>
              <w:rPr>
                <w:rFonts w:ascii="Times New Roman" w:eastAsia="Times New Roman" w:hAnsi="Times New Roman" w:cs="Times New Roman"/>
                <w:b/>
                <w:bCs/>
                <w:color w:val="000000"/>
                <w:lang w:eastAsia="en-IN"/>
              </w:rPr>
            </w:pPr>
            <w:r w:rsidRPr="006B1B71">
              <w:rPr>
                <w:rFonts w:ascii="Times New Roman" w:eastAsia="Times New Roman" w:hAnsi="Times New Roman" w:cs="Times New Roman"/>
                <w:b/>
                <w:bCs/>
                <w:color w:val="000000"/>
                <w:lang w:eastAsia="en-IN"/>
              </w:rPr>
              <w:t>Inconsistency</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33724" w:rsidRPr="006B1B71" w:rsidRDefault="00533724" w:rsidP="00921DAB">
            <w:pPr>
              <w:spacing w:after="0" w:line="240" w:lineRule="auto"/>
              <w:jc w:val="center"/>
              <w:rPr>
                <w:rFonts w:ascii="Times New Roman" w:eastAsia="Times New Roman" w:hAnsi="Times New Roman" w:cs="Times New Roman"/>
                <w:b/>
                <w:bCs/>
                <w:color w:val="000000"/>
                <w:lang w:eastAsia="en-IN"/>
              </w:rPr>
            </w:pPr>
            <w:r w:rsidRPr="006B1B71">
              <w:rPr>
                <w:rFonts w:ascii="Times New Roman" w:eastAsia="Times New Roman" w:hAnsi="Times New Roman" w:cs="Times New Roman"/>
                <w:b/>
                <w:bCs/>
                <w:color w:val="000000"/>
                <w:lang w:eastAsia="en-IN"/>
              </w:rPr>
              <w:t>Indirectness</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33724" w:rsidRPr="006B1B71" w:rsidRDefault="00533724" w:rsidP="00921DAB">
            <w:pPr>
              <w:spacing w:after="0" w:line="240" w:lineRule="auto"/>
              <w:jc w:val="center"/>
              <w:rPr>
                <w:rFonts w:ascii="Times New Roman" w:eastAsia="Times New Roman" w:hAnsi="Times New Roman" w:cs="Times New Roman"/>
                <w:b/>
                <w:bCs/>
                <w:color w:val="000000"/>
                <w:lang w:eastAsia="en-IN"/>
              </w:rPr>
            </w:pPr>
            <w:r w:rsidRPr="006B1B71">
              <w:rPr>
                <w:rFonts w:ascii="Times New Roman" w:eastAsia="Times New Roman" w:hAnsi="Times New Roman" w:cs="Times New Roman"/>
                <w:b/>
                <w:bCs/>
                <w:color w:val="000000"/>
                <w:lang w:eastAsia="en-IN"/>
              </w:rPr>
              <w:t>Imprecision</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533724" w:rsidRPr="006B1B71" w:rsidRDefault="00533724" w:rsidP="00921DAB">
            <w:pPr>
              <w:spacing w:after="0" w:line="240" w:lineRule="auto"/>
              <w:jc w:val="center"/>
              <w:rPr>
                <w:rFonts w:ascii="Times New Roman" w:eastAsia="Times New Roman" w:hAnsi="Times New Roman" w:cs="Times New Roman"/>
                <w:b/>
                <w:bCs/>
                <w:color w:val="000000"/>
                <w:lang w:eastAsia="en-IN"/>
              </w:rPr>
            </w:pPr>
            <w:r w:rsidRPr="006B1B71">
              <w:rPr>
                <w:rFonts w:ascii="Times New Roman" w:eastAsia="Times New Roman" w:hAnsi="Times New Roman" w:cs="Times New Roman"/>
                <w:b/>
                <w:bCs/>
                <w:color w:val="000000"/>
                <w:lang w:eastAsia="en-IN"/>
              </w:rPr>
              <w:t>Publication Bias</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533724" w:rsidRPr="006B1B71" w:rsidRDefault="00533724" w:rsidP="00921DAB">
            <w:pPr>
              <w:spacing w:after="0" w:line="240" w:lineRule="auto"/>
              <w:jc w:val="center"/>
              <w:rPr>
                <w:rFonts w:ascii="Times New Roman" w:eastAsia="Times New Roman" w:hAnsi="Times New Roman" w:cs="Times New Roman"/>
                <w:b/>
                <w:bCs/>
                <w:color w:val="000000"/>
                <w:lang w:eastAsia="en-IN"/>
              </w:rPr>
            </w:pPr>
            <w:r w:rsidRPr="006B1B71">
              <w:rPr>
                <w:rFonts w:ascii="Times New Roman" w:eastAsia="Times New Roman" w:hAnsi="Times New Roman" w:cs="Times New Roman"/>
                <w:b/>
                <w:bCs/>
                <w:color w:val="000000"/>
                <w:lang w:eastAsia="en-IN"/>
              </w:rPr>
              <w:t>Overall Certainty</w:t>
            </w:r>
          </w:p>
        </w:tc>
      </w:tr>
      <w:tr w:rsidR="00533724" w:rsidRPr="006B1B71" w:rsidTr="00921DAB">
        <w:trPr>
          <w:trHeight w:val="900"/>
        </w:trPr>
        <w:tc>
          <w:tcPr>
            <w:tcW w:w="1620" w:type="dxa"/>
            <w:tcBorders>
              <w:top w:val="nil"/>
              <w:left w:val="single" w:sz="4" w:space="0" w:color="auto"/>
              <w:bottom w:val="single" w:sz="4" w:space="0" w:color="auto"/>
              <w:right w:val="single" w:sz="4" w:space="0" w:color="auto"/>
            </w:tcBorders>
            <w:shd w:val="clear" w:color="auto" w:fill="auto"/>
            <w:vAlign w:val="center"/>
            <w:hideMark/>
          </w:tcPr>
          <w:p w:rsidR="00533724" w:rsidRPr="006B1B71" w:rsidRDefault="00533724" w:rsidP="00921DAB">
            <w:pPr>
              <w:spacing w:after="0" w:line="240" w:lineRule="auto"/>
              <w:rPr>
                <w:rFonts w:ascii="Times New Roman" w:eastAsia="Times New Roman" w:hAnsi="Times New Roman" w:cs="Times New Roman"/>
                <w:color w:val="000000"/>
                <w:lang w:eastAsia="en-IN"/>
              </w:rPr>
            </w:pPr>
            <w:r w:rsidRPr="006B1B71">
              <w:rPr>
                <w:rFonts w:ascii="Times New Roman" w:eastAsia="Times New Roman" w:hAnsi="Times New Roman" w:cs="Times New Roman"/>
                <w:color w:val="000000"/>
                <w:lang w:eastAsia="en-IN"/>
              </w:rPr>
              <w:t>Overall Survival (OS)</w:t>
            </w:r>
          </w:p>
        </w:tc>
        <w:tc>
          <w:tcPr>
            <w:tcW w:w="960" w:type="dxa"/>
            <w:tcBorders>
              <w:top w:val="nil"/>
              <w:left w:val="nil"/>
              <w:bottom w:val="single" w:sz="4" w:space="0" w:color="auto"/>
              <w:right w:val="single" w:sz="4" w:space="0" w:color="auto"/>
            </w:tcBorders>
            <w:shd w:val="clear" w:color="auto" w:fill="auto"/>
            <w:vAlign w:val="center"/>
            <w:hideMark/>
          </w:tcPr>
          <w:p w:rsidR="00533724" w:rsidRPr="006B1B71" w:rsidRDefault="00533724" w:rsidP="00921DAB">
            <w:pPr>
              <w:spacing w:after="0" w:line="240" w:lineRule="auto"/>
              <w:rPr>
                <w:rFonts w:ascii="Times New Roman" w:eastAsia="Times New Roman" w:hAnsi="Times New Roman" w:cs="Times New Roman"/>
                <w:color w:val="000000"/>
                <w:lang w:eastAsia="en-IN"/>
              </w:rPr>
            </w:pPr>
            <w:r w:rsidRPr="006B1B71">
              <w:rPr>
                <w:rFonts w:ascii="Times New Roman" w:eastAsia="Times New Roman" w:hAnsi="Times New Roman" w:cs="Times New Roman"/>
                <w:color w:val="000000"/>
                <w:lang w:eastAsia="en-IN"/>
              </w:rPr>
              <w:t>Low</w:t>
            </w:r>
          </w:p>
        </w:tc>
        <w:tc>
          <w:tcPr>
            <w:tcW w:w="960" w:type="dxa"/>
            <w:tcBorders>
              <w:top w:val="nil"/>
              <w:left w:val="nil"/>
              <w:bottom w:val="single" w:sz="4" w:space="0" w:color="auto"/>
              <w:right w:val="single" w:sz="4" w:space="0" w:color="auto"/>
            </w:tcBorders>
            <w:shd w:val="clear" w:color="auto" w:fill="auto"/>
            <w:vAlign w:val="center"/>
            <w:hideMark/>
          </w:tcPr>
          <w:p w:rsidR="00533724" w:rsidRPr="006B1B71" w:rsidRDefault="00533724" w:rsidP="00921DAB">
            <w:pPr>
              <w:spacing w:after="0" w:line="240" w:lineRule="auto"/>
              <w:rPr>
                <w:rFonts w:ascii="Times New Roman" w:eastAsia="Times New Roman" w:hAnsi="Times New Roman" w:cs="Times New Roman"/>
                <w:color w:val="000000"/>
                <w:lang w:eastAsia="en-IN"/>
              </w:rPr>
            </w:pPr>
            <w:r w:rsidRPr="006B1B71">
              <w:rPr>
                <w:rFonts w:ascii="Times New Roman" w:eastAsia="Times New Roman" w:hAnsi="Times New Roman" w:cs="Times New Roman"/>
                <w:color w:val="000000"/>
                <w:lang w:eastAsia="en-IN"/>
              </w:rPr>
              <w:t>Not serious</w:t>
            </w:r>
          </w:p>
        </w:tc>
        <w:tc>
          <w:tcPr>
            <w:tcW w:w="960" w:type="dxa"/>
            <w:tcBorders>
              <w:top w:val="nil"/>
              <w:left w:val="nil"/>
              <w:bottom w:val="single" w:sz="4" w:space="0" w:color="auto"/>
              <w:right w:val="single" w:sz="4" w:space="0" w:color="auto"/>
            </w:tcBorders>
            <w:shd w:val="clear" w:color="auto" w:fill="auto"/>
            <w:vAlign w:val="center"/>
            <w:hideMark/>
          </w:tcPr>
          <w:p w:rsidR="00533724" w:rsidRPr="006B1B71" w:rsidRDefault="00533724" w:rsidP="00921DAB">
            <w:pPr>
              <w:spacing w:after="0" w:line="240" w:lineRule="auto"/>
              <w:rPr>
                <w:rFonts w:ascii="Times New Roman" w:eastAsia="Times New Roman" w:hAnsi="Times New Roman" w:cs="Times New Roman"/>
                <w:color w:val="000000"/>
                <w:lang w:eastAsia="en-IN"/>
              </w:rPr>
            </w:pPr>
            <w:r w:rsidRPr="006B1B71">
              <w:rPr>
                <w:rFonts w:ascii="Times New Roman" w:eastAsia="Times New Roman" w:hAnsi="Times New Roman" w:cs="Times New Roman"/>
                <w:color w:val="000000"/>
                <w:lang w:eastAsia="en-IN"/>
              </w:rPr>
              <w:t>Not serious</w:t>
            </w:r>
          </w:p>
        </w:tc>
        <w:tc>
          <w:tcPr>
            <w:tcW w:w="960" w:type="dxa"/>
            <w:tcBorders>
              <w:top w:val="nil"/>
              <w:left w:val="nil"/>
              <w:bottom w:val="single" w:sz="4" w:space="0" w:color="auto"/>
              <w:right w:val="single" w:sz="4" w:space="0" w:color="auto"/>
            </w:tcBorders>
            <w:shd w:val="clear" w:color="auto" w:fill="auto"/>
            <w:vAlign w:val="center"/>
            <w:hideMark/>
          </w:tcPr>
          <w:p w:rsidR="00533724" w:rsidRPr="006B1B71" w:rsidRDefault="00533724" w:rsidP="00921DAB">
            <w:pPr>
              <w:spacing w:after="0" w:line="240" w:lineRule="auto"/>
              <w:rPr>
                <w:rFonts w:ascii="Times New Roman" w:eastAsia="Times New Roman" w:hAnsi="Times New Roman" w:cs="Times New Roman"/>
                <w:color w:val="000000"/>
                <w:lang w:eastAsia="en-IN"/>
              </w:rPr>
            </w:pPr>
            <w:r w:rsidRPr="006B1B71">
              <w:rPr>
                <w:rFonts w:ascii="Times New Roman" w:eastAsia="Times New Roman" w:hAnsi="Times New Roman" w:cs="Times New Roman"/>
                <w:color w:val="000000"/>
                <w:lang w:eastAsia="en-IN"/>
              </w:rPr>
              <w:t>Serious</w:t>
            </w:r>
          </w:p>
        </w:tc>
        <w:tc>
          <w:tcPr>
            <w:tcW w:w="960" w:type="dxa"/>
            <w:tcBorders>
              <w:top w:val="nil"/>
              <w:left w:val="nil"/>
              <w:bottom w:val="single" w:sz="4" w:space="0" w:color="auto"/>
              <w:right w:val="single" w:sz="4" w:space="0" w:color="auto"/>
            </w:tcBorders>
            <w:shd w:val="clear" w:color="auto" w:fill="auto"/>
            <w:vAlign w:val="center"/>
            <w:hideMark/>
          </w:tcPr>
          <w:p w:rsidR="00533724" w:rsidRPr="006B1B71" w:rsidRDefault="00533724" w:rsidP="00921DAB">
            <w:pPr>
              <w:spacing w:after="0" w:line="240" w:lineRule="auto"/>
              <w:rPr>
                <w:rFonts w:ascii="Times New Roman" w:eastAsia="Times New Roman" w:hAnsi="Times New Roman" w:cs="Times New Roman"/>
                <w:color w:val="000000"/>
                <w:lang w:eastAsia="en-IN"/>
              </w:rPr>
            </w:pPr>
            <w:r w:rsidRPr="006B1B71">
              <w:rPr>
                <w:rFonts w:ascii="Times New Roman" w:eastAsia="Times New Roman" w:hAnsi="Times New Roman" w:cs="Times New Roman"/>
                <w:color w:val="000000"/>
                <w:lang w:eastAsia="en-IN"/>
              </w:rPr>
              <w:t>Undetected</w:t>
            </w:r>
          </w:p>
        </w:tc>
        <w:tc>
          <w:tcPr>
            <w:tcW w:w="1120" w:type="dxa"/>
            <w:tcBorders>
              <w:top w:val="nil"/>
              <w:left w:val="nil"/>
              <w:bottom w:val="single" w:sz="4" w:space="0" w:color="auto"/>
              <w:right w:val="single" w:sz="4" w:space="0" w:color="auto"/>
            </w:tcBorders>
            <w:shd w:val="clear" w:color="auto" w:fill="auto"/>
            <w:vAlign w:val="center"/>
            <w:hideMark/>
          </w:tcPr>
          <w:p w:rsidR="00533724" w:rsidRPr="006B1B71" w:rsidRDefault="00533724" w:rsidP="00921DAB">
            <w:pPr>
              <w:spacing w:after="0" w:line="240" w:lineRule="auto"/>
              <w:rPr>
                <w:rFonts w:ascii="Times New Roman" w:eastAsia="Times New Roman" w:hAnsi="Times New Roman" w:cs="Times New Roman"/>
                <w:b/>
                <w:bCs/>
                <w:color w:val="000000"/>
                <w:lang w:eastAsia="en-IN"/>
              </w:rPr>
            </w:pPr>
            <w:r w:rsidRPr="006B1B71">
              <w:rPr>
                <w:rFonts w:ascii="Times New Roman" w:eastAsia="Times New Roman" w:hAnsi="Times New Roman" w:cs="Times New Roman"/>
                <w:b/>
                <w:bCs/>
                <w:color w:val="000000"/>
                <w:lang w:eastAsia="en-IN"/>
              </w:rPr>
              <w:t>Moderate</w:t>
            </w:r>
          </w:p>
        </w:tc>
      </w:tr>
      <w:tr w:rsidR="00533724" w:rsidRPr="006B1B71" w:rsidTr="00921DAB">
        <w:trPr>
          <w:trHeight w:val="1200"/>
        </w:trPr>
        <w:tc>
          <w:tcPr>
            <w:tcW w:w="1620" w:type="dxa"/>
            <w:tcBorders>
              <w:top w:val="nil"/>
              <w:left w:val="single" w:sz="4" w:space="0" w:color="auto"/>
              <w:bottom w:val="single" w:sz="4" w:space="0" w:color="auto"/>
              <w:right w:val="single" w:sz="4" w:space="0" w:color="auto"/>
            </w:tcBorders>
            <w:shd w:val="clear" w:color="auto" w:fill="auto"/>
            <w:vAlign w:val="center"/>
            <w:hideMark/>
          </w:tcPr>
          <w:p w:rsidR="00533724" w:rsidRPr="006B1B71" w:rsidRDefault="00533724" w:rsidP="00921DAB">
            <w:pPr>
              <w:spacing w:after="0" w:line="240" w:lineRule="auto"/>
              <w:rPr>
                <w:rFonts w:ascii="Times New Roman" w:eastAsia="Times New Roman" w:hAnsi="Times New Roman" w:cs="Times New Roman"/>
                <w:color w:val="000000"/>
                <w:lang w:eastAsia="en-IN"/>
              </w:rPr>
            </w:pPr>
            <w:r w:rsidRPr="006B1B71">
              <w:rPr>
                <w:rFonts w:ascii="Times New Roman" w:eastAsia="Times New Roman" w:hAnsi="Times New Roman" w:cs="Times New Roman"/>
                <w:color w:val="000000"/>
                <w:lang w:eastAsia="en-IN"/>
              </w:rPr>
              <w:t>Progression-Free Survival (PFS)</w:t>
            </w:r>
          </w:p>
        </w:tc>
        <w:tc>
          <w:tcPr>
            <w:tcW w:w="960" w:type="dxa"/>
            <w:tcBorders>
              <w:top w:val="nil"/>
              <w:left w:val="nil"/>
              <w:bottom w:val="single" w:sz="4" w:space="0" w:color="auto"/>
              <w:right w:val="single" w:sz="4" w:space="0" w:color="auto"/>
            </w:tcBorders>
            <w:shd w:val="clear" w:color="auto" w:fill="auto"/>
            <w:vAlign w:val="center"/>
            <w:hideMark/>
          </w:tcPr>
          <w:p w:rsidR="00533724" w:rsidRPr="006B1B71" w:rsidRDefault="00533724" w:rsidP="00921DAB">
            <w:pPr>
              <w:spacing w:after="0" w:line="240" w:lineRule="auto"/>
              <w:rPr>
                <w:rFonts w:ascii="Times New Roman" w:eastAsia="Times New Roman" w:hAnsi="Times New Roman" w:cs="Times New Roman"/>
                <w:color w:val="000000"/>
                <w:lang w:eastAsia="en-IN"/>
              </w:rPr>
            </w:pPr>
            <w:r w:rsidRPr="006B1B71">
              <w:rPr>
                <w:rFonts w:ascii="Times New Roman" w:eastAsia="Times New Roman" w:hAnsi="Times New Roman" w:cs="Times New Roman"/>
                <w:color w:val="000000"/>
                <w:lang w:eastAsia="en-IN"/>
              </w:rPr>
              <w:t>Low</w:t>
            </w:r>
          </w:p>
        </w:tc>
        <w:tc>
          <w:tcPr>
            <w:tcW w:w="960" w:type="dxa"/>
            <w:tcBorders>
              <w:top w:val="nil"/>
              <w:left w:val="nil"/>
              <w:bottom w:val="single" w:sz="4" w:space="0" w:color="auto"/>
              <w:right w:val="single" w:sz="4" w:space="0" w:color="auto"/>
            </w:tcBorders>
            <w:shd w:val="clear" w:color="auto" w:fill="auto"/>
            <w:vAlign w:val="center"/>
            <w:hideMark/>
          </w:tcPr>
          <w:p w:rsidR="00533724" w:rsidRPr="006B1B71" w:rsidRDefault="00533724" w:rsidP="00921DAB">
            <w:pPr>
              <w:spacing w:after="0" w:line="240" w:lineRule="auto"/>
              <w:rPr>
                <w:rFonts w:ascii="Times New Roman" w:eastAsia="Times New Roman" w:hAnsi="Times New Roman" w:cs="Times New Roman"/>
                <w:color w:val="000000"/>
                <w:lang w:eastAsia="en-IN"/>
              </w:rPr>
            </w:pPr>
            <w:r w:rsidRPr="006B1B71">
              <w:rPr>
                <w:rFonts w:ascii="Times New Roman" w:eastAsia="Times New Roman" w:hAnsi="Times New Roman" w:cs="Times New Roman"/>
                <w:color w:val="000000"/>
                <w:lang w:eastAsia="en-IN"/>
              </w:rPr>
              <w:t>Not serious</w:t>
            </w:r>
          </w:p>
        </w:tc>
        <w:tc>
          <w:tcPr>
            <w:tcW w:w="960" w:type="dxa"/>
            <w:tcBorders>
              <w:top w:val="nil"/>
              <w:left w:val="nil"/>
              <w:bottom w:val="single" w:sz="4" w:space="0" w:color="auto"/>
              <w:right w:val="single" w:sz="4" w:space="0" w:color="auto"/>
            </w:tcBorders>
            <w:shd w:val="clear" w:color="auto" w:fill="auto"/>
            <w:vAlign w:val="center"/>
            <w:hideMark/>
          </w:tcPr>
          <w:p w:rsidR="00533724" w:rsidRPr="006B1B71" w:rsidRDefault="00533724" w:rsidP="00921DAB">
            <w:pPr>
              <w:spacing w:after="0" w:line="240" w:lineRule="auto"/>
              <w:rPr>
                <w:rFonts w:ascii="Times New Roman" w:eastAsia="Times New Roman" w:hAnsi="Times New Roman" w:cs="Times New Roman"/>
                <w:color w:val="000000"/>
                <w:lang w:eastAsia="en-IN"/>
              </w:rPr>
            </w:pPr>
            <w:r w:rsidRPr="006B1B71">
              <w:rPr>
                <w:rFonts w:ascii="Times New Roman" w:eastAsia="Times New Roman" w:hAnsi="Times New Roman" w:cs="Times New Roman"/>
                <w:color w:val="000000"/>
                <w:lang w:eastAsia="en-IN"/>
              </w:rPr>
              <w:t>Not serious</w:t>
            </w:r>
          </w:p>
        </w:tc>
        <w:tc>
          <w:tcPr>
            <w:tcW w:w="960" w:type="dxa"/>
            <w:tcBorders>
              <w:top w:val="nil"/>
              <w:left w:val="nil"/>
              <w:bottom w:val="single" w:sz="4" w:space="0" w:color="auto"/>
              <w:right w:val="single" w:sz="4" w:space="0" w:color="auto"/>
            </w:tcBorders>
            <w:shd w:val="clear" w:color="auto" w:fill="auto"/>
            <w:vAlign w:val="center"/>
            <w:hideMark/>
          </w:tcPr>
          <w:p w:rsidR="00533724" w:rsidRPr="006B1B71" w:rsidRDefault="00533724" w:rsidP="00921DAB">
            <w:pPr>
              <w:spacing w:after="0" w:line="240" w:lineRule="auto"/>
              <w:rPr>
                <w:rFonts w:ascii="Times New Roman" w:eastAsia="Times New Roman" w:hAnsi="Times New Roman" w:cs="Times New Roman"/>
                <w:color w:val="000000"/>
                <w:lang w:eastAsia="en-IN"/>
              </w:rPr>
            </w:pPr>
            <w:r w:rsidRPr="006B1B71">
              <w:rPr>
                <w:rFonts w:ascii="Times New Roman" w:eastAsia="Times New Roman" w:hAnsi="Times New Roman" w:cs="Times New Roman"/>
                <w:color w:val="000000"/>
                <w:lang w:eastAsia="en-IN"/>
              </w:rPr>
              <w:t>Not serious</w:t>
            </w:r>
          </w:p>
        </w:tc>
        <w:tc>
          <w:tcPr>
            <w:tcW w:w="960" w:type="dxa"/>
            <w:tcBorders>
              <w:top w:val="nil"/>
              <w:left w:val="nil"/>
              <w:bottom w:val="single" w:sz="4" w:space="0" w:color="auto"/>
              <w:right w:val="single" w:sz="4" w:space="0" w:color="auto"/>
            </w:tcBorders>
            <w:shd w:val="clear" w:color="auto" w:fill="auto"/>
            <w:vAlign w:val="center"/>
            <w:hideMark/>
          </w:tcPr>
          <w:p w:rsidR="00533724" w:rsidRPr="006B1B71" w:rsidRDefault="00533724" w:rsidP="00921DAB">
            <w:pPr>
              <w:spacing w:after="0" w:line="240" w:lineRule="auto"/>
              <w:rPr>
                <w:rFonts w:ascii="Times New Roman" w:eastAsia="Times New Roman" w:hAnsi="Times New Roman" w:cs="Times New Roman"/>
                <w:color w:val="000000"/>
                <w:lang w:eastAsia="en-IN"/>
              </w:rPr>
            </w:pPr>
            <w:r w:rsidRPr="006B1B71">
              <w:rPr>
                <w:rFonts w:ascii="Times New Roman" w:eastAsia="Times New Roman" w:hAnsi="Times New Roman" w:cs="Times New Roman"/>
                <w:color w:val="000000"/>
                <w:lang w:eastAsia="en-IN"/>
              </w:rPr>
              <w:t>Undetected</w:t>
            </w:r>
          </w:p>
        </w:tc>
        <w:tc>
          <w:tcPr>
            <w:tcW w:w="1120" w:type="dxa"/>
            <w:tcBorders>
              <w:top w:val="nil"/>
              <w:left w:val="nil"/>
              <w:bottom w:val="single" w:sz="4" w:space="0" w:color="auto"/>
              <w:right w:val="single" w:sz="4" w:space="0" w:color="auto"/>
            </w:tcBorders>
            <w:shd w:val="clear" w:color="auto" w:fill="auto"/>
            <w:vAlign w:val="center"/>
            <w:hideMark/>
          </w:tcPr>
          <w:p w:rsidR="00533724" w:rsidRPr="006B1B71" w:rsidRDefault="00533724" w:rsidP="00921DAB">
            <w:pPr>
              <w:spacing w:after="0" w:line="240" w:lineRule="auto"/>
              <w:rPr>
                <w:rFonts w:ascii="Times New Roman" w:eastAsia="Times New Roman" w:hAnsi="Times New Roman" w:cs="Times New Roman"/>
                <w:b/>
                <w:bCs/>
                <w:color w:val="000000"/>
                <w:lang w:eastAsia="en-IN"/>
              </w:rPr>
            </w:pPr>
            <w:r w:rsidRPr="006B1B71">
              <w:rPr>
                <w:rFonts w:ascii="Times New Roman" w:eastAsia="Times New Roman" w:hAnsi="Times New Roman" w:cs="Times New Roman"/>
                <w:b/>
                <w:bCs/>
                <w:color w:val="000000"/>
                <w:lang w:eastAsia="en-IN"/>
              </w:rPr>
              <w:t>High</w:t>
            </w:r>
          </w:p>
        </w:tc>
      </w:tr>
      <w:tr w:rsidR="00533724" w:rsidRPr="006B1B71" w:rsidTr="00921DAB">
        <w:trPr>
          <w:trHeight w:val="900"/>
        </w:trPr>
        <w:tc>
          <w:tcPr>
            <w:tcW w:w="1620" w:type="dxa"/>
            <w:tcBorders>
              <w:top w:val="nil"/>
              <w:left w:val="single" w:sz="4" w:space="0" w:color="auto"/>
              <w:bottom w:val="single" w:sz="4" w:space="0" w:color="auto"/>
              <w:right w:val="single" w:sz="4" w:space="0" w:color="auto"/>
            </w:tcBorders>
            <w:shd w:val="clear" w:color="auto" w:fill="auto"/>
            <w:vAlign w:val="center"/>
            <w:hideMark/>
          </w:tcPr>
          <w:p w:rsidR="00533724" w:rsidRPr="006B1B71" w:rsidRDefault="00533724" w:rsidP="00921DAB">
            <w:pPr>
              <w:spacing w:after="0" w:line="240" w:lineRule="auto"/>
              <w:rPr>
                <w:rFonts w:ascii="Times New Roman" w:eastAsia="Times New Roman" w:hAnsi="Times New Roman" w:cs="Times New Roman"/>
                <w:color w:val="000000"/>
                <w:lang w:eastAsia="en-IN"/>
              </w:rPr>
            </w:pPr>
            <w:r w:rsidRPr="006B1B71">
              <w:rPr>
                <w:rFonts w:ascii="Times New Roman" w:eastAsia="Times New Roman" w:hAnsi="Times New Roman" w:cs="Times New Roman"/>
                <w:color w:val="000000"/>
                <w:lang w:eastAsia="en-IN"/>
              </w:rPr>
              <w:t>Grade ≥3 Adverse Events</w:t>
            </w:r>
          </w:p>
        </w:tc>
        <w:tc>
          <w:tcPr>
            <w:tcW w:w="960" w:type="dxa"/>
            <w:tcBorders>
              <w:top w:val="nil"/>
              <w:left w:val="nil"/>
              <w:bottom w:val="single" w:sz="4" w:space="0" w:color="auto"/>
              <w:right w:val="single" w:sz="4" w:space="0" w:color="auto"/>
            </w:tcBorders>
            <w:shd w:val="clear" w:color="auto" w:fill="auto"/>
            <w:vAlign w:val="center"/>
            <w:hideMark/>
          </w:tcPr>
          <w:p w:rsidR="00533724" w:rsidRPr="006B1B71" w:rsidRDefault="00533724" w:rsidP="00921DAB">
            <w:pPr>
              <w:spacing w:after="0" w:line="240" w:lineRule="auto"/>
              <w:rPr>
                <w:rFonts w:ascii="Times New Roman" w:eastAsia="Times New Roman" w:hAnsi="Times New Roman" w:cs="Times New Roman"/>
                <w:color w:val="000000"/>
                <w:lang w:eastAsia="en-IN"/>
              </w:rPr>
            </w:pPr>
            <w:r w:rsidRPr="006B1B71">
              <w:rPr>
                <w:rFonts w:ascii="Times New Roman" w:eastAsia="Times New Roman" w:hAnsi="Times New Roman" w:cs="Times New Roman"/>
                <w:color w:val="000000"/>
                <w:lang w:eastAsia="en-IN"/>
              </w:rPr>
              <w:t>Some concerns</w:t>
            </w:r>
          </w:p>
        </w:tc>
        <w:tc>
          <w:tcPr>
            <w:tcW w:w="960" w:type="dxa"/>
            <w:tcBorders>
              <w:top w:val="nil"/>
              <w:left w:val="nil"/>
              <w:bottom w:val="single" w:sz="4" w:space="0" w:color="auto"/>
              <w:right w:val="single" w:sz="4" w:space="0" w:color="auto"/>
            </w:tcBorders>
            <w:shd w:val="clear" w:color="auto" w:fill="auto"/>
            <w:vAlign w:val="center"/>
            <w:hideMark/>
          </w:tcPr>
          <w:p w:rsidR="00533724" w:rsidRPr="006B1B71" w:rsidRDefault="00533724" w:rsidP="00921DAB">
            <w:pPr>
              <w:spacing w:after="0" w:line="240" w:lineRule="auto"/>
              <w:rPr>
                <w:rFonts w:ascii="Times New Roman" w:eastAsia="Times New Roman" w:hAnsi="Times New Roman" w:cs="Times New Roman"/>
                <w:color w:val="000000"/>
                <w:lang w:eastAsia="en-IN"/>
              </w:rPr>
            </w:pPr>
            <w:r w:rsidRPr="006B1B71">
              <w:rPr>
                <w:rFonts w:ascii="Times New Roman" w:eastAsia="Times New Roman" w:hAnsi="Times New Roman" w:cs="Times New Roman"/>
                <w:color w:val="000000"/>
                <w:lang w:eastAsia="en-IN"/>
              </w:rPr>
              <w:t>Serious</w:t>
            </w:r>
          </w:p>
        </w:tc>
        <w:tc>
          <w:tcPr>
            <w:tcW w:w="960" w:type="dxa"/>
            <w:tcBorders>
              <w:top w:val="nil"/>
              <w:left w:val="nil"/>
              <w:bottom w:val="single" w:sz="4" w:space="0" w:color="auto"/>
              <w:right w:val="single" w:sz="4" w:space="0" w:color="auto"/>
            </w:tcBorders>
            <w:shd w:val="clear" w:color="auto" w:fill="auto"/>
            <w:vAlign w:val="center"/>
            <w:hideMark/>
          </w:tcPr>
          <w:p w:rsidR="00533724" w:rsidRPr="006B1B71" w:rsidRDefault="00533724" w:rsidP="00921DAB">
            <w:pPr>
              <w:spacing w:after="0" w:line="240" w:lineRule="auto"/>
              <w:rPr>
                <w:rFonts w:ascii="Times New Roman" w:eastAsia="Times New Roman" w:hAnsi="Times New Roman" w:cs="Times New Roman"/>
                <w:color w:val="000000"/>
                <w:lang w:eastAsia="en-IN"/>
              </w:rPr>
            </w:pPr>
            <w:r w:rsidRPr="006B1B71">
              <w:rPr>
                <w:rFonts w:ascii="Times New Roman" w:eastAsia="Times New Roman" w:hAnsi="Times New Roman" w:cs="Times New Roman"/>
                <w:color w:val="000000"/>
                <w:lang w:eastAsia="en-IN"/>
              </w:rPr>
              <w:t>Not serious</w:t>
            </w:r>
          </w:p>
        </w:tc>
        <w:tc>
          <w:tcPr>
            <w:tcW w:w="960" w:type="dxa"/>
            <w:tcBorders>
              <w:top w:val="nil"/>
              <w:left w:val="nil"/>
              <w:bottom w:val="single" w:sz="4" w:space="0" w:color="auto"/>
              <w:right w:val="single" w:sz="4" w:space="0" w:color="auto"/>
            </w:tcBorders>
            <w:shd w:val="clear" w:color="auto" w:fill="auto"/>
            <w:vAlign w:val="center"/>
            <w:hideMark/>
          </w:tcPr>
          <w:p w:rsidR="00533724" w:rsidRPr="006B1B71" w:rsidRDefault="00533724" w:rsidP="00921DAB">
            <w:pPr>
              <w:spacing w:after="0" w:line="240" w:lineRule="auto"/>
              <w:rPr>
                <w:rFonts w:ascii="Times New Roman" w:eastAsia="Times New Roman" w:hAnsi="Times New Roman" w:cs="Times New Roman"/>
                <w:color w:val="000000"/>
                <w:lang w:eastAsia="en-IN"/>
              </w:rPr>
            </w:pPr>
            <w:r w:rsidRPr="006B1B71">
              <w:rPr>
                <w:rFonts w:ascii="Times New Roman" w:eastAsia="Times New Roman" w:hAnsi="Times New Roman" w:cs="Times New Roman"/>
                <w:color w:val="000000"/>
                <w:lang w:eastAsia="en-IN"/>
              </w:rPr>
              <w:t>Serious</w:t>
            </w:r>
          </w:p>
        </w:tc>
        <w:tc>
          <w:tcPr>
            <w:tcW w:w="960" w:type="dxa"/>
            <w:tcBorders>
              <w:top w:val="nil"/>
              <w:left w:val="nil"/>
              <w:bottom w:val="single" w:sz="4" w:space="0" w:color="auto"/>
              <w:right w:val="single" w:sz="4" w:space="0" w:color="auto"/>
            </w:tcBorders>
            <w:shd w:val="clear" w:color="auto" w:fill="auto"/>
            <w:vAlign w:val="center"/>
            <w:hideMark/>
          </w:tcPr>
          <w:p w:rsidR="00533724" w:rsidRPr="006B1B71" w:rsidRDefault="00533724" w:rsidP="00921DAB">
            <w:pPr>
              <w:spacing w:after="0" w:line="240" w:lineRule="auto"/>
              <w:rPr>
                <w:rFonts w:ascii="Times New Roman" w:eastAsia="Times New Roman" w:hAnsi="Times New Roman" w:cs="Times New Roman"/>
                <w:color w:val="000000"/>
                <w:lang w:eastAsia="en-IN"/>
              </w:rPr>
            </w:pPr>
            <w:r w:rsidRPr="006B1B71">
              <w:rPr>
                <w:rFonts w:ascii="Times New Roman" w:eastAsia="Times New Roman" w:hAnsi="Times New Roman" w:cs="Times New Roman"/>
                <w:color w:val="000000"/>
                <w:lang w:eastAsia="en-IN"/>
              </w:rPr>
              <w:t>Undetected</w:t>
            </w:r>
          </w:p>
        </w:tc>
        <w:tc>
          <w:tcPr>
            <w:tcW w:w="1120" w:type="dxa"/>
            <w:tcBorders>
              <w:top w:val="nil"/>
              <w:left w:val="nil"/>
              <w:bottom w:val="single" w:sz="4" w:space="0" w:color="auto"/>
              <w:right w:val="single" w:sz="4" w:space="0" w:color="auto"/>
            </w:tcBorders>
            <w:shd w:val="clear" w:color="auto" w:fill="auto"/>
            <w:vAlign w:val="center"/>
            <w:hideMark/>
          </w:tcPr>
          <w:p w:rsidR="00533724" w:rsidRPr="006B1B71" w:rsidRDefault="00533724" w:rsidP="00921DAB">
            <w:pPr>
              <w:spacing w:after="0" w:line="240" w:lineRule="auto"/>
              <w:rPr>
                <w:rFonts w:ascii="Times New Roman" w:eastAsia="Times New Roman" w:hAnsi="Times New Roman" w:cs="Times New Roman"/>
                <w:b/>
                <w:bCs/>
                <w:color w:val="000000"/>
                <w:lang w:eastAsia="en-IN"/>
              </w:rPr>
            </w:pPr>
            <w:r w:rsidRPr="006B1B71">
              <w:rPr>
                <w:rFonts w:ascii="Times New Roman" w:eastAsia="Times New Roman" w:hAnsi="Times New Roman" w:cs="Times New Roman"/>
                <w:b/>
                <w:bCs/>
                <w:color w:val="000000"/>
                <w:lang w:eastAsia="en-IN"/>
              </w:rPr>
              <w:t>Low</w:t>
            </w:r>
          </w:p>
        </w:tc>
      </w:tr>
    </w:tbl>
    <w:p w:rsidR="00533724" w:rsidRPr="00B30DDC" w:rsidRDefault="00533724" w:rsidP="00533724">
      <w:pPr>
        <w:rPr>
          <w:rFonts w:ascii="Times New Roman" w:hAnsi="Times New Roman" w:cs="Times New Roman"/>
        </w:rPr>
      </w:pPr>
    </w:p>
    <w:p w:rsidR="00533724" w:rsidRPr="00B30DDC" w:rsidRDefault="00533724" w:rsidP="00533724">
      <w:pPr>
        <w:spacing w:before="100" w:beforeAutospacing="1" w:after="100" w:afterAutospacing="1" w:line="240" w:lineRule="auto"/>
        <w:jc w:val="both"/>
        <w:rPr>
          <w:rFonts w:ascii="Times New Roman" w:eastAsia="Times New Roman" w:hAnsi="Times New Roman" w:cs="Times New Roman"/>
          <w:lang w:eastAsia="en-IN"/>
        </w:rPr>
      </w:pPr>
      <w:r w:rsidRPr="00B30DDC">
        <w:rPr>
          <w:rFonts w:ascii="Times New Roman" w:eastAsia="Times New Roman" w:hAnsi="Times New Roman" w:cs="Times New Roman"/>
          <w:lang w:eastAsia="en-IN"/>
        </w:rPr>
        <w:t>Overall Survival (OS): The certainty of evidence for overall survival was rated as moderate. Most included studies were phase III randomized controlled trials with low risk of bias. There was no evidence of inconsistency across the network (Q = 0.12, p = 0.73), and indirectness was minimal as all studies evaluated first-line EGFR-mutated advanced NSCLC populations. However, the certainty was downgraded for imprecision, as several trials reported immature overall survival data, with limited event numbers and wide confidence intervals in some comparisons.</w:t>
      </w:r>
    </w:p>
    <w:p w:rsidR="00533724" w:rsidRPr="00B30DDC" w:rsidRDefault="00533724" w:rsidP="00533724">
      <w:pPr>
        <w:spacing w:before="100" w:beforeAutospacing="1" w:after="100" w:afterAutospacing="1" w:line="240" w:lineRule="auto"/>
        <w:jc w:val="both"/>
        <w:rPr>
          <w:rFonts w:ascii="Times New Roman" w:eastAsia="Times New Roman" w:hAnsi="Times New Roman" w:cs="Times New Roman"/>
          <w:lang w:eastAsia="en-IN"/>
        </w:rPr>
      </w:pPr>
      <w:r w:rsidRPr="00B30DDC">
        <w:rPr>
          <w:rFonts w:ascii="Times New Roman" w:eastAsia="Times New Roman" w:hAnsi="Times New Roman" w:cs="Times New Roman"/>
          <w:lang w:eastAsia="en-IN"/>
        </w:rPr>
        <w:t>Progression-Free Survival (PFS): The certainty of evidence for progression-free survival was rated as high. The included studies were well-conducted randomized trials with low risk of bias. There was no significant heterogeneity or inconsistency (between-design Q = 0.05, p = 0.829), and effect estimates were precise with narrow confidence intervals. Direct and indirect evidence were consistent, supporting robust network estimates.</w:t>
      </w:r>
    </w:p>
    <w:p w:rsidR="00533724" w:rsidRDefault="00533724" w:rsidP="00533724">
      <w:pPr>
        <w:jc w:val="both"/>
        <w:rPr>
          <w:rFonts w:ascii="Times New Roman" w:eastAsia="Times New Roman" w:hAnsi="Times New Roman" w:cs="Times New Roman"/>
          <w:b/>
          <w:sz w:val="24"/>
          <w:szCs w:val="24"/>
          <w:lang w:eastAsia="en-IN"/>
        </w:rPr>
      </w:pPr>
      <w:r w:rsidRPr="00B30DDC">
        <w:rPr>
          <w:rFonts w:ascii="Times New Roman" w:eastAsia="Times New Roman" w:hAnsi="Times New Roman" w:cs="Times New Roman"/>
          <w:lang w:eastAsia="en-IN"/>
        </w:rPr>
        <w:t>Grade ≥3 Adverse Events: The certainty of evidence for grade ≥3 adverse events was rated as low. Although most studies were randomized trials, some had open-label designs, introducing potential bias in adverse event reporting. Additionally, there was substantial hete</w:t>
      </w:r>
      <w:r w:rsidR="00201CB1">
        <w:rPr>
          <w:rFonts w:ascii="Times New Roman" w:eastAsia="Times New Roman" w:hAnsi="Times New Roman" w:cs="Times New Roman"/>
          <w:lang w:eastAsia="en-IN"/>
        </w:rPr>
        <w:t>rogeneity (I² = 88.1</w:t>
      </w:r>
      <w:r w:rsidRPr="00B30DDC">
        <w:rPr>
          <w:rFonts w:ascii="Times New Roman" w:eastAsia="Times New Roman" w:hAnsi="Times New Roman" w:cs="Times New Roman"/>
          <w:lang w:eastAsia="en-IN"/>
        </w:rPr>
        <w:t>%), likely reflecting differences in adverse event definitions (treatment-related vs all-cause) and reporting practices across trials. The certainty was further downgraded for imprecision due to variability in event rates and sample sizes across comparisons.</w:t>
      </w:r>
      <w:r>
        <w:rPr>
          <w:rFonts w:ascii="Times New Roman" w:eastAsia="Times New Roman" w:hAnsi="Times New Roman" w:cs="Times New Roman"/>
          <w:b/>
          <w:sz w:val="24"/>
          <w:szCs w:val="24"/>
          <w:lang w:eastAsia="en-IN"/>
        </w:rPr>
        <w:br w:type="page"/>
      </w:r>
    </w:p>
    <w:p w:rsidR="000978DD" w:rsidRPr="00533724" w:rsidRDefault="00D460DA">
      <w:pPr>
        <w:rPr>
          <w:rStyle w:val="Strong"/>
          <w:rFonts w:ascii="Times New Roman" w:hAnsi="Times New Roman" w:cs="Times New Roman"/>
          <w:b w:val="0"/>
          <w:bCs w:val="0"/>
          <w:color w:val="000000" w:themeColor="text1"/>
          <w:sz w:val="24"/>
          <w:szCs w:val="24"/>
        </w:rPr>
      </w:pPr>
      <w:r w:rsidRPr="00533724">
        <w:rPr>
          <w:rFonts w:ascii="Times New Roman" w:eastAsia="Times New Roman" w:hAnsi="Times New Roman" w:cs="Times New Roman"/>
          <w:b/>
          <w:sz w:val="24"/>
          <w:szCs w:val="24"/>
          <w:lang w:eastAsia="en-IN"/>
        </w:rPr>
        <w:t xml:space="preserve">Supplementary Fig </w:t>
      </w:r>
      <w:r w:rsidR="00921DAB">
        <w:rPr>
          <w:rFonts w:ascii="Times New Roman" w:eastAsia="Times New Roman" w:hAnsi="Times New Roman" w:cs="Times New Roman"/>
          <w:b/>
          <w:sz w:val="24"/>
          <w:szCs w:val="24"/>
          <w:lang w:eastAsia="en-IN"/>
        </w:rPr>
        <w:t>S</w:t>
      </w:r>
      <w:r w:rsidRPr="00533724">
        <w:rPr>
          <w:rFonts w:ascii="Times New Roman" w:eastAsia="Times New Roman" w:hAnsi="Times New Roman" w:cs="Times New Roman"/>
          <w:b/>
          <w:sz w:val="24"/>
          <w:szCs w:val="24"/>
          <w:lang w:eastAsia="en-IN"/>
        </w:rPr>
        <w:t xml:space="preserve">1: </w:t>
      </w:r>
      <w:r w:rsidR="006B1B71" w:rsidRPr="00533724">
        <w:rPr>
          <w:rStyle w:val="Strong"/>
          <w:rFonts w:ascii="Times New Roman" w:hAnsi="Times New Roman" w:cs="Times New Roman"/>
          <w:b w:val="0"/>
          <w:bCs w:val="0"/>
          <w:color w:val="000000" w:themeColor="text1"/>
          <w:sz w:val="24"/>
          <w:szCs w:val="24"/>
        </w:rPr>
        <w:t>Funnel plot:</w:t>
      </w:r>
      <w:r w:rsidR="000978DD" w:rsidRPr="00533724">
        <w:rPr>
          <w:rStyle w:val="Strong"/>
          <w:rFonts w:ascii="Times New Roman" w:hAnsi="Times New Roman" w:cs="Times New Roman"/>
          <w:b w:val="0"/>
          <w:bCs w:val="0"/>
          <w:color w:val="000000" w:themeColor="text1"/>
          <w:sz w:val="24"/>
          <w:szCs w:val="24"/>
        </w:rPr>
        <w:t xml:space="preserve"> Overall survival</w:t>
      </w:r>
    </w:p>
    <w:p w:rsidR="000978DD" w:rsidRPr="00B30DDC" w:rsidRDefault="000978DD" w:rsidP="000978DD">
      <w:pPr>
        <w:pStyle w:val="NormalWeb"/>
        <w:jc w:val="center"/>
        <w:rPr>
          <w:sz w:val="22"/>
          <w:szCs w:val="22"/>
        </w:rPr>
      </w:pPr>
      <w:r w:rsidRPr="00B30DDC">
        <w:rPr>
          <w:noProof/>
          <w:sz w:val="22"/>
          <w:szCs w:val="22"/>
        </w:rPr>
        <w:drawing>
          <wp:inline distT="0" distB="0" distL="0" distR="0">
            <wp:extent cx="3494315" cy="3637743"/>
            <wp:effectExtent l="0" t="0" r="0" b="1270"/>
            <wp:docPr id="663914055" name="Picture 663914055" descr="C:\users\hp\OneDrive\Desktop\NMA-TKI\Network-tki\network-tki\OS_plot\Rpl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hp\OneDrive\Desktop\NMA-TKI\Network-tki\network-tki\OS_plot\Rplot.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16835" cy="3661187"/>
                    </a:xfrm>
                    <a:prstGeom prst="rect">
                      <a:avLst/>
                    </a:prstGeom>
                    <a:noFill/>
                    <a:ln>
                      <a:noFill/>
                    </a:ln>
                  </pic:spPr>
                </pic:pic>
              </a:graphicData>
            </a:graphic>
          </wp:inline>
        </w:drawing>
      </w:r>
    </w:p>
    <w:p w:rsidR="000978DD" w:rsidRPr="00533724" w:rsidRDefault="00D460DA" w:rsidP="000978DD">
      <w:pPr>
        <w:rPr>
          <w:rStyle w:val="Strong"/>
          <w:rFonts w:ascii="Times New Roman" w:hAnsi="Times New Roman" w:cs="Times New Roman"/>
          <w:b w:val="0"/>
          <w:bCs w:val="0"/>
          <w:color w:val="000000" w:themeColor="text1"/>
          <w:sz w:val="24"/>
          <w:szCs w:val="24"/>
        </w:rPr>
      </w:pPr>
      <w:r w:rsidRPr="00533724">
        <w:rPr>
          <w:rFonts w:ascii="Times New Roman" w:eastAsia="Times New Roman" w:hAnsi="Times New Roman" w:cs="Times New Roman"/>
          <w:b/>
          <w:sz w:val="24"/>
          <w:szCs w:val="24"/>
          <w:lang w:eastAsia="en-IN"/>
        </w:rPr>
        <w:t xml:space="preserve">Supplementary Fig </w:t>
      </w:r>
      <w:r w:rsidR="00921DAB">
        <w:rPr>
          <w:rFonts w:ascii="Times New Roman" w:eastAsia="Times New Roman" w:hAnsi="Times New Roman" w:cs="Times New Roman"/>
          <w:b/>
          <w:sz w:val="24"/>
          <w:szCs w:val="24"/>
          <w:lang w:eastAsia="en-IN"/>
        </w:rPr>
        <w:t>S</w:t>
      </w:r>
      <w:r w:rsidRPr="00533724">
        <w:rPr>
          <w:rFonts w:ascii="Times New Roman" w:eastAsia="Times New Roman" w:hAnsi="Times New Roman" w:cs="Times New Roman"/>
          <w:b/>
          <w:sz w:val="24"/>
          <w:szCs w:val="24"/>
          <w:lang w:eastAsia="en-IN"/>
        </w:rPr>
        <w:t xml:space="preserve">2: </w:t>
      </w:r>
      <w:r w:rsidR="000978DD" w:rsidRPr="00533724">
        <w:rPr>
          <w:rStyle w:val="Strong"/>
          <w:rFonts w:ascii="Times New Roman" w:hAnsi="Times New Roman" w:cs="Times New Roman"/>
          <w:b w:val="0"/>
          <w:bCs w:val="0"/>
          <w:color w:val="000000" w:themeColor="text1"/>
          <w:sz w:val="24"/>
          <w:szCs w:val="24"/>
        </w:rPr>
        <w:t>Funnel plot: PFS</w:t>
      </w:r>
    </w:p>
    <w:p w:rsidR="000978DD" w:rsidRPr="00B30DDC" w:rsidRDefault="000978DD" w:rsidP="00043E10">
      <w:pPr>
        <w:jc w:val="center"/>
        <w:rPr>
          <w:rStyle w:val="Strong"/>
          <w:rFonts w:ascii="Times New Roman" w:hAnsi="Times New Roman" w:cs="Times New Roman"/>
          <w:b w:val="0"/>
          <w:bCs w:val="0"/>
          <w:color w:val="000000" w:themeColor="text1"/>
        </w:rPr>
      </w:pPr>
      <w:r w:rsidRPr="00B30DDC">
        <w:rPr>
          <w:rStyle w:val="Strong"/>
          <w:rFonts w:ascii="Times New Roman" w:hAnsi="Times New Roman" w:cs="Times New Roman"/>
          <w:b w:val="0"/>
          <w:bCs w:val="0"/>
          <w:noProof/>
          <w:color w:val="000000" w:themeColor="text1"/>
          <w:lang w:eastAsia="en-IN"/>
        </w:rPr>
        <w:drawing>
          <wp:inline distT="0" distB="0" distL="0" distR="0">
            <wp:extent cx="3555167" cy="2917372"/>
            <wp:effectExtent l="0" t="0" r="7620" b="0"/>
            <wp:docPr id="663914057" name="Picture 663914057" descr="C:\Users\HP\OneDrive\Desktop\NMA-TKI\Network-tki\network-tki\pfs\funnel pf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HP\OneDrive\Desktop\NMA-TKI\Network-tki\network-tki\pfs\funnel pfs.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86472" cy="2943061"/>
                    </a:xfrm>
                    <a:prstGeom prst="rect">
                      <a:avLst/>
                    </a:prstGeom>
                    <a:noFill/>
                    <a:ln>
                      <a:noFill/>
                    </a:ln>
                  </pic:spPr>
                </pic:pic>
              </a:graphicData>
            </a:graphic>
          </wp:inline>
        </w:drawing>
      </w:r>
    </w:p>
    <w:p w:rsidR="00AC489A" w:rsidRDefault="00AC489A">
      <w:pPr>
        <w:rPr>
          <w:rFonts w:ascii="Times New Roman" w:eastAsiaTheme="majorEastAsia" w:hAnsi="Times New Roman" w:cs="Times New Roman"/>
          <w:color w:val="000000" w:themeColor="text1"/>
        </w:rPr>
      </w:pPr>
      <w:r>
        <w:rPr>
          <w:rFonts w:ascii="Times New Roman" w:eastAsiaTheme="majorEastAsia" w:hAnsi="Times New Roman" w:cs="Times New Roman"/>
          <w:color w:val="000000" w:themeColor="text1"/>
        </w:rPr>
        <w:br w:type="page"/>
      </w:r>
    </w:p>
    <w:p w:rsidR="00246892" w:rsidRPr="0045144F" w:rsidRDefault="0045144F">
      <w:pPr>
        <w:rPr>
          <w:rFonts w:ascii="Times New Roman" w:eastAsiaTheme="majorEastAsia" w:hAnsi="Times New Roman" w:cs="Times New Roman"/>
          <w:color w:val="000000" w:themeColor="text1"/>
          <w:sz w:val="24"/>
        </w:rPr>
      </w:pPr>
      <w:r>
        <w:rPr>
          <w:rFonts w:ascii="Times New Roman" w:eastAsiaTheme="majorEastAsia" w:hAnsi="Times New Roman" w:cs="Times New Roman"/>
          <w:b/>
          <w:color w:val="000000" w:themeColor="text1"/>
          <w:sz w:val="24"/>
        </w:rPr>
        <w:t>Supplementary F</w:t>
      </w:r>
      <w:r w:rsidR="00AC489A" w:rsidRPr="0045144F">
        <w:rPr>
          <w:rFonts w:ascii="Times New Roman" w:eastAsiaTheme="majorEastAsia" w:hAnsi="Times New Roman" w:cs="Times New Roman"/>
          <w:b/>
          <w:color w:val="000000" w:themeColor="text1"/>
          <w:sz w:val="24"/>
        </w:rPr>
        <w:t>ig S3:</w:t>
      </w:r>
      <w:r w:rsidR="00AC489A" w:rsidRPr="0045144F">
        <w:rPr>
          <w:rFonts w:ascii="Times New Roman" w:eastAsiaTheme="majorEastAsia" w:hAnsi="Times New Roman" w:cs="Times New Roman"/>
          <w:color w:val="000000" w:themeColor="text1"/>
          <w:sz w:val="24"/>
        </w:rPr>
        <w:t xml:space="preserve"> </w:t>
      </w:r>
      <w:r w:rsidR="00D10219" w:rsidRPr="00D10219">
        <w:rPr>
          <w:rFonts w:ascii="Times New Roman" w:eastAsiaTheme="majorEastAsia" w:hAnsi="Times New Roman" w:cs="Times New Roman"/>
          <w:color w:val="000000" w:themeColor="text1"/>
          <w:sz w:val="24"/>
        </w:rPr>
        <w:t>Forest plot for grade ≥3 adverse events excluding FLAURA China.</w:t>
      </w:r>
    </w:p>
    <w:p w:rsidR="00AC489A" w:rsidRPr="00AC489A" w:rsidRDefault="00AC489A" w:rsidP="00AC489A">
      <w:pPr>
        <w:spacing w:before="100" w:beforeAutospacing="1" w:after="100" w:afterAutospacing="1" w:line="240" w:lineRule="auto"/>
        <w:jc w:val="center"/>
        <w:rPr>
          <w:rFonts w:ascii="Times New Roman" w:eastAsia="Times New Roman" w:hAnsi="Times New Roman" w:cs="Times New Roman"/>
          <w:sz w:val="24"/>
          <w:szCs w:val="24"/>
          <w:lang w:eastAsia="en-IN"/>
        </w:rPr>
      </w:pPr>
      <w:r w:rsidRPr="00AC489A">
        <w:rPr>
          <w:rFonts w:ascii="Times New Roman" w:eastAsia="Times New Roman" w:hAnsi="Times New Roman" w:cs="Times New Roman"/>
          <w:noProof/>
          <w:sz w:val="24"/>
          <w:szCs w:val="24"/>
          <w:lang w:eastAsia="en-IN"/>
        </w:rPr>
        <w:drawing>
          <wp:inline distT="0" distB="0" distL="0" distR="0">
            <wp:extent cx="4405630" cy="2351405"/>
            <wp:effectExtent l="0" t="0" r="0" b="0"/>
            <wp:docPr id="1" name="Picture 1" descr="C:\Users\HP\OneDrive\Desktop\NMA-TKI\Network-tki\network-tki\ae-no china- for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OneDrive\Desktop\NMA-TKI\Network-tki\network-tki\ae-no china- fores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05630" cy="2351405"/>
                    </a:xfrm>
                    <a:prstGeom prst="rect">
                      <a:avLst/>
                    </a:prstGeom>
                    <a:noFill/>
                    <a:ln>
                      <a:noFill/>
                    </a:ln>
                  </pic:spPr>
                </pic:pic>
              </a:graphicData>
            </a:graphic>
          </wp:inline>
        </w:drawing>
      </w:r>
    </w:p>
    <w:p w:rsidR="006D388A" w:rsidRDefault="006D388A" w:rsidP="006D388A">
      <w:pPr>
        <w:jc w:val="both"/>
        <w:rPr>
          <w:rFonts w:ascii="Times New Roman" w:eastAsiaTheme="majorEastAsia" w:hAnsi="Times New Roman" w:cs="Times New Roman"/>
          <w:color w:val="000000" w:themeColor="text1"/>
          <w:sz w:val="24"/>
        </w:rPr>
      </w:pPr>
      <w:r w:rsidRPr="006D388A">
        <w:rPr>
          <w:rFonts w:ascii="Times New Roman" w:eastAsiaTheme="majorEastAsia" w:hAnsi="Times New Roman" w:cs="Times New Roman"/>
          <w:b/>
          <w:color w:val="000000" w:themeColor="text1"/>
          <w:sz w:val="24"/>
        </w:rPr>
        <w:t>Supplementary Fig S4.</w:t>
      </w:r>
      <w:r w:rsidRPr="006D388A">
        <w:rPr>
          <w:rFonts w:ascii="Times New Roman" w:eastAsiaTheme="majorEastAsia" w:hAnsi="Times New Roman" w:cs="Times New Roman"/>
          <w:color w:val="000000" w:themeColor="text1"/>
          <w:sz w:val="24"/>
        </w:rPr>
        <w:t xml:space="preserve"> Sensitivity analyses excluding the befotertinib-versus-icotinib trial: (A) overall survival, (B) progression-free survival, and (C) grade ≥3 adverse events. Estimates are from random-effects network meta-analyses versus first-generation EGFR-TKIs. Hazard ratios below 1 favour the intervention for survival outcomes; odds ratios below 1 indicate fewer grade ≥3 adverse events.</w:t>
      </w:r>
    </w:p>
    <w:p w:rsidR="006D388A" w:rsidRPr="0045144F" w:rsidRDefault="006D388A" w:rsidP="000B7483">
      <w:pPr>
        <w:jc w:val="center"/>
        <w:rPr>
          <w:rFonts w:ascii="Times New Roman" w:eastAsiaTheme="majorEastAsia" w:hAnsi="Times New Roman" w:cs="Times New Roman"/>
          <w:color w:val="000000" w:themeColor="text1"/>
          <w:sz w:val="24"/>
        </w:rPr>
      </w:pPr>
      <w:r>
        <w:rPr>
          <w:rFonts w:ascii="Times New Roman" w:eastAsiaTheme="majorEastAsia" w:hAnsi="Times New Roman" w:cs="Times New Roman"/>
          <w:noProof/>
          <w:color w:val="000000" w:themeColor="text1"/>
          <w:sz w:val="24"/>
          <w:lang w:eastAsia="en-IN"/>
        </w:rPr>
        <w:drawing>
          <wp:inline distT="0" distB="0" distL="0" distR="0">
            <wp:extent cx="2935763" cy="1828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03913" cy="1871253"/>
                    </a:xfrm>
                    <a:prstGeom prst="rect">
                      <a:avLst/>
                    </a:prstGeom>
                    <a:noFill/>
                    <a:ln>
                      <a:noFill/>
                    </a:ln>
                  </pic:spPr>
                </pic:pic>
              </a:graphicData>
            </a:graphic>
          </wp:inline>
        </w:drawing>
      </w:r>
      <w:r>
        <w:rPr>
          <w:rFonts w:ascii="Times New Roman" w:eastAsiaTheme="majorEastAsia" w:hAnsi="Times New Roman" w:cs="Times New Roman"/>
          <w:noProof/>
          <w:color w:val="000000" w:themeColor="text1"/>
          <w:sz w:val="24"/>
          <w:lang w:eastAsia="en-IN"/>
        </w:rPr>
        <w:drawing>
          <wp:inline distT="0" distB="0" distL="0" distR="0">
            <wp:extent cx="2838616" cy="15334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06045" cy="1623881"/>
                    </a:xfrm>
                    <a:prstGeom prst="rect">
                      <a:avLst/>
                    </a:prstGeom>
                    <a:noFill/>
                    <a:ln>
                      <a:noFill/>
                    </a:ln>
                  </pic:spPr>
                </pic:pic>
              </a:graphicData>
            </a:graphic>
          </wp:inline>
        </w:drawing>
      </w:r>
      <w:bookmarkStart w:id="0" w:name="_GoBack"/>
      <w:bookmarkEnd w:id="0"/>
    </w:p>
    <w:p w:rsidR="00AC489A" w:rsidRPr="00EE0175" w:rsidRDefault="0059268A" w:rsidP="000B7483">
      <w:pPr>
        <w:jc w:val="center"/>
        <w:rPr>
          <w:rFonts w:ascii="Times New Roman" w:eastAsiaTheme="majorEastAsia" w:hAnsi="Times New Roman" w:cs="Times New Roman"/>
          <w:color w:val="000000" w:themeColor="text1"/>
        </w:rPr>
      </w:pPr>
      <w:r>
        <w:rPr>
          <w:rFonts w:ascii="Times New Roman" w:eastAsiaTheme="majorEastAsia" w:hAnsi="Times New Roman" w:cs="Times New Roman"/>
          <w:noProof/>
          <w:color w:val="000000" w:themeColor="text1"/>
          <w:lang w:eastAsia="en-IN"/>
        </w:rPr>
        <w:drawing>
          <wp:inline distT="0" distB="0" distL="0" distR="0">
            <wp:extent cx="2679590" cy="1541002"/>
            <wp:effectExtent l="0" t="0" r="698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26587" cy="1568030"/>
                    </a:xfrm>
                    <a:prstGeom prst="rect">
                      <a:avLst/>
                    </a:prstGeom>
                    <a:noFill/>
                    <a:ln>
                      <a:noFill/>
                    </a:ln>
                  </pic:spPr>
                </pic:pic>
              </a:graphicData>
            </a:graphic>
          </wp:inline>
        </w:drawing>
      </w:r>
    </w:p>
    <w:sectPr w:rsidR="00AC489A" w:rsidRPr="00EE017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DE1" w:rsidRDefault="001D7DE1" w:rsidP="00B6319A">
      <w:pPr>
        <w:spacing w:after="0" w:line="240" w:lineRule="auto"/>
      </w:pPr>
      <w:r>
        <w:separator/>
      </w:r>
    </w:p>
  </w:endnote>
  <w:endnote w:type="continuationSeparator" w:id="0">
    <w:p w:rsidR="001D7DE1" w:rsidRDefault="001D7DE1" w:rsidP="00B63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DE1" w:rsidRDefault="001D7DE1" w:rsidP="00B6319A">
      <w:pPr>
        <w:spacing w:after="0" w:line="240" w:lineRule="auto"/>
      </w:pPr>
      <w:r>
        <w:separator/>
      </w:r>
    </w:p>
  </w:footnote>
  <w:footnote w:type="continuationSeparator" w:id="0">
    <w:p w:rsidR="001D7DE1" w:rsidRDefault="001D7DE1" w:rsidP="00B631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EA9"/>
    <w:rsid w:val="00043E10"/>
    <w:rsid w:val="00090FF9"/>
    <w:rsid w:val="000978DD"/>
    <w:rsid w:val="000B64C6"/>
    <w:rsid w:val="000B7483"/>
    <w:rsid w:val="00133BA8"/>
    <w:rsid w:val="00197066"/>
    <w:rsid w:val="001D7DE1"/>
    <w:rsid w:val="001E4DAF"/>
    <w:rsid w:val="001E7B0F"/>
    <w:rsid w:val="00201CB1"/>
    <w:rsid w:val="00246892"/>
    <w:rsid w:val="002534EF"/>
    <w:rsid w:val="002E33B0"/>
    <w:rsid w:val="002E676C"/>
    <w:rsid w:val="00312EA9"/>
    <w:rsid w:val="003357EF"/>
    <w:rsid w:val="0034566E"/>
    <w:rsid w:val="003A769C"/>
    <w:rsid w:val="003D6A1A"/>
    <w:rsid w:val="00400873"/>
    <w:rsid w:val="0045144F"/>
    <w:rsid w:val="004B73C3"/>
    <w:rsid w:val="004E23A1"/>
    <w:rsid w:val="00533724"/>
    <w:rsid w:val="00561C7A"/>
    <w:rsid w:val="00576102"/>
    <w:rsid w:val="0059268A"/>
    <w:rsid w:val="0059472A"/>
    <w:rsid w:val="006072EE"/>
    <w:rsid w:val="00621D75"/>
    <w:rsid w:val="00670D7B"/>
    <w:rsid w:val="006B1B71"/>
    <w:rsid w:val="006B3121"/>
    <w:rsid w:val="006D388A"/>
    <w:rsid w:val="006D7B1F"/>
    <w:rsid w:val="006E4B5B"/>
    <w:rsid w:val="006F45B8"/>
    <w:rsid w:val="0071705C"/>
    <w:rsid w:val="0076536A"/>
    <w:rsid w:val="00782B8B"/>
    <w:rsid w:val="007B3D53"/>
    <w:rsid w:val="0085468A"/>
    <w:rsid w:val="0086128B"/>
    <w:rsid w:val="008618F2"/>
    <w:rsid w:val="00887962"/>
    <w:rsid w:val="008E7CE2"/>
    <w:rsid w:val="00921DAB"/>
    <w:rsid w:val="00942B68"/>
    <w:rsid w:val="00953100"/>
    <w:rsid w:val="009E3CFA"/>
    <w:rsid w:val="009E6820"/>
    <w:rsid w:val="00A141B2"/>
    <w:rsid w:val="00A15939"/>
    <w:rsid w:val="00A40D2D"/>
    <w:rsid w:val="00A76CCA"/>
    <w:rsid w:val="00A956EF"/>
    <w:rsid w:val="00AA58A5"/>
    <w:rsid w:val="00AC489A"/>
    <w:rsid w:val="00B22445"/>
    <w:rsid w:val="00B30DDC"/>
    <w:rsid w:val="00B6319A"/>
    <w:rsid w:val="00B75720"/>
    <w:rsid w:val="00C045A8"/>
    <w:rsid w:val="00C33645"/>
    <w:rsid w:val="00C471D1"/>
    <w:rsid w:val="00C50A0E"/>
    <w:rsid w:val="00C942EA"/>
    <w:rsid w:val="00D10219"/>
    <w:rsid w:val="00D316B2"/>
    <w:rsid w:val="00D460DA"/>
    <w:rsid w:val="00D63F62"/>
    <w:rsid w:val="00D942A7"/>
    <w:rsid w:val="00DD7A5B"/>
    <w:rsid w:val="00DF6819"/>
    <w:rsid w:val="00E07091"/>
    <w:rsid w:val="00E134B8"/>
    <w:rsid w:val="00E15C84"/>
    <w:rsid w:val="00EC4E91"/>
    <w:rsid w:val="00EE0175"/>
    <w:rsid w:val="00EE325C"/>
    <w:rsid w:val="00F3065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EA35E"/>
  <w15:chartTrackingRefBased/>
  <w15:docId w15:val="{FC8664F2-0968-421D-A963-DF8D3470C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82B8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A141B2"/>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link w:val="Heading4Char"/>
    <w:uiPriority w:val="9"/>
    <w:qFormat/>
    <w:rsid w:val="00A141B2"/>
    <w:pPr>
      <w:spacing w:before="100" w:beforeAutospacing="1" w:after="100" w:afterAutospacing="1" w:line="240" w:lineRule="auto"/>
      <w:outlineLvl w:val="3"/>
    </w:pPr>
    <w:rPr>
      <w:rFonts w:ascii="Times New Roman" w:eastAsia="Times New Roman" w:hAnsi="Times New Roman" w:cs="Times New Roman"/>
      <w:b/>
      <w:bCs/>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141B2"/>
    <w:rPr>
      <w:rFonts w:ascii="Times New Roman" w:eastAsia="Times New Roman" w:hAnsi="Times New Roman" w:cs="Times New Roman"/>
      <w:b/>
      <w:bCs/>
      <w:sz w:val="27"/>
      <w:szCs w:val="27"/>
      <w:lang w:eastAsia="en-IN"/>
    </w:rPr>
  </w:style>
  <w:style w:type="character" w:customStyle="1" w:styleId="Heading4Char">
    <w:name w:val="Heading 4 Char"/>
    <w:basedOn w:val="DefaultParagraphFont"/>
    <w:link w:val="Heading4"/>
    <w:uiPriority w:val="9"/>
    <w:rsid w:val="00A141B2"/>
    <w:rPr>
      <w:rFonts w:ascii="Times New Roman" w:eastAsia="Times New Roman" w:hAnsi="Times New Roman" w:cs="Times New Roman"/>
      <w:b/>
      <w:bCs/>
      <w:sz w:val="24"/>
      <w:szCs w:val="24"/>
      <w:lang w:eastAsia="en-IN"/>
    </w:rPr>
  </w:style>
  <w:style w:type="paragraph" w:styleId="NormalWeb">
    <w:name w:val="Normal (Web)"/>
    <w:basedOn w:val="Normal"/>
    <w:uiPriority w:val="99"/>
    <w:semiHidden/>
    <w:unhideWhenUsed/>
    <w:rsid w:val="00A141B2"/>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A141B2"/>
    <w:rPr>
      <w:b/>
      <w:bCs/>
    </w:rPr>
  </w:style>
  <w:style w:type="character" w:styleId="Emphasis">
    <w:name w:val="Emphasis"/>
    <w:basedOn w:val="DefaultParagraphFont"/>
    <w:uiPriority w:val="20"/>
    <w:qFormat/>
    <w:rsid w:val="00A141B2"/>
    <w:rPr>
      <w:i/>
      <w:iCs/>
    </w:rPr>
  </w:style>
  <w:style w:type="paragraph" w:styleId="NoSpacing">
    <w:name w:val="No Spacing"/>
    <w:uiPriority w:val="1"/>
    <w:qFormat/>
    <w:rsid w:val="00A141B2"/>
    <w:pPr>
      <w:spacing w:after="0" w:line="240" w:lineRule="auto"/>
    </w:pPr>
  </w:style>
  <w:style w:type="character" w:customStyle="1" w:styleId="Heading1Char">
    <w:name w:val="Heading 1 Char"/>
    <w:basedOn w:val="DefaultParagraphFont"/>
    <w:link w:val="Heading1"/>
    <w:uiPriority w:val="9"/>
    <w:rsid w:val="00782B8B"/>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8618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531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31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319A"/>
  </w:style>
  <w:style w:type="paragraph" w:styleId="Footer">
    <w:name w:val="footer"/>
    <w:basedOn w:val="Normal"/>
    <w:link w:val="FooterChar"/>
    <w:uiPriority w:val="99"/>
    <w:unhideWhenUsed/>
    <w:rsid w:val="00B631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3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9385">
      <w:bodyDiv w:val="1"/>
      <w:marLeft w:val="0"/>
      <w:marRight w:val="0"/>
      <w:marTop w:val="0"/>
      <w:marBottom w:val="0"/>
      <w:divBdr>
        <w:top w:val="none" w:sz="0" w:space="0" w:color="auto"/>
        <w:left w:val="none" w:sz="0" w:space="0" w:color="auto"/>
        <w:bottom w:val="none" w:sz="0" w:space="0" w:color="auto"/>
        <w:right w:val="none" w:sz="0" w:space="0" w:color="auto"/>
      </w:divBdr>
    </w:div>
    <w:div w:id="42414070">
      <w:bodyDiv w:val="1"/>
      <w:marLeft w:val="0"/>
      <w:marRight w:val="0"/>
      <w:marTop w:val="0"/>
      <w:marBottom w:val="0"/>
      <w:divBdr>
        <w:top w:val="none" w:sz="0" w:space="0" w:color="auto"/>
        <w:left w:val="none" w:sz="0" w:space="0" w:color="auto"/>
        <w:bottom w:val="none" w:sz="0" w:space="0" w:color="auto"/>
        <w:right w:val="none" w:sz="0" w:space="0" w:color="auto"/>
      </w:divBdr>
    </w:div>
    <w:div w:id="85465321">
      <w:bodyDiv w:val="1"/>
      <w:marLeft w:val="0"/>
      <w:marRight w:val="0"/>
      <w:marTop w:val="0"/>
      <w:marBottom w:val="0"/>
      <w:divBdr>
        <w:top w:val="none" w:sz="0" w:space="0" w:color="auto"/>
        <w:left w:val="none" w:sz="0" w:space="0" w:color="auto"/>
        <w:bottom w:val="none" w:sz="0" w:space="0" w:color="auto"/>
        <w:right w:val="none" w:sz="0" w:space="0" w:color="auto"/>
      </w:divBdr>
    </w:div>
    <w:div w:id="103042024">
      <w:bodyDiv w:val="1"/>
      <w:marLeft w:val="0"/>
      <w:marRight w:val="0"/>
      <w:marTop w:val="0"/>
      <w:marBottom w:val="0"/>
      <w:divBdr>
        <w:top w:val="none" w:sz="0" w:space="0" w:color="auto"/>
        <w:left w:val="none" w:sz="0" w:space="0" w:color="auto"/>
        <w:bottom w:val="none" w:sz="0" w:space="0" w:color="auto"/>
        <w:right w:val="none" w:sz="0" w:space="0" w:color="auto"/>
      </w:divBdr>
    </w:div>
    <w:div w:id="128743914">
      <w:bodyDiv w:val="1"/>
      <w:marLeft w:val="0"/>
      <w:marRight w:val="0"/>
      <w:marTop w:val="0"/>
      <w:marBottom w:val="0"/>
      <w:divBdr>
        <w:top w:val="none" w:sz="0" w:space="0" w:color="auto"/>
        <w:left w:val="none" w:sz="0" w:space="0" w:color="auto"/>
        <w:bottom w:val="none" w:sz="0" w:space="0" w:color="auto"/>
        <w:right w:val="none" w:sz="0" w:space="0" w:color="auto"/>
      </w:divBdr>
    </w:div>
    <w:div w:id="216666326">
      <w:bodyDiv w:val="1"/>
      <w:marLeft w:val="0"/>
      <w:marRight w:val="0"/>
      <w:marTop w:val="0"/>
      <w:marBottom w:val="0"/>
      <w:divBdr>
        <w:top w:val="none" w:sz="0" w:space="0" w:color="auto"/>
        <w:left w:val="none" w:sz="0" w:space="0" w:color="auto"/>
        <w:bottom w:val="none" w:sz="0" w:space="0" w:color="auto"/>
        <w:right w:val="none" w:sz="0" w:space="0" w:color="auto"/>
      </w:divBdr>
    </w:div>
    <w:div w:id="256058513">
      <w:bodyDiv w:val="1"/>
      <w:marLeft w:val="0"/>
      <w:marRight w:val="0"/>
      <w:marTop w:val="0"/>
      <w:marBottom w:val="0"/>
      <w:divBdr>
        <w:top w:val="none" w:sz="0" w:space="0" w:color="auto"/>
        <w:left w:val="none" w:sz="0" w:space="0" w:color="auto"/>
        <w:bottom w:val="none" w:sz="0" w:space="0" w:color="auto"/>
        <w:right w:val="none" w:sz="0" w:space="0" w:color="auto"/>
      </w:divBdr>
    </w:div>
    <w:div w:id="403334698">
      <w:bodyDiv w:val="1"/>
      <w:marLeft w:val="0"/>
      <w:marRight w:val="0"/>
      <w:marTop w:val="0"/>
      <w:marBottom w:val="0"/>
      <w:divBdr>
        <w:top w:val="none" w:sz="0" w:space="0" w:color="auto"/>
        <w:left w:val="none" w:sz="0" w:space="0" w:color="auto"/>
        <w:bottom w:val="none" w:sz="0" w:space="0" w:color="auto"/>
        <w:right w:val="none" w:sz="0" w:space="0" w:color="auto"/>
      </w:divBdr>
    </w:div>
    <w:div w:id="447162769">
      <w:bodyDiv w:val="1"/>
      <w:marLeft w:val="0"/>
      <w:marRight w:val="0"/>
      <w:marTop w:val="0"/>
      <w:marBottom w:val="0"/>
      <w:divBdr>
        <w:top w:val="none" w:sz="0" w:space="0" w:color="auto"/>
        <w:left w:val="none" w:sz="0" w:space="0" w:color="auto"/>
        <w:bottom w:val="none" w:sz="0" w:space="0" w:color="auto"/>
        <w:right w:val="none" w:sz="0" w:space="0" w:color="auto"/>
      </w:divBdr>
    </w:div>
    <w:div w:id="520704359">
      <w:bodyDiv w:val="1"/>
      <w:marLeft w:val="0"/>
      <w:marRight w:val="0"/>
      <w:marTop w:val="0"/>
      <w:marBottom w:val="0"/>
      <w:divBdr>
        <w:top w:val="none" w:sz="0" w:space="0" w:color="auto"/>
        <w:left w:val="none" w:sz="0" w:space="0" w:color="auto"/>
        <w:bottom w:val="none" w:sz="0" w:space="0" w:color="auto"/>
        <w:right w:val="none" w:sz="0" w:space="0" w:color="auto"/>
      </w:divBdr>
    </w:div>
    <w:div w:id="558439863">
      <w:bodyDiv w:val="1"/>
      <w:marLeft w:val="0"/>
      <w:marRight w:val="0"/>
      <w:marTop w:val="0"/>
      <w:marBottom w:val="0"/>
      <w:divBdr>
        <w:top w:val="none" w:sz="0" w:space="0" w:color="auto"/>
        <w:left w:val="none" w:sz="0" w:space="0" w:color="auto"/>
        <w:bottom w:val="none" w:sz="0" w:space="0" w:color="auto"/>
        <w:right w:val="none" w:sz="0" w:space="0" w:color="auto"/>
      </w:divBdr>
    </w:div>
    <w:div w:id="583687235">
      <w:bodyDiv w:val="1"/>
      <w:marLeft w:val="0"/>
      <w:marRight w:val="0"/>
      <w:marTop w:val="0"/>
      <w:marBottom w:val="0"/>
      <w:divBdr>
        <w:top w:val="none" w:sz="0" w:space="0" w:color="auto"/>
        <w:left w:val="none" w:sz="0" w:space="0" w:color="auto"/>
        <w:bottom w:val="none" w:sz="0" w:space="0" w:color="auto"/>
        <w:right w:val="none" w:sz="0" w:space="0" w:color="auto"/>
      </w:divBdr>
    </w:div>
    <w:div w:id="621887825">
      <w:bodyDiv w:val="1"/>
      <w:marLeft w:val="0"/>
      <w:marRight w:val="0"/>
      <w:marTop w:val="0"/>
      <w:marBottom w:val="0"/>
      <w:divBdr>
        <w:top w:val="none" w:sz="0" w:space="0" w:color="auto"/>
        <w:left w:val="none" w:sz="0" w:space="0" w:color="auto"/>
        <w:bottom w:val="none" w:sz="0" w:space="0" w:color="auto"/>
        <w:right w:val="none" w:sz="0" w:space="0" w:color="auto"/>
      </w:divBdr>
    </w:div>
    <w:div w:id="670064536">
      <w:bodyDiv w:val="1"/>
      <w:marLeft w:val="0"/>
      <w:marRight w:val="0"/>
      <w:marTop w:val="0"/>
      <w:marBottom w:val="0"/>
      <w:divBdr>
        <w:top w:val="none" w:sz="0" w:space="0" w:color="auto"/>
        <w:left w:val="none" w:sz="0" w:space="0" w:color="auto"/>
        <w:bottom w:val="none" w:sz="0" w:space="0" w:color="auto"/>
        <w:right w:val="none" w:sz="0" w:space="0" w:color="auto"/>
      </w:divBdr>
    </w:div>
    <w:div w:id="684286120">
      <w:bodyDiv w:val="1"/>
      <w:marLeft w:val="0"/>
      <w:marRight w:val="0"/>
      <w:marTop w:val="0"/>
      <w:marBottom w:val="0"/>
      <w:divBdr>
        <w:top w:val="none" w:sz="0" w:space="0" w:color="auto"/>
        <w:left w:val="none" w:sz="0" w:space="0" w:color="auto"/>
        <w:bottom w:val="none" w:sz="0" w:space="0" w:color="auto"/>
        <w:right w:val="none" w:sz="0" w:space="0" w:color="auto"/>
      </w:divBdr>
      <w:divsChild>
        <w:div w:id="381440757">
          <w:marLeft w:val="0"/>
          <w:marRight w:val="0"/>
          <w:marTop w:val="0"/>
          <w:marBottom w:val="0"/>
          <w:divBdr>
            <w:top w:val="none" w:sz="0" w:space="0" w:color="auto"/>
            <w:left w:val="none" w:sz="0" w:space="0" w:color="auto"/>
            <w:bottom w:val="none" w:sz="0" w:space="0" w:color="auto"/>
            <w:right w:val="none" w:sz="0" w:space="0" w:color="auto"/>
          </w:divBdr>
        </w:div>
      </w:divsChild>
    </w:div>
    <w:div w:id="690646315">
      <w:bodyDiv w:val="1"/>
      <w:marLeft w:val="0"/>
      <w:marRight w:val="0"/>
      <w:marTop w:val="0"/>
      <w:marBottom w:val="0"/>
      <w:divBdr>
        <w:top w:val="none" w:sz="0" w:space="0" w:color="auto"/>
        <w:left w:val="none" w:sz="0" w:space="0" w:color="auto"/>
        <w:bottom w:val="none" w:sz="0" w:space="0" w:color="auto"/>
        <w:right w:val="none" w:sz="0" w:space="0" w:color="auto"/>
      </w:divBdr>
    </w:div>
    <w:div w:id="756445994">
      <w:bodyDiv w:val="1"/>
      <w:marLeft w:val="0"/>
      <w:marRight w:val="0"/>
      <w:marTop w:val="0"/>
      <w:marBottom w:val="0"/>
      <w:divBdr>
        <w:top w:val="none" w:sz="0" w:space="0" w:color="auto"/>
        <w:left w:val="none" w:sz="0" w:space="0" w:color="auto"/>
        <w:bottom w:val="none" w:sz="0" w:space="0" w:color="auto"/>
        <w:right w:val="none" w:sz="0" w:space="0" w:color="auto"/>
      </w:divBdr>
      <w:divsChild>
        <w:div w:id="119347710">
          <w:marLeft w:val="0"/>
          <w:marRight w:val="0"/>
          <w:marTop w:val="0"/>
          <w:marBottom w:val="0"/>
          <w:divBdr>
            <w:top w:val="none" w:sz="0" w:space="0" w:color="auto"/>
            <w:left w:val="none" w:sz="0" w:space="0" w:color="auto"/>
            <w:bottom w:val="none" w:sz="0" w:space="0" w:color="auto"/>
            <w:right w:val="none" w:sz="0" w:space="0" w:color="auto"/>
          </w:divBdr>
          <w:divsChild>
            <w:div w:id="2182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238629">
      <w:bodyDiv w:val="1"/>
      <w:marLeft w:val="0"/>
      <w:marRight w:val="0"/>
      <w:marTop w:val="0"/>
      <w:marBottom w:val="0"/>
      <w:divBdr>
        <w:top w:val="none" w:sz="0" w:space="0" w:color="auto"/>
        <w:left w:val="none" w:sz="0" w:space="0" w:color="auto"/>
        <w:bottom w:val="none" w:sz="0" w:space="0" w:color="auto"/>
        <w:right w:val="none" w:sz="0" w:space="0" w:color="auto"/>
      </w:divBdr>
    </w:div>
    <w:div w:id="909195483">
      <w:bodyDiv w:val="1"/>
      <w:marLeft w:val="0"/>
      <w:marRight w:val="0"/>
      <w:marTop w:val="0"/>
      <w:marBottom w:val="0"/>
      <w:divBdr>
        <w:top w:val="none" w:sz="0" w:space="0" w:color="auto"/>
        <w:left w:val="none" w:sz="0" w:space="0" w:color="auto"/>
        <w:bottom w:val="none" w:sz="0" w:space="0" w:color="auto"/>
        <w:right w:val="none" w:sz="0" w:space="0" w:color="auto"/>
      </w:divBdr>
    </w:div>
    <w:div w:id="948120013">
      <w:bodyDiv w:val="1"/>
      <w:marLeft w:val="0"/>
      <w:marRight w:val="0"/>
      <w:marTop w:val="0"/>
      <w:marBottom w:val="0"/>
      <w:divBdr>
        <w:top w:val="none" w:sz="0" w:space="0" w:color="auto"/>
        <w:left w:val="none" w:sz="0" w:space="0" w:color="auto"/>
        <w:bottom w:val="none" w:sz="0" w:space="0" w:color="auto"/>
        <w:right w:val="none" w:sz="0" w:space="0" w:color="auto"/>
      </w:divBdr>
    </w:div>
    <w:div w:id="952056756">
      <w:bodyDiv w:val="1"/>
      <w:marLeft w:val="0"/>
      <w:marRight w:val="0"/>
      <w:marTop w:val="0"/>
      <w:marBottom w:val="0"/>
      <w:divBdr>
        <w:top w:val="none" w:sz="0" w:space="0" w:color="auto"/>
        <w:left w:val="none" w:sz="0" w:space="0" w:color="auto"/>
        <w:bottom w:val="none" w:sz="0" w:space="0" w:color="auto"/>
        <w:right w:val="none" w:sz="0" w:space="0" w:color="auto"/>
      </w:divBdr>
    </w:div>
    <w:div w:id="1018191140">
      <w:bodyDiv w:val="1"/>
      <w:marLeft w:val="0"/>
      <w:marRight w:val="0"/>
      <w:marTop w:val="0"/>
      <w:marBottom w:val="0"/>
      <w:divBdr>
        <w:top w:val="none" w:sz="0" w:space="0" w:color="auto"/>
        <w:left w:val="none" w:sz="0" w:space="0" w:color="auto"/>
        <w:bottom w:val="none" w:sz="0" w:space="0" w:color="auto"/>
        <w:right w:val="none" w:sz="0" w:space="0" w:color="auto"/>
      </w:divBdr>
      <w:divsChild>
        <w:div w:id="610478138">
          <w:marLeft w:val="0"/>
          <w:marRight w:val="0"/>
          <w:marTop w:val="0"/>
          <w:marBottom w:val="0"/>
          <w:divBdr>
            <w:top w:val="none" w:sz="0" w:space="0" w:color="auto"/>
            <w:left w:val="none" w:sz="0" w:space="0" w:color="auto"/>
            <w:bottom w:val="none" w:sz="0" w:space="0" w:color="auto"/>
            <w:right w:val="none" w:sz="0" w:space="0" w:color="auto"/>
          </w:divBdr>
          <w:divsChild>
            <w:div w:id="775561056">
              <w:marLeft w:val="0"/>
              <w:marRight w:val="0"/>
              <w:marTop w:val="0"/>
              <w:marBottom w:val="0"/>
              <w:divBdr>
                <w:top w:val="none" w:sz="0" w:space="0" w:color="auto"/>
                <w:left w:val="none" w:sz="0" w:space="0" w:color="auto"/>
                <w:bottom w:val="none" w:sz="0" w:space="0" w:color="auto"/>
                <w:right w:val="none" w:sz="0" w:space="0" w:color="auto"/>
              </w:divBdr>
            </w:div>
          </w:divsChild>
        </w:div>
        <w:div w:id="981541515">
          <w:marLeft w:val="0"/>
          <w:marRight w:val="0"/>
          <w:marTop w:val="0"/>
          <w:marBottom w:val="0"/>
          <w:divBdr>
            <w:top w:val="none" w:sz="0" w:space="0" w:color="auto"/>
            <w:left w:val="none" w:sz="0" w:space="0" w:color="auto"/>
            <w:bottom w:val="none" w:sz="0" w:space="0" w:color="auto"/>
            <w:right w:val="none" w:sz="0" w:space="0" w:color="auto"/>
          </w:divBdr>
          <w:divsChild>
            <w:div w:id="96377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832379">
      <w:bodyDiv w:val="1"/>
      <w:marLeft w:val="0"/>
      <w:marRight w:val="0"/>
      <w:marTop w:val="0"/>
      <w:marBottom w:val="0"/>
      <w:divBdr>
        <w:top w:val="none" w:sz="0" w:space="0" w:color="auto"/>
        <w:left w:val="none" w:sz="0" w:space="0" w:color="auto"/>
        <w:bottom w:val="none" w:sz="0" w:space="0" w:color="auto"/>
        <w:right w:val="none" w:sz="0" w:space="0" w:color="auto"/>
      </w:divBdr>
    </w:div>
    <w:div w:id="1062288538">
      <w:bodyDiv w:val="1"/>
      <w:marLeft w:val="0"/>
      <w:marRight w:val="0"/>
      <w:marTop w:val="0"/>
      <w:marBottom w:val="0"/>
      <w:divBdr>
        <w:top w:val="none" w:sz="0" w:space="0" w:color="auto"/>
        <w:left w:val="none" w:sz="0" w:space="0" w:color="auto"/>
        <w:bottom w:val="none" w:sz="0" w:space="0" w:color="auto"/>
        <w:right w:val="none" w:sz="0" w:space="0" w:color="auto"/>
      </w:divBdr>
    </w:div>
    <w:div w:id="1171483244">
      <w:bodyDiv w:val="1"/>
      <w:marLeft w:val="0"/>
      <w:marRight w:val="0"/>
      <w:marTop w:val="0"/>
      <w:marBottom w:val="0"/>
      <w:divBdr>
        <w:top w:val="none" w:sz="0" w:space="0" w:color="auto"/>
        <w:left w:val="none" w:sz="0" w:space="0" w:color="auto"/>
        <w:bottom w:val="none" w:sz="0" w:space="0" w:color="auto"/>
        <w:right w:val="none" w:sz="0" w:space="0" w:color="auto"/>
      </w:divBdr>
    </w:div>
    <w:div w:id="1193692694">
      <w:bodyDiv w:val="1"/>
      <w:marLeft w:val="0"/>
      <w:marRight w:val="0"/>
      <w:marTop w:val="0"/>
      <w:marBottom w:val="0"/>
      <w:divBdr>
        <w:top w:val="none" w:sz="0" w:space="0" w:color="auto"/>
        <w:left w:val="none" w:sz="0" w:space="0" w:color="auto"/>
        <w:bottom w:val="none" w:sz="0" w:space="0" w:color="auto"/>
        <w:right w:val="none" w:sz="0" w:space="0" w:color="auto"/>
      </w:divBdr>
    </w:div>
    <w:div w:id="1232422588">
      <w:bodyDiv w:val="1"/>
      <w:marLeft w:val="0"/>
      <w:marRight w:val="0"/>
      <w:marTop w:val="0"/>
      <w:marBottom w:val="0"/>
      <w:divBdr>
        <w:top w:val="none" w:sz="0" w:space="0" w:color="auto"/>
        <w:left w:val="none" w:sz="0" w:space="0" w:color="auto"/>
        <w:bottom w:val="none" w:sz="0" w:space="0" w:color="auto"/>
        <w:right w:val="none" w:sz="0" w:space="0" w:color="auto"/>
      </w:divBdr>
    </w:div>
    <w:div w:id="1356611757">
      <w:bodyDiv w:val="1"/>
      <w:marLeft w:val="0"/>
      <w:marRight w:val="0"/>
      <w:marTop w:val="0"/>
      <w:marBottom w:val="0"/>
      <w:divBdr>
        <w:top w:val="none" w:sz="0" w:space="0" w:color="auto"/>
        <w:left w:val="none" w:sz="0" w:space="0" w:color="auto"/>
        <w:bottom w:val="none" w:sz="0" w:space="0" w:color="auto"/>
        <w:right w:val="none" w:sz="0" w:space="0" w:color="auto"/>
      </w:divBdr>
    </w:div>
    <w:div w:id="1386834610">
      <w:bodyDiv w:val="1"/>
      <w:marLeft w:val="0"/>
      <w:marRight w:val="0"/>
      <w:marTop w:val="0"/>
      <w:marBottom w:val="0"/>
      <w:divBdr>
        <w:top w:val="none" w:sz="0" w:space="0" w:color="auto"/>
        <w:left w:val="none" w:sz="0" w:space="0" w:color="auto"/>
        <w:bottom w:val="none" w:sz="0" w:space="0" w:color="auto"/>
        <w:right w:val="none" w:sz="0" w:space="0" w:color="auto"/>
      </w:divBdr>
    </w:div>
    <w:div w:id="1417822576">
      <w:bodyDiv w:val="1"/>
      <w:marLeft w:val="0"/>
      <w:marRight w:val="0"/>
      <w:marTop w:val="0"/>
      <w:marBottom w:val="0"/>
      <w:divBdr>
        <w:top w:val="none" w:sz="0" w:space="0" w:color="auto"/>
        <w:left w:val="none" w:sz="0" w:space="0" w:color="auto"/>
        <w:bottom w:val="none" w:sz="0" w:space="0" w:color="auto"/>
        <w:right w:val="none" w:sz="0" w:space="0" w:color="auto"/>
      </w:divBdr>
      <w:divsChild>
        <w:div w:id="298732104">
          <w:marLeft w:val="0"/>
          <w:marRight w:val="0"/>
          <w:marTop w:val="0"/>
          <w:marBottom w:val="0"/>
          <w:divBdr>
            <w:top w:val="none" w:sz="0" w:space="0" w:color="auto"/>
            <w:left w:val="none" w:sz="0" w:space="0" w:color="auto"/>
            <w:bottom w:val="none" w:sz="0" w:space="0" w:color="auto"/>
            <w:right w:val="none" w:sz="0" w:space="0" w:color="auto"/>
          </w:divBdr>
          <w:divsChild>
            <w:div w:id="132208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126941">
      <w:bodyDiv w:val="1"/>
      <w:marLeft w:val="0"/>
      <w:marRight w:val="0"/>
      <w:marTop w:val="0"/>
      <w:marBottom w:val="0"/>
      <w:divBdr>
        <w:top w:val="none" w:sz="0" w:space="0" w:color="auto"/>
        <w:left w:val="none" w:sz="0" w:space="0" w:color="auto"/>
        <w:bottom w:val="none" w:sz="0" w:space="0" w:color="auto"/>
        <w:right w:val="none" w:sz="0" w:space="0" w:color="auto"/>
      </w:divBdr>
    </w:div>
    <w:div w:id="1497838518">
      <w:bodyDiv w:val="1"/>
      <w:marLeft w:val="0"/>
      <w:marRight w:val="0"/>
      <w:marTop w:val="0"/>
      <w:marBottom w:val="0"/>
      <w:divBdr>
        <w:top w:val="none" w:sz="0" w:space="0" w:color="auto"/>
        <w:left w:val="none" w:sz="0" w:space="0" w:color="auto"/>
        <w:bottom w:val="none" w:sz="0" w:space="0" w:color="auto"/>
        <w:right w:val="none" w:sz="0" w:space="0" w:color="auto"/>
      </w:divBdr>
    </w:div>
    <w:div w:id="1510755572">
      <w:bodyDiv w:val="1"/>
      <w:marLeft w:val="0"/>
      <w:marRight w:val="0"/>
      <w:marTop w:val="0"/>
      <w:marBottom w:val="0"/>
      <w:divBdr>
        <w:top w:val="none" w:sz="0" w:space="0" w:color="auto"/>
        <w:left w:val="none" w:sz="0" w:space="0" w:color="auto"/>
        <w:bottom w:val="none" w:sz="0" w:space="0" w:color="auto"/>
        <w:right w:val="none" w:sz="0" w:space="0" w:color="auto"/>
      </w:divBdr>
    </w:div>
    <w:div w:id="1565529789">
      <w:bodyDiv w:val="1"/>
      <w:marLeft w:val="0"/>
      <w:marRight w:val="0"/>
      <w:marTop w:val="0"/>
      <w:marBottom w:val="0"/>
      <w:divBdr>
        <w:top w:val="none" w:sz="0" w:space="0" w:color="auto"/>
        <w:left w:val="none" w:sz="0" w:space="0" w:color="auto"/>
        <w:bottom w:val="none" w:sz="0" w:space="0" w:color="auto"/>
        <w:right w:val="none" w:sz="0" w:space="0" w:color="auto"/>
      </w:divBdr>
    </w:div>
    <w:div w:id="1616323570">
      <w:bodyDiv w:val="1"/>
      <w:marLeft w:val="0"/>
      <w:marRight w:val="0"/>
      <w:marTop w:val="0"/>
      <w:marBottom w:val="0"/>
      <w:divBdr>
        <w:top w:val="none" w:sz="0" w:space="0" w:color="auto"/>
        <w:left w:val="none" w:sz="0" w:space="0" w:color="auto"/>
        <w:bottom w:val="none" w:sz="0" w:space="0" w:color="auto"/>
        <w:right w:val="none" w:sz="0" w:space="0" w:color="auto"/>
      </w:divBdr>
    </w:div>
    <w:div w:id="1632590427">
      <w:bodyDiv w:val="1"/>
      <w:marLeft w:val="0"/>
      <w:marRight w:val="0"/>
      <w:marTop w:val="0"/>
      <w:marBottom w:val="0"/>
      <w:divBdr>
        <w:top w:val="none" w:sz="0" w:space="0" w:color="auto"/>
        <w:left w:val="none" w:sz="0" w:space="0" w:color="auto"/>
        <w:bottom w:val="none" w:sz="0" w:space="0" w:color="auto"/>
        <w:right w:val="none" w:sz="0" w:space="0" w:color="auto"/>
      </w:divBdr>
      <w:divsChild>
        <w:div w:id="1796213309">
          <w:marLeft w:val="0"/>
          <w:marRight w:val="0"/>
          <w:marTop w:val="0"/>
          <w:marBottom w:val="0"/>
          <w:divBdr>
            <w:top w:val="none" w:sz="0" w:space="0" w:color="auto"/>
            <w:left w:val="none" w:sz="0" w:space="0" w:color="auto"/>
            <w:bottom w:val="none" w:sz="0" w:space="0" w:color="auto"/>
            <w:right w:val="none" w:sz="0" w:space="0" w:color="auto"/>
          </w:divBdr>
          <w:divsChild>
            <w:div w:id="71041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498317">
      <w:bodyDiv w:val="1"/>
      <w:marLeft w:val="0"/>
      <w:marRight w:val="0"/>
      <w:marTop w:val="0"/>
      <w:marBottom w:val="0"/>
      <w:divBdr>
        <w:top w:val="none" w:sz="0" w:space="0" w:color="auto"/>
        <w:left w:val="none" w:sz="0" w:space="0" w:color="auto"/>
        <w:bottom w:val="none" w:sz="0" w:space="0" w:color="auto"/>
        <w:right w:val="none" w:sz="0" w:space="0" w:color="auto"/>
      </w:divBdr>
    </w:div>
    <w:div w:id="1820414724">
      <w:bodyDiv w:val="1"/>
      <w:marLeft w:val="0"/>
      <w:marRight w:val="0"/>
      <w:marTop w:val="0"/>
      <w:marBottom w:val="0"/>
      <w:divBdr>
        <w:top w:val="none" w:sz="0" w:space="0" w:color="auto"/>
        <w:left w:val="none" w:sz="0" w:space="0" w:color="auto"/>
        <w:bottom w:val="none" w:sz="0" w:space="0" w:color="auto"/>
        <w:right w:val="none" w:sz="0" w:space="0" w:color="auto"/>
      </w:divBdr>
    </w:div>
    <w:div w:id="1947617413">
      <w:bodyDiv w:val="1"/>
      <w:marLeft w:val="0"/>
      <w:marRight w:val="0"/>
      <w:marTop w:val="0"/>
      <w:marBottom w:val="0"/>
      <w:divBdr>
        <w:top w:val="none" w:sz="0" w:space="0" w:color="auto"/>
        <w:left w:val="none" w:sz="0" w:space="0" w:color="auto"/>
        <w:bottom w:val="none" w:sz="0" w:space="0" w:color="auto"/>
        <w:right w:val="none" w:sz="0" w:space="0" w:color="auto"/>
      </w:divBdr>
    </w:div>
    <w:div w:id="2013144637">
      <w:bodyDiv w:val="1"/>
      <w:marLeft w:val="0"/>
      <w:marRight w:val="0"/>
      <w:marTop w:val="0"/>
      <w:marBottom w:val="0"/>
      <w:divBdr>
        <w:top w:val="none" w:sz="0" w:space="0" w:color="auto"/>
        <w:left w:val="none" w:sz="0" w:space="0" w:color="auto"/>
        <w:bottom w:val="none" w:sz="0" w:space="0" w:color="auto"/>
        <w:right w:val="none" w:sz="0" w:space="0" w:color="auto"/>
      </w:divBdr>
    </w:div>
    <w:div w:id="2081323044">
      <w:bodyDiv w:val="1"/>
      <w:marLeft w:val="0"/>
      <w:marRight w:val="0"/>
      <w:marTop w:val="0"/>
      <w:marBottom w:val="0"/>
      <w:divBdr>
        <w:top w:val="none" w:sz="0" w:space="0" w:color="auto"/>
        <w:left w:val="none" w:sz="0" w:space="0" w:color="auto"/>
        <w:bottom w:val="none" w:sz="0" w:space="0" w:color="auto"/>
        <w:right w:val="none" w:sz="0" w:space="0" w:color="auto"/>
      </w:divBdr>
    </w:div>
    <w:div w:id="2101297042">
      <w:bodyDiv w:val="1"/>
      <w:marLeft w:val="0"/>
      <w:marRight w:val="0"/>
      <w:marTop w:val="0"/>
      <w:marBottom w:val="0"/>
      <w:divBdr>
        <w:top w:val="none" w:sz="0" w:space="0" w:color="auto"/>
        <w:left w:val="none" w:sz="0" w:space="0" w:color="auto"/>
        <w:bottom w:val="none" w:sz="0" w:space="0" w:color="auto"/>
        <w:right w:val="none" w:sz="0" w:space="0" w:color="auto"/>
      </w:divBdr>
    </w:div>
    <w:div w:id="2104374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15</Pages>
  <Words>2732</Words>
  <Characters>15579</Characters>
  <Application>Microsoft Office Word</Application>
  <DocSecurity>0</DocSecurity>
  <Lines>129</Lines>
  <Paragraphs>36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Structure:</vt:lpstr>
      <vt:lpstr>Supplementary Table S8: Certainty of Evidence (GRADE Framework) for Network Meta</vt:lpstr>
    </vt:vector>
  </TitlesOfParts>
  <Company>HP Inc.</Company>
  <LinksUpToDate>false</LinksUpToDate>
  <CharactersWithSpaces>18275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50</cp:revision>
  <dcterms:created xsi:type="dcterms:W3CDTF">2026-04-08T10:48:00Z</dcterms:created>
  <dcterms:modified xsi:type="dcterms:W3CDTF">2026-08-05T05:16:00Z</dcterms:modified>
</cp:coreProperties>
</file>