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677" w:rsidRPr="00B75489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Pr="00B75489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75489">
        <w:rPr>
          <w:rFonts w:asciiTheme="majorBidi" w:hAnsiTheme="majorBidi" w:cstheme="majorBidi"/>
          <w:b/>
          <w:bCs/>
          <w:sz w:val="24"/>
          <w:szCs w:val="24"/>
        </w:rPr>
        <w:t>Appendix Table 1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B75489">
        <w:rPr>
          <w:rFonts w:asciiTheme="majorBidi" w:hAnsiTheme="majorBidi" w:cstheme="majorBidi"/>
          <w:b/>
          <w:bCs/>
          <w:sz w:val="24"/>
          <w:szCs w:val="24"/>
        </w:rPr>
        <w:t>Health Questions used to develop this Adapted CPG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7809"/>
      </w:tblGrid>
      <w:tr w:rsidR="00243677" w:rsidRPr="00B75489" w:rsidTr="006549FA">
        <w:tc>
          <w:tcPr>
            <w:tcW w:w="8997" w:type="dxa"/>
            <w:gridSpan w:val="2"/>
            <w:shd w:val="clear" w:color="auto" w:fill="D9D9D9" w:themeFill="background1" w:themeFillShade="D9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</w:rPr>
              <w:t>Diagnosis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1a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In infants presenting to hospital or hospitalized, how could clinicians diagnose acute bronchiolitis?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1b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>In infants presenting to hospital what factors in history and physical examination contribute to a differential diagnosis of bronchiolitis?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2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In infants presenting to hospital with bronchiolitis, what are the risk factors for admission or severe disease?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3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 xml:space="preserve">In infants presenting to hospital or hospitalized with bronchiolitis, does performing a CXR beneficially change medical treatment or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4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 xml:space="preserve">In infants presenting to hospital or hospitalized with bronchiolitis, does performing laboratory tests (blood and/or urine) beneficially change medical treatment or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5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>In infants presenting to hospital or hospitalized with bronchiolitis, does performing virological investigations beneficially change medical treatment or clinically relevant end-points?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6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>For infants presenting to hospital or hospitalized with bronchiolitis, does use of a bronchiolitis scoring system beneficially change medical treatment or clinically relevant end-points?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7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 xml:space="preserve">For infants presenting to hospital or hospitalized with bronchiolitis, what criteria should be used for safe discharge? </w:t>
            </w:r>
          </w:p>
        </w:tc>
      </w:tr>
      <w:tr w:rsidR="00243677" w:rsidRPr="00B75489" w:rsidTr="006549FA">
        <w:tc>
          <w:tcPr>
            <w:tcW w:w="8997" w:type="dxa"/>
            <w:gridSpan w:val="2"/>
            <w:shd w:val="clear" w:color="auto" w:fill="D9D9D9" w:themeFill="background1" w:themeFillShade="D9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</w:rPr>
              <w:t>Treatment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8a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 xml:space="preserve">In infants and children presenting to hospital or hospitalized with bronchiolitis, does administration of Beta2 agonists improve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8b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 xml:space="preserve">In infants presenting to hospital or hospitalized with bronchiolitis, with a personal or family history of atopy, does administration of Beta2 Agonists improve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9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 xml:space="preserve">In infants presenting to hospital or hospitalized with bronchiolitis, does administration of nebulised hypertonic saline improve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10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>Does the inhaled Epinephrine improve clinically relevant outcome?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11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 xml:space="preserve">In infants presenting to hospital or hospitalized with bronchiolitis, does administration of the combination of glucocorticoids (systemic or inhaled) and adrenaline improve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12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Does the use of corticosteroids improve clinically relevant outcome?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13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Does the use of antiviral treatment improve clinically relevant outcome?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14a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 xml:space="preserve">In infants presenting to hospital or hospitalized with bronchiolitis, does administration of supplemental oxygen improve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14b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 xml:space="preserve">In infants presenting to hospital or hospitalized with bronchiolitis, what level of oxygen saturation should lead to commencement or discontinuation of supplemental oxygen to improve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14c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 xml:space="preserve">In infants hospitalized with bronchiolitis does the use of heated humidified high flow oxygen, or air, via nasal cannula improve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15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 xml:space="preserve">In infants hospitalized with bronchiolitis does continuous monitoring of pulse oximetry beneficially change medical treatment or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16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In infants hospitalized with bronchiolitis, does chest physiotherapy improve clinically relevant end-points?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17a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 xml:space="preserve">In infants hospitalized with bronchiolitis, does suctioning of the nose or naso pharynx improve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17b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 xml:space="preserve">In infants hospitalized with bronchiolitis, does the use of nasal saline drops improve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18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 xml:space="preserve">In infants hospitalized with bronchiolitis, does the use of CPAP improve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19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 xml:space="preserve">In infants hospitalized with bronchiolitis, is providing home oxygen a safe alternative for treatment?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20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 xml:space="preserve">  In infants presenting to hospital or hospitalized with bronchiolitis, does the use of antibiotic medication improve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lastRenderedPageBreak/>
              <w:t>Q 21a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In infants presenting to hospital or hospitalized with bronchiolitis, does hydration (oral &amp; non-oral) improve clinically relevant end-points?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21b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>In infants presenting to hospital or hospitalized with bronchiolitis, what forms of non-oral hydration improve clinically relevant end-points?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21c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pStyle w:val="Default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In infants presenting to hospital or hospitalized with bronchiolitis, does limiting the volume of non-oral hydration impact on clinical relevant end-points?</w:t>
            </w:r>
          </w:p>
        </w:tc>
      </w:tr>
      <w:tr w:rsidR="00243677" w:rsidRPr="00B75489" w:rsidTr="006549FA">
        <w:tc>
          <w:tcPr>
            <w:tcW w:w="8997" w:type="dxa"/>
            <w:gridSpan w:val="2"/>
            <w:shd w:val="clear" w:color="auto" w:fill="D9D9D9" w:themeFill="background1" w:themeFillShade="D9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highlight w:val="yellow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</w:rPr>
              <w:t>Prevention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22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 xml:space="preserve">What are the criteria for giving Palivizumab prophylaxis to infants and children by a clinician?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23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 xml:space="preserve">How the clinicians prescribe the dose,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frequency, and duration of the P</w:t>
            </w:r>
            <w:r w:rsidRPr="00B75489">
              <w:rPr>
                <w:rFonts w:asciiTheme="majorBidi" w:hAnsiTheme="majorBidi" w:cstheme="majorBidi"/>
                <w:sz w:val="20"/>
                <w:szCs w:val="20"/>
              </w:rPr>
              <w:t xml:space="preserve">alivizumab prophylaxis to the selected infants?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24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 xml:space="preserve">In infants presenting to hospital or hospitalized with bronchiolitis, does infection control practices (hand decontamination) improve clinically relevant end-points?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25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 xml:space="preserve">What is the </w:t>
            </w:r>
            <w:r w:rsidRPr="00B7548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preferred disinfectant to be used by the clinician</w:t>
            </w:r>
            <w:r w:rsidRPr="00B75489">
              <w:rPr>
                <w:rFonts w:asciiTheme="majorBidi" w:hAnsiTheme="majorBidi" w:cstheme="majorBidi"/>
                <w:sz w:val="20"/>
                <w:szCs w:val="20"/>
              </w:rPr>
              <w:t>?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26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>Should the clinicians educate personnel and family members on hand sanitation?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27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spacing w:after="200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 xml:space="preserve">Does tobacco smoking affect the clinical outcome in treatment of bronchiolitis in infants and children? </w:t>
            </w:r>
          </w:p>
        </w:tc>
      </w:tr>
      <w:tr w:rsidR="00243677" w:rsidRPr="00B75489" w:rsidTr="006549FA">
        <w:tc>
          <w:tcPr>
            <w:tcW w:w="1188" w:type="dxa"/>
          </w:tcPr>
          <w:p w:rsidR="00243677" w:rsidRPr="00B75489" w:rsidRDefault="00243677" w:rsidP="006549FA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Q 28</w:t>
            </w:r>
          </w:p>
        </w:tc>
        <w:tc>
          <w:tcPr>
            <w:tcW w:w="7809" w:type="dxa"/>
          </w:tcPr>
          <w:p w:rsidR="00243677" w:rsidRPr="00B75489" w:rsidRDefault="00243677" w:rsidP="006549FA">
            <w:pPr>
              <w:spacing w:after="200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sz w:val="20"/>
                <w:szCs w:val="20"/>
              </w:rPr>
              <w:t xml:space="preserve"> Does breastfeeding affect the risk of having lower respiratory tract disease in infants?</w:t>
            </w:r>
          </w:p>
        </w:tc>
      </w:tr>
    </w:tbl>
    <w:p w:rsidR="00243677" w:rsidRPr="00243677" w:rsidRDefault="00243677" w:rsidP="00243677">
      <w:pPr>
        <w:rPr>
          <w:rFonts w:asciiTheme="majorBidi" w:hAnsiTheme="majorBidi" w:cstheme="majorBidi"/>
          <w:i/>
          <w:iCs/>
          <w:sz w:val="20"/>
          <w:szCs w:val="20"/>
        </w:rPr>
      </w:pPr>
      <w:r w:rsidRPr="00243677">
        <w:rPr>
          <w:rFonts w:asciiTheme="majorBidi" w:hAnsiTheme="majorBidi" w:cstheme="majorBidi"/>
          <w:b/>
          <w:bCs/>
          <w:i/>
          <w:iCs/>
          <w:sz w:val="20"/>
          <w:szCs w:val="20"/>
        </w:rPr>
        <w:t>Abbreviations:</w:t>
      </w:r>
      <w:r w:rsidRPr="00243677">
        <w:rPr>
          <w:rFonts w:asciiTheme="majorBidi" w:hAnsiTheme="majorBidi" w:cstheme="majorBidi"/>
          <w:i/>
          <w:iCs/>
          <w:sz w:val="20"/>
          <w:szCs w:val="20"/>
        </w:rPr>
        <w:t xml:space="preserve"> CPAP: Continuous Positive Airway Pressure, CPG: clinical practice guideline, CXR: Chest X-ray, </w:t>
      </w:r>
      <w:r w:rsidRPr="00243677">
        <w:rPr>
          <w:rFonts w:asciiTheme="majorBidi" w:hAnsiTheme="majorBidi" w:cstheme="majorBidi"/>
          <w:i/>
          <w:iCs/>
          <w:sz w:val="20"/>
          <w:szCs w:val="20"/>
        </w:rPr>
        <w:t xml:space="preserve">Q: </w:t>
      </w:r>
      <w:r w:rsidRPr="00243677">
        <w:rPr>
          <w:rFonts w:asciiTheme="majorBidi" w:hAnsiTheme="majorBidi" w:cstheme="majorBidi"/>
          <w:i/>
          <w:iCs/>
          <w:sz w:val="20"/>
          <w:szCs w:val="20"/>
        </w:rPr>
        <w:t xml:space="preserve">(health) </w:t>
      </w:r>
      <w:r w:rsidRPr="00243677">
        <w:rPr>
          <w:rFonts w:asciiTheme="majorBidi" w:hAnsiTheme="majorBidi" w:cstheme="majorBidi"/>
          <w:i/>
          <w:iCs/>
          <w:sz w:val="20"/>
          <w:szCs w:val="20"/>
        </w:rPr>
        <w:t>question,</w:t>
      </w: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Pr="00B75489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43677" w:rsidRPr="00B75489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75489">
        <w:rPr>
          <w:rFonts w:asciiTheme="majorBidi" w:hAnsiTheme="majorBidi" w:cstheme="majorBidi"/>
          <w:b/>
          <w:bCs/>
          <w:sz w:val="24"/>
          <w:szCs w:val="24"/>
        </w:rPr>
        <w:t xml:space="preserve">Appendix </w:t>
      </w:r>
      <w:r>
        <w:rPr>
          <w:rFonts w:asciiTheme="majorBidi" w:hAnsiTheme="majorBidi" w:cstheme="majorBidi"/>
          <w:b/>
          <w:bCs/>
          <w:sz w:val="24"/>
          <w:szCs w:val="24"/>
        </w:rPr>
        <w:t>T</w:t>
      </w:r>
      <w:r w:rsidRPr="00B75489">
        <w:rPr>
          <w:rFonts w:asciiTheme="majorBidi" w:hAnsiTheme="majorBidi" w:cstheme="majorBidi"/>
          <w:b/>
          <w:bCs/>
          <w:sz w:val="24"/>
          <w:szCs w:val="24"/>
        </w:rPr>
        <w:t>able 2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B75489">
        <w:rPr>
          <w:rFonts w:asciiTheme="majorBidi" w:hAnsiTheme="majorBidi" w:cstheme="majorBidi"/>
          <w:b/>
          <w:bCs/>
          <w:sz w:val="24"/>
          <w:szCs w:val="24"/>
        </w:rPr>
        <w:t>AGREE II domain scores for the assessed CPGs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243677" w:rsidRPr="00B75489" w:rsidTr="006549FA">
        <w:tc>
          <w:tcPr>
            <w:tcW w:w="3006" w:type="dxa"/>
            <w:shd w:val="clear" w:color="auto" w:fill="D9D9D9" w:themeFill="background1" w:themeFillShade="D9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AGREE II D</w:t>
            </w: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omains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AAP</w:t>
            </w:r>
            <w:r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 xml:space="preserve"> CPG </w:t>
            </w: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2014-2018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 xml:space="preserve">PREDIT </w:t>
            </w:r>
            <w:r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 xml:space="preserve">CPG </w:t>
            </w:r>
            <w:r w:rsidRPr="00B75489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2018</w:t>
            </w:r>
          </w:p>
        </w:tc>
      </w:tr>
      <w:tr w:rsidR="00243677" w:rsidRPr="00B75489" w:rsidTr="006549FA">
        <w:tc>
          <w:tcPr>
            <w:tcW w:w="3006" w:type="dxa"/>
          </w:tcPr>
          <w:p w:rsidR="00243677" w:rsidRPr="00243677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243677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1 (scope and purpose)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83 %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91 %</w:t>
            </w:r>
          </w:p>
        </w:tc>
      </w:tr>
      <w:tr w:rsidR="00243677" w:rsidRPr="00B75489" w:rsidTr="006549FA">
        <w:tc>
          <w:tcPr>
            <w:tcW w:w="3006" w:type="dxa"/>
          </w:tcPr>
          <w:p w:rsidR="00243677" w:rsidRPr="00243677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243677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2 (stakeholder involvement)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83 %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69 %</w:t>
            </w:r>
          </w:p>
        </w:tc>
      </w:tr>
      <w:tr w:rsidR="00243677" w:rsidRPr="00B75489" w:rsidTr="006549FA">
        <w:tc>
          <w:tcPr>
            <w:tcW w:w="3006" w:type="dxa"/>
          </w:tcPr>
          <w:p w:rsidR="00243677" w:rsidRPr="00243677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243677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3 (rigour of development)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83 %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81 %</w:t>
            </w:r>
          </w:p>
        </w:tc>
      </w:tr>
      <w:tr w:rsidR="00243677" w:rsidRPr="00B75489" w:rsidTr="006549FA">
        <w:tc>
          <w:tcPr>
            <w:tcW w:w="3006" w:type="dxa"/>
          </w:tcPr>
          <w:p w:rsidR="00243677" w:rsidRPr="00243677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243677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4 (clarity and presentation)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81 %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85 %</w:t>
            </w:r>
          </w:p>
        </w:tc>
      </w:tr>
      <w:tr w:rsidR="00243677" w:rsidRPr="00B75489" w:rsidTr="006549FA">
        <w:tc>
          <w:tcPr>
            <w:tcW w:w="3006" w:type="dxa"/>
          </w:tcPr>
          <w:p w:rsidR="00243677" w:rsidRPr="00243677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243677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5 (applicability)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75 %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47 %</w:t>
            </w:r>
          </w:p>
        </w:tc>
      </w:tr>
      <w:tr w:rsidR="00243677" w:rsidRPr="00B75489" w:rsidTr="006549FA">
        <w:tc>
          <w:tcPr>
            <w:tcW w:w="3006" w:type="dxa"/>
          </w:tcPr>
          <w:p w:rsidR="00243677" w:rsidRPr="00243677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243677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6 (editorial independence)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86 %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72 %</w:t>
            </w:r>
          </w:p>
        </w:tc>
      </w:tr>
      <w:tr w:rsidR="00243677" w:rsidRPr="00B75489" w:rsidTr="006549FA">
        <w:tc>
          <w:tcPr>
            <w:tcW w:w="3006" w:type="dxa"/>
          </w:tcPr>
          <w:p w:rsidR="00243677" w:rsidRPr="00243677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243677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Overall assessment 1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 xml:space="preserve">83 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B75489">
              <w:rPr>
                <w:rFonts w:asciiTheme="majorBidi" w:hAnsiTheme="majorBidi" w:cstheme="majorBidi"/>
                <w:color w:val="auto"/>
                <w:sz w:val="20"/>
                <w:szCs w:val="20"/>
              </w:rPr>
              <w:t>83 %</w:t>
            </w:r>
          </w:p>
        </w:tc>
      </w:tr>
      <w:tr w:rsidR="00243677" w:rsidRPr="00B75489" w:rsidTr="006549FA">
        <w:tc>
          <w:tcPr>
            <w:tcW w:w="3006" w:type="dxa"/>
          </w:tcPr>
          <w:p w:rsidR="00243677" w:rsidRPr="00243677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</w:pPr>
            <w:r w:rsidRPr="00243677">
              <w:rPr>
                <w:rFonts w:asciiTheme="majorBidi" w:hAnsiTheme="majorBidi" w:cstheme="majorBidi"/>
                <w:b/>
                <w:bCs/>
                <w:color w:val="auto"/>
                <w:sz w:val="20"/>
                <w:szCs w:val="20"/>
              </w:rPr>
              <w:t>Overall assessment 2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18"/>
                <w:szCs w:val="18"/>
              </w:rPr>
            </w:pPr>
            <w:r w:rsidRPr="00B75489">
              <w:rPr>
                <w:rFonts w:asciiTheme="majorBidi" w:hAnsiTheme="majorBidi" w:cstheme="majorBidi"/>
                <w:color w:val="auto"/>
                <w:sz w:val="18"/>
                <w:szCs w:val="18"/>
              </w:rPr>
              <w:t>Yes (1), Yes with modifications (2), No (0)</w:t>
            </w:r>
          </w:p>
        </w:tc>
        <w:tc>
          <w:tcPr>
            <w:tcW w:w="3005" w:type="dxa"/>
          </w:tcPr>
          <w:p w:rsidR="00243677" w:rsidRPr="00B75489" w:rsidRDefault="00243677" w:rsidP="006549FA">
            <w:pPr>
              <w:pStyle w:val="Default"/>
              <w:spacing w:line="360" w:lineRule="auto"/>
              <w:jc w:val="both"/>
              <w:rPr>
                <w:rFonts w:asciiTheme="majorBidi" w:hAnsiTheme="majorBidi" w:cstheme="majorBidi"/>
                <w:color w:val="auto"/>
                <w:sz w:val="18"/>
                <w:szCs w:val="18"/>
              </w:rPr>
            </w:pPr>
            <w:r w:rsidRPr="00B75489">
              <w:rPr>
                <w:rFonts w:asciiTheme="majorBidi" w:hAnsiTheme="majorBidi" w:cstheme="majorBidi"/>
                <w:color w:val="auto"/>
                <w:sz w:val="18"/>
                <w:szCs w:val="18"/>
              </w:rPr>
              <w:t>Yes (2), Yes with modifications (1), No (0)</w:t>
            </w:r>
          </w:p>
        </w:tc>
      </w:tr>
    </w:tbl>
    <w:p w:rsidR="00243677" w:rsidRPr="00243677" w:rsidRDefault="00243677" w:rsidP="00243677">
      <w:pPr>
        <w:pStyle w:val="Default"/>
        <w:jc w:val="both"/>
        <w:rPr>
          <w:rFonts w:asciiTheme="majorBidi" w:hAnsiTheme="majorBidi" w:cstheme="majorBidi"/>
          <w:i/>
          <w:iCs/>
          <w:color w:val="auto"/>
          <w:sz w:val="20"/>
          <w:szCs w:val="20"/>
        </w:rPr>
      </w:pPr>
      <w:r w:rsidRPr="00243677">
        <w:rPr>
          <w:rFonts w:asciiTheme="majorBidi" w:hAnsiTheme="majorBidi" w:cstheme="majorBidi"/>
          <w:b/>
          <w:bCs/>
          <w:i/>
          <w:iCs/>
          <w:color w:val="auto"/>
          <w:sz w:val="20"/>
          <w:szCs w:val="20"/>
        </w:rPr>
        <w:t>Abbreviations:</w:t>
      </w:r>
      <w:r w:rsidRPr="00243677">
        <w:rPr>
          <w:rFonts w:asciiTheme="majorBidi" w:hAnsiTheme="majorBidi" w:cstheme="majorBidi"/>
          <w:i/>
          <w:iCs/>
          <w:color w:val="auto"/>
          <w:sz w:val="20"/>
          <w:szCs w:val="20"/>
        </w:rPr>
        <w:t xml:space="preserve"> AAP: American Academy of Pediatrics, AGREE: Appraisal of Guidelines for Research and Evaluation, CPGs: clinical practice guidelines, PREDICT: The Paediatric Research in Emergency Departments International Collaborative</w:t>
      </w: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Pr="00A42829" w:rsidRDefault="00243677" w:rsidP="00243677">
      <w:pPr>
        <w:pStyle w:val="Default"/>
        <w:spacing w:line="276" w:lineRule="auto"/>
        <w:rPr>
          <w:rFonts w:asciiTheme="majorBidi" w:hAnsiTheme="majorBidi" w:cstheme="majorBidi"/>
          <w:b/>
          <w:bCs/>
          <w:color w:val="000000" w:themeColor="text1"/>
        </w:rPr>
      </w:pPr>
      <w:r w:rsidRPr="008E16EA">
        <w:rPr>
          <w:rFonts w:asciiTheme="majorBidi" w:hAnsiTheme="majorBidi" w:cstheme="majorBidi"/>
          <w:b/>
          <w:bCs/>
          <w:color w:val="000000" w:themeColor="text1"/>
        </w:rPr>
        <w:lastRenderedPageBreak/>
        <w:t>Appendix Table</w:t>
      </w:r>
      <w:r>
        <w:rPr>
          <w:rFonts w:asciiTheme="majorBidi" w:hAnsiTheme="majorBidi" w:cstheme="majorBidi"/>
          <w:b/>
          <w:bCs/>
          <w:color w:val="000000" w:themeColor="text1"/>
        </w:rPr>
        <w:t xml:space="preserve"> 3 Initial clinical assessment of children with bronchiolitis </w:t>
      </w:r>
    </w:p>
    <w:tbl>
      <w:tblPr>
        <w:tblStyle w:val="TableGrid"/>
        <w:tblW w:w="9427" w:type="dxa"/>
        <w:tblLook w:val="04A0" w:firstRow="1" w:lastRow="0" w:firstColumn="1" w:lastColumn="0" w:noHBand="0" w:noVBand="1"/>
      </w:tblPr>
      <w:tblGrid>
        <w:gridCol w:w="2451"/>
        <w:gridCol w:w="2317"/>
        <w:gridCol w:w="2330"/>
        <w:gridCol w:w="2329"/>
      </w:tblGrid>
      <w:tr w:rsidR="00243677" w:rsidRPr="00A42829" w:rsidTr="006549FA">
        <w:tc>
          <w:tcPr>
            <w:tcW w:w="9427" w:type="dxa"/>
            <w:gridSpan w:val="4"/>
            <w:shd w:val="clear" w:color="auto" w:fill="auto"/>
            <w:vAlign w:val="center"/>
          </w:tcPr>
          <w:p w:rsidR="00243677" w:rsidRPr="00A42829" w:rsidRDefault="00243677" w:rsidP="00243677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A42829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This 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initial assessment </w:t>
            </w:r>
            <w:r w:rsidRPr="00A42829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table provide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</w:t>
            </w:r>
            <w:r w:rsidRPr="00A42829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guidance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r w:rsidRPr="00A42829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to stratify severity. The more symptoms the infant has in the moderate to severe categories, the more likely 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he/she is</w:t>
            </w:r>
            <w:r w:rsidRPr="00A42829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to develop severe disease.</w:t>
            </w:r>
          </w:p>
        </w:tc>
      </w:tr>
      <w:tr w:rsidR="00243677" w:rsidRPr="00A42829" w:rsidTr="006549FA">
        <w:tc>
          <w:tcPr>
            <w:tcW w:w="2451" w:type="dxa"/>
            <w:shd w:val="clear" w:color="auto" w:fill="D9D9D9" w:themeFill="background1" w:themeFillShade="D9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317" w:type="dxa"/>
            <w:shd w:val="clear" w:color="auto" w:fill="D9D9D9" w:themeFill="background1" w:themeFillShade="D9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  <w:b/>
                <w:bCs/>
              </w:rPr>
            </w:pPr>
            <w:r w:rsidRPr="00A42829">
              <w:rPr>
                <w:rFonts w:asciiTheme="majorBidi" w:hAnsiTheme="majorBidi" w:cstheme="majorBidi"/>
                <w:b/>
                <w:bCs/>
              </w:rPr>
              <w:t>MILD</w:t>
            </w:r>
          </w:p>
        </w:tc>
        <w:tc>
          <w:tcPr>
            <w:tcW w:w="2330" w:type="dxa"/>
            <w:shd w:val="clear" w:color="auto" w:fill="D9D9D9" w:themeFill="background1" w:themeFillShade="D9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  <w:b/>
                <w:bCs/>
              </w:rPr>
            </w:pPr>
            <w:r w:rsidRPr="00A42829">
              <w:rPr>
                <w:rFonts w:asciiTheme="majorBidi" w:hAnsiTheme="majorBidi" w:cstheme="majorBidi"/>
                <w:b/>
                <w:bCs/>
              </w:rPr>
              <w:t>MODERATE</w:t>
            </w:r>
          </w:p>
        </w:tc>
        <w:tc>
          <w:tcPr>
            <w:tcW w:w="2329" w:type="dxa"/>
            <w:shd w:val="clear" w:color="auto" w:fill="D9D9D9" w:themeFill="background1" w:themeFillShade="D9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  <w:b/>
                <w:bCs/>
              </w:rPr>
            </w:pPr>
            <w:r w:rsidRPr="00A42829">
              <w:rPr>
                <w:rFonts w:asciiTheme="majorBidi" w:hAnsiTheme="majorBidi" w:cstheme="majorBidi"/>
                <w:b/>
                <w:bCs/>
              </w:rPr>
              <w:t>SEVERE</w:t>
            </w:r>
          </w:p>
        </w:tc>
      </w:tr>
      <w:tr w:rsidR="00243677" w:rsidRPr="00A42829" w:rsidTr="006549FA">
        <w:tc>
          <w:tcPr>
            <w:tcW w:w="2451" w:type="dxa"/>
            <w:shd w:val="clear" w:color="auto" w:fill="D9D9D9" w:themeFill="background1" w:themeFillShade="D9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  <w:b/>
                <w:bCs/>
              </w:rPr>
            </w:pPr>
            <w:r w:rsidRPr="00A42829">
              <w:rPr>
                <w:rFonts w:asciiTheme="majorBidi" w:hAnsiTheme="majorBidi" w:cstheme="majorBidi"/>
                <w:b/>
                <w:bCs/>
              </w:rPr>
              <w:t>Behavior</w:t>
            </w:r>
          </w:p>
        </w:tc>
        <w:tc>
          <w:tcPr>
            <w:tcW w:w="2317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Normal</w:t>
            </w:r>
          </w:p>
        </w:tc>
        <w:tc>
          <w:tcPr>
            <w:tcW w:w="2330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Some/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42829">
              <w:rPr>
                <w:rFonts w:asciiTheme="majorBidi" w:hAnsiTheme="majorBidi" w:cstheme="majorBidi"/>
              </w:rPr>
              <w:t>intermittent irritability</w:t>
            </w:r>
          </w:p>
        </w:tc>
        <w:tc>
          <w:tcPr>
            <w:tcW w:w="2329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Increase irritability and</w:t>
            </w:r>
            <w:r>
              <w:rPr>
                <w:rFonts w:asciiTheme="majorBidi" w:hAnsiTheme="majorBidi" w:cstheme="majorBidi"/>
              </w:rPr>
              <w:t xml:space="preserve">/ </w:t>
            </w:r>
            <w:r w:rsidRPr="00A42829">
              <w:rPr>
                <w:rFonts w:asciiTheme="majorBidi" w:hAnsiTheme="majorBidi" w:cstheme="majorBidi"/>
              </w:rPr>
              <w:t>or lethargy</w:t>
            </w:r>
          </w:p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Fatigue</w:t>
            </w:r>
          </w:p>
        </w:tc>
      </w:tr>
      <w:tr w:rsidR="00243677" w:rsidRPr="00A42829" w:rsidTr="006549FA">
        <w:tc>
          <w:tcPr>
            <w:tcW w:w="2451" w:type="dxa"/>
            <w:shd w:val="clear" w:color="auto" w:fill="D9D9D9" w:themeFill="background1" w:themeFillShade="D9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  <w:b/>
                <w:bCs/>
              </w:rPr>
            </w:pPr>
            <w:r w:rsidRPr="00A42829">
              <w:rPr>
                <w:rFonts w:asciiTheme="majorBidi" w:hAnsiTheme="majorBidi" w:cstheme="majorBidi"/>
                <w:b/>
                <w:bCs/>
              </w:rPr>
              <w:t>Respiratory rate</w:t>
            </w:r>
          </w:p>
        </w:tc>
        <w:tc>
          <w:tcPr>
            <w:tcW w:w="2317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Normal-mild tachypnoea</w:t>
            </w:r>
          </w:p>
        </w:tc>
        <w:tc>
          <w:tcPr>
            <w:tcW w:w="2330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Increased respiratory rate</w:t>
            </w:r>
          </w:p>
        </w:tc>
        <w:tc>
          <w:tcPr>
            <w:tcW w:w="2329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Marked increase or decrease in respiratory rate</w:t>
            </w:r>
          </w:p>
        </w:tc>
      </w:tr>
      <w:tr w:rsidR="00243677" w:rsidRPr="00A42829" w:rsidTr="006549FA">
        <w:tc>
          <w:tcPr>
            <w:tcW w:w="2451" w:type="dxa"/>
            <w:shd w:val="clear" w:color="auto" w:fill="D9D9D9" w:themeFill="background1" w:themeFillShade="D9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A42829">
              <w:rPr>
                <w:rFonts w:asciiTheme="majorBidi" w:hAnsiTheme="majorBidi" w:cstheme="majorBidi"/>
                <w:b/>
                <w:bCs/>
              </w:rPr>
              <w:t>Use of accessory</w:t>
            </w:r>
            <w:r w:rsidRPr="00A42829">
              <w:rPr>
                <w:rFonts w:asciiTheme="majorBidi" w:hAnsiTheme="majorBidi" w:cstheme="majorBidi"/>
                <w:b/>
                <w:bCs/>
                <w:u w:val="single"/>
              </w:rPr>
              <w:t xml:space="preserve"> </w:t>
            </w:r>
            <w:r w:rsidRPr="00A42829">
              <w:rPr>
                <w:rFonts w:asciiTheme="majorBidi" w:hAnsiTheme="majorBidi" w:cstheme="majorBidi"/>
                <w:b/>
                <w:bCs/>
              </w:rPr>
              <w:t>muscles</w:t>
            </w:r>
          </w:p>
        </w:tc>
        <w:tc>
          <w:tcPr>
            <w:tcW w:w="2317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Nil to mild chest wall retraction</w:t>
            </w:r>
          </w:p>
        </w:tc>
        <w:tc>
          <w:tcPr>
            <w:tcW w:w="2330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Moderate chest wall retractions</w:t>
            </w:r>
          </w:p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Tracheal tug</w:t>
            </w:r>
          </w:p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Nasal flaring</w:t>
            </w:r>
          </w:p>
        </w:tc>
        <w:tc>
          <w:tcPr>
            <w:tcW w:w="2329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Marked chest wall retractions</w:t>
            </w:r>
          </w:p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Marked tracheal tug</w:t>
            </w:r>
          </w:p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Marked nasal flaring</w:t>
            </w:r>
          </w:p>
        </w:tc>
      </w:tr>
      <w:tr w:rsidR="00243677" w:rsidRPr="00A42829" w:rsidTr="006549FA">
        <w:tc>
          <w:tcPr>
            <w:tcW w:w="2451" w:type="dxa"/>
            <w:shd w:val="clear" w:color="auto" w:fill="D9D9D9" w:themeFill="background1" w:themeFillShade="D9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  <w:b/>
                <w:bCs/>
              </w:rPr>
            </w:pPr>
            <w:r w:rsidRPr="00A42829">
              <w:rPr>
                <w:rFonts w:asciiTheme="majorBidi" w:hAnsiTheme="majorBidi" w:cstheme="majorBidi"/>
                <w:b/>
                <w:bCs/>
              </w:rPr>
              <w:t>Oxygen saturation/ oxygen requirement</w:t>
            </w:r>
          </w:p>
        </w:tc>
        <w:tc>
          <w:tcPr>
            <w:tcW w:w="2317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O</w:t>
            </w:r>
            <w:r w:rsidRPr="00A42829">
              <w:rPr>
                <w:rFonts w:asciiTheme="majorBidi" w:hAnsiTheme="majorBidi" w:cstheme="majorBidi"/>
                <w:vertAlign w:val="subscript"/>
              </w:rPr>
              <w:t>2</w:t>
            </w:r>
            <w:r w:rsidRPr="00A42829">
              <w:rPr>
                <w:rFonts w:asciiTheme="majorBidi" w:hAnsiTheme="majorBidi" w:cstheme="majorBidi"/>
              </w:rPr>
              <w:t xml:space="preserve"> saturations greater than 92% (in room air)</w:t>
            </w:r>
          </w:p>
        </w:tc>
        <w:tc>
          <w:tcPr>
            <w:tcW w:w="2330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O</w:t>
            </w:r>
            <w:r w:rsidRPr="00A42829">
              <w:rPr>
                <w:rFonts w:asciiTheme="majorBidi" w:hAnsiTheme="majorBidi" w:cstheme="majorBidi"/>
                <w:vertAlign w:val="subscript"/>
              </w:rPr>
              <w:t>2</w:t>
            </w:r>
            <w:r w:rsidRPr="00A42829">
              <w:rPr>
                <w:rFonts w:asciiTheme="majorBidi" w:hAnsiTheme="majorBidi" w:cstheme="majorBidi"/>
              </w:rPr>
              <w:t xml:space="preserve"> saturations 90-92%</w:t>
            </w:r>
          </w:p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(in room air)</w:t>
            </w:r>
          </w:p>
        </w:tc>
        <w:tc>
          <w:tcPr>
            <w:tcW w:w="2329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O</w:t>
            </w:r>
            <w:r w:rsidRPr="00A42829">
              <w:rPr>
                <w:rFonts w:asciiTheme="majorBidi" w:hAnsiTheme="majorBidi" w:cstheme="majorBidi"/>
                <w:vertAlign w:val="subscript"/>
              </w:rPr>
              <w:t>2</w:t>
            </w:r>
            <w:r w:rsidRPr="00A42829">
              <w:rPr>
                <w:rFonts w:asciiTheme="majorBidi" w:hAnsiTheme="majorBidi" w:cstheme="majorBidi"/>
              </w:rPr>
              <w:t xml:space="preserve"> saturations less than 90% (in room air)</w:t>
            </w:r>
          </w:p>
          <w:p w:rsidR="00243677" w:rsidRPr="00A42829" w:rsidRDefault="00243677" w:rsidP="006549FA">
            <w:pPr>
              <w:rPr>
                <w:rFonts w:asciiTheme="majorBidi" w:hAnsiTheme="majorBidi" w:cstheme="majorBidi"/>
                <w:vertAlign w:val="subscript"/>
              </w:rPr>
            </w:pPr>
            <w:r w:rsidRPr="00A42829">
              <w:rPr>
                <w:rFonts w:asciiTheme="majorBidi" w:hAnsiTheme="majorBidi" w:cstheme="majorBidi"/>
              </w:rPr>
              <w:t>Hypoxemia, may not be corrected by O</w:t>
            </w:r>
            <w:r w:rsidRPr="00A42829">
              <w:rPr>
                <w:rFonts w:asciiTheme="majorBidi" w:hAnsiTheme="majorBidi" w:cstheme="majorBidi"/>
                <w:vertAlign w:val="subscript"/>
              </w:rPr>
              <w:t>2</w:t>
            </w:r>
          </w:p>
        </w:tc>
      </w:tr>
      <w:tr w:rsidR="00243677" w:rsidRPr="00A42829" w:rsidTr="006549FA">
        <w:tc>
          <w:tcPr>
            <w:tcW w:w="2451" w:type="dxa"/>
            <w:shd w:val="clear" w:color="auto" w:fill="D9D9D9" w:themeFill="background1" w:themeFillShade="D9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  <w:b/>
                <w:bCs/>
              </w:rPr>
            </w:pPr>
            <w:r w:rsidRPr="00A42829">
              <w:rPr>
                <w:rFonts w:asciiTheme="majorBidi" w:hAnsiTheme="majorBidi" w:cstheme="majorBidi"/>
                <w:b/>
                <w:bCs/>
              </w:rPr>
              <w:t>Apneic episodes</w:t>
            </w:r>
          </w:p>
        </w:tc>
        <w:tc>
          <w:tcPr>
            <w:tcW w:w="2317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None</w:t>
            </w:r>
          </w:p>
        </w:tc>
        <w:tc>
          <w:tcPr>
            <w:tcW w:w="2330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May have brief apnea</w:t>
            </w:r>
          </w:p>
        </w:tc>
        <w:tc>
          <w:tcPr>
            <w:tcW w:w="2329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May have increasingly frequent or prolonged apnoea</w:t>
            </w:r>
          </w:p>
        </w:tc>
      </w:tr>
      <w:tr w:rsidR="00243677" w:rsidRPr="00A42829" w:rsidTr="006549FA">
        <w:tc>
          <w:tcPr>
            <w:tcW w:w="2451" w:type="dxa"/>
            <w:shd w:val="clear" w:color="auto" w:fill="D9D9D9" w:themeFill="background1" w:themeFillShade="D9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  <w:b/>
                <w:bCs/>
              </w:rPr>
            </w:pPr>
            <w:r w:rsidRPr="00A42829">
              <w:rPr>
                <w:rFonts w:asciiTheme="majorBidi" w:hAnsiTheme="majorBidi" w:cstheme="majorBidi"/>
                <w:b/>
                <w:bCs/>
              </w:rPr>
              <w:t>Feeding</w:t>
            </w:r>
          </w:p>
        </w:tc>
        <w:tc>
          <w:tcPr>
            <w:tcW w:w="2317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Normal</w:t>
            </w:r>
          </w:p>
        </w:tc>
        <w:tc>
          <w:tcPr>
            <w:tcW w:w="2330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May have difficulty with feeding or reduced feeding</w:t>
            </w:r>
          </w:p>
        </w:tc>
        <w:tc>
          <w:tcPr>
            <w:tcW w:w="2329" w:type="dxa"/>
            <w:vAlign w:val="center"/>
          </w:tcPr>
          <w:p w:rsidR="00243677" w:rsidRPr="00A42829" w:rsidRDefault="00243677" w:rsidP="006549FA">
            <w:pPr>
              <w:rPr>
                <w:rFonts w:asciiTheme="majorBidi" w:hAnsiTheme="majorBidi" w:cstheme="majorBidi"/>
              </w:rPr>
            </w:pPr>
            <w:r w:rsidRPr="00A42829">
              <w:rPr>
                <w:rFonts w:asciiTheme="majorBidi" w:hAnsiTheme="majorBidi" w:cstheme="majorBidi"/>
              </w:rPr>
              <w:t>Reluctant or unable to feed</w:t>
            </w:r>
          </w:p>
        </w:tc>
      </w:tr>
    </w:tbl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Pr="00B75489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Pr="008E16EA" w:rsidRDefault="00243677" w:rsidP="00243677">
      <w:pPr>
        <w:pStyle w:val="Default"/>
        <w:spacing w:line="276" w:lineRule="auto"/>
        <w:rPr>
          <w:rFonts w:asciiTheme="majorBidi" w:hAnsiTheme="majorBidi" w:cstheme="majorBidi"/>
          <w:b/>
          <w:bCs/>
          <w:color w:val="000000" w:themeColor="text1"/>
        </w:rPr>
      </w:pPr>
      <w:r w:rsidRPr="008E16EA">
        <w:rPr>
          <w:rFonts w:asciiTheme="majorBidi" w:hAnsiTheme="majorBidi" w:cstheme="majorBidi"/>
          <w:b/>
          <w:bCs/>
          <w:color w:val="000000" w:themeColor="text1"/>
        </w:rPr>
        <w:t>Appendix Table</w:t>
      </w:r>
      <w:r>
        <w:rPr>
          <w:rFonts w:asciiTheme="majorBidi" w:hAnsiTheme="majorBidi" w:cstheme="majorBidi"/>
          <w:b/>
          <w:bCs/>
          <w:color w:val="000000" w:themeColor="text1"/>
        </w:rPr>
        <w:t xml:space="preserve"> 4</w:t>
      </w:r>
      <w:r w:rsidRPr="008E16EA">
        <w:rPr>
          <w:rFonts w:asciiTheme="majorBidi" w:hAnsiTheme="majorBidi" w:cstheme="majorBidi"/>
          <w:b/>
          <w:bCs/>
          <w:color w:val="000000" w:themeColor="text1"/>
        </w:rPr>
        <w:t xml:space="preserve"> Modified Tal Score</w:t>
      </w:r>
      <w:r>
        <w:rPr>
          <w:rFonts w:asciiTheme="majorBidi" w:hAnsiTheme="majorBidi" w:cstheme="majorBidi"/>
          <w:b/>
          <w:bCs/>
          <w:color w:val="000000" w:themeColor="text1"/>
        </w:rPr>
        <w:t xml:space="preserve"> (a v</w:t>
      </w:r>
      <w:r w:rsidRPr="008E16EA">
        <w:rPr>
          <w:rFonts w:asciiTheme="majorBidi" w:hAnsiTheme="majorBidi" w:cstheme="majorBidi"/>
          <w:b/>
          <w:bCs/>
          <w:color w:val="000000" w:themeColor="text1"/>
        </w:rPr>
        <w:t>alidated score for prediction of bronchiolitis severity</w:t>
      </w:r>
      <w:r>
        <w:rPr>
          <w:rFonts w:asciiTheme="majorBidi" w:hAnsiTheme="majorBidi" w:cstheme="majorBidi"/>
          <w:b/>
          <w:bCs/>
          <w:color w:val="000000" w:themeColor="text1"/>
        </w:rPr>
        <w:t>)</w:t>
      </w:r>
    </w:p>
    <w:p w:rsidR="00243677" w:rsidRPr="00B75489" w:rsidRDefault="00243677" w:rsidP="00243677">
      <w:pPr>
        <w:pStyle w:val="Default"/>
        <w:spacing w:line="276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</w:p>
    <w:tbl>
      <w:tblPr>
        <w:tblStyle w:val="TableGrid"/>
        <w:tblW w:w="0" w:type="auto"/>
        <w:tblInd w:w="198" w:type="dxa"/>
        <w:tblLayout w:type="fixed"/>
        <w:tblLook w:val="04A0" w:firstRow="1" w:lastRow="0" w:firstColumn="1" w:lastColumn="0" w:noHBand="0" w:noVBand="1"/>
      </w:tblPr>
      <w:tblGrid>
        <w:gridCol w:w="810"/>
        <w:gridCol w:w="1350"/>
        <w:gridCol w:w="1350"/>
        <w:gridCol w:w="1530"/>
        <w:gridCol w:w="1260"/>
        <w:gridCol w:w="2250"/>
      </w:tblGrid>
      <w:tr w:rsidR="00243677" w:rsidRPr="008E16EA" w:rsidTr="006549FA">
        <w:trPr>
          <w:trHeight w:val="380"/>
        </w:trPr>
        <w:tc>
          <w:tcPr>
            <w:tcW w:w="810" w:type="dxa"/>
            <w:vMerge w:val="restart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Score</w:t>
            </w:r>
          </w:p>
        </w:tc>
        <w:tc>
          <w:tcPr>
            <w:tcW w:w="2700" w:type="dxa"/>
            <w:gridSpan w:val="2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Respiratory rate (breaths/min)</w:t>
            </w:r>
          </w:p>
        </w:tc>
        <w:tc>
          <w:tcPr>
            <w:tcW w:w="1530" w:type="dxa"/>
            <w:vMerge w:val="restart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Wheezing</w:t>
            </w:r>
          </w:p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O</w:t>
            </w: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vertAlign w:val="subscript"/>
              </w:rPr>
              <w:t>2</w:t>
            </w: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saturation</w:t>
            </w:r>
          </w:p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(room air)</w:t>
            </w:r>
          </w:p>
        </w:tc>
        <w:tc>
          <w:tcPr>
            <w:tcW w:w="2250" w:type="dxa"/>
            <w:vMerge w:val="restart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Accessory respiratory muscle utilization</w:t>
            </w:r>
          </w:p>
        </w:tc>
      </w:tr>
      <w:tr w:rsidR="00243677" w:rsidRPr="008E16EA" w:rsidTr="006549FA">
        <w:trPr>
          <w:trHeight w:val="667"/>
        </w:trPr>
        <w:tc>
          <w:tcPr>
            <w:tcW w:w="810" w:type="dxa"/>
            <w:vMerge/>
            <w:vAlign w:val="center"/>
          </w:tcPr>
          <w:p w:rsidR="00243677" w:rsidRPr="008E16EA" w:rsidRDefault="00243677" w:rsidP="006549FA">
            <w:pPr>
              <w:pStyle w:val="Default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Age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&lt;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6months</w:t>
            </w:r>
          </w:p>
        </w:tc>
        <w:tc>
          <w:tcPr>
            <w:tcW w:w="13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Age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≥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8E16EA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6months</w:t>
            </w:r>
          </w:p>
        </w:tc>
        <w:tc>
          <w:tcPr>
            <w:tcW w:w="1530" w:type="dxa"/>
            <w:vMerge/>
            <w:vAlign w:val="center"/>
          </w:tcPr>
          <w:p w:rsidR="00243677" w:rsidRPr="008E16EA" w:rsidRDefault="00243677" w:rsidP="006549FA">
            <w:pPr>
              <w:pStyle w:val="Default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243677" w:rsidRPr="008E16EA" w:rsidRDefault="00243677" w:rsidP="006549FA">
            <w:pPr>
              <w:pStyle w:val="Default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250" w:type="dxa"/>
            <w:vMerge/>
            <w:vAlign w:val="center"/>
          </w:tcPr>
          <w:p w:rsidR="00243677" w:rsidRPr="008E16EA" w:rsidRDefault="00243677" w:rsidP="006549FA">
            <w:pPr>
              <w:pStyle w:val="Default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243677" w:rsidRPr="008E16EA" w:rsidTr="006549FA">
        <w:trPr>
          <w:trHeight w:val="392"/>
        </w:trPr>
        <w:tc>
          <w:tcPr>
            <w:tcW w:w="81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3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  <w:rtl/>
              </w:rPr>
              <w:t>≥</w:t>
            </w: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40 </w:t>
            </w:r>
          </w:p>
        </w:tc>
        <w:tc>
          <w:tcPr>
            <w:tcW w:w="13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  <w:rtl/>
              </w:rPr>
              <w:t>≥</w:t>
            </w: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 30 </w:t>
            </w:r>
          </w:p>
        </w:tc>
        <w:tc>
          <w:tcPr>
            <w:tcW w:w="153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None</w:t>
            </w:r>
          </w:p>
        </w:tc>
        <w:tc>
          <w:tcPr>
            <w:tcW w:w="126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  <w:rtl/>
              </w:rPr>
              <w:t>≥</w:t>
            </w: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95 </w:t>
            </w:r>
          </w:p>
        </w:tc>
        <w:tc>
          <w:tcPr>
            <w:tcW w:w="22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Non (no chest indrawing)</w:t>
            </w:r>
          </w:p>
        </w:tc>
      </w:tr>
      <w:tr w:rsidR="00243677" w:rsidRPr="008E16EA" w:rsidTr="006549FA">
        <w:tc>
          <w:tcPr>
            <w:tcW w:w="81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3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41-55</w:t>
            </w:r>
          </w:p>
        </w:tc>
        <w:tc>
          <w:tcPr>
            <w:tcW w:w="13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31-45</w:t>
            </w:r>
          </w:p>
        </w:tc>
        <w:tc>
          <w:tcPr>
            <w:tcW w:w="153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Expiration only</w:t>
            </w:r>
          </w:p>
        </w:tc>
        <w:tc>
          <w:tcPr>
            <w:tcW w:w="126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92-94</w:t>
            </w:r>
          </w:p>
        </w:tc>
        <w:tc>
          <w:tcPr>
            <w:tcW w:w="22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+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Presence of mild intercostal indrawing</w:t>
            </w:r>
          </w:p>
        </w:tc>
      </w:tr>
      <w:tr w:rsidR="00243677" w:rsidRPr="008E16EA" w:rsidTr="006549FA">
        <w:trPr>
          <w:trHeight w:val="653"/>
        </w:trPr>
        <w:tc>
          <w:tcPr>
            <w:tcW w:w="81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3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56-70</w:t>
            </w:r>
          </w:p>
        </w:tc>
        <w:tc>
          <w:tcPr>
            <w:tcW w:w="13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46-60</w:t>
            </w:r>
          </w:p>
        </w:tc>
        <w:tc>
          <w:tcPr>
            <w:tcW w:w="153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Expiration &amp; inspiratory with stethoscope only</w:t>
            </w:r>
          </w:p>
        </w:tc>
        <w:tc>
          <w:tcPr>
            <w:tcW w:w="126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90-91</w:t>
            </w:r>
          </w:p>
        </w:tc>
        <w:tc>
          <w:tcPr>
            <w:tcW w:w="22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++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Moderate amount of</w:t>
            </w:r>
            <w:r w:rsidRPr="008E16EA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intercostal indrawing</w:t>
            </w:r>
          </w:p>
        </w:tc>
      </w:tr>
      <w:tr w:rsidR="00243677" w:rsidRPr="008E16EA" w:rsidTr="006549FA">
        <w:tc>
          <w:tcPr>
            <w:tcW w:w="81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3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≥ 71</w:t>
            </w:r>
          </w:p>
        </w:tc>
        <w:tc>
          <w:tcPr>
            <w:tcW w:w="13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≥ 61</w:t>
            </w:r>
          </w:p>
        </w:tc>
        <w:tc>
          <w:tcPr>
            <w:tcW w:w="153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Expiration &amp; inspiratory without stethoscope only</w:t>
            </w:r>
          </w:p>
        </w:tc>
        <w:tc>
          <w:tcPr>
            <w:tcW w:w="126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  <w:rtl/>
              </w:rPr>
              <w:t>≥</w:t>
            </w: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89 </w:t>
            </w:r>
          </w:p>
        </w:tc>
        <w:tc>
          <w:tcPr>
            <w:tcW w:w="2250" w:type="dxa"/>
            <w:vAlign w:val="center"/>
          </w:tcPr>
          <w:p w:rsidR="00243677" w:rsidRPr="008E16EA" w:rsidRDefault="00243677" w:rsidP="006549FA">
            <w:pPr>
              <w:pStyle w:val="Default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8E16E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+++ Moderate or marked intercostal indrawing with presence of head bobbing or tracheal tug</w:t>
            </w:r>
          </w:p>
        </w:tc>
      </w:tr>
    </w:tbl>
    <w:p w:rsidR="00243677" w:rsidRPr="00B75489" w:rsidRDefault="00243677" w:rsidP="00243677">
      <w:pPr>
        <w:pStyle w:val="Default"/>
        <w:spacing w:line="276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</w:p>
    <w:p w:rsidR="00243677" w:rsidRDefault="00243677" w:rsidP="00243677">
      <w:pPr>
        <w:pStyle w:val="Default"/>
        <w:spacing w:line="276" w:lineRule="auto"/>
        <w:rPr>
          <w:rFonts w:asciiTheme="majorBidi" w:hAnsiTheme="majorBidi" w:cstheme="majorBidi"/>
          <w:b/>
          <w:bCs/>
          <w:color w:val="000000" w:themeColor="text1"/>
        </w:rPr>
      </w:pPr>
    </w:p>
    <w:p w:rsidR="00243677" w:rsidRDefault="00243677" w:rsidP="00243677">
      <w:pPr>
        <w:pStyle w:val="Default"/>
        <w:spacing w:line="276" w:lineRule="auto"/>
        <w:rPr>
          <w:rFonts w:asciiTheme="majorBidi" w:hAnsiTheme="majorBidi" w:cstheme="majorBidi"/>
          <w:b/>
          <w:bCs/>
          <w:color w:val="000000" w:themeColor="text1"/>
        </w:rPr>
      </w:pPr>
    </w:p>
    <w:p w:rsidR="00243677" w:rsidRDefault="00243677" w:rsidP="00243677">
      <w:pPr>
        <w:pStyle w:val="Default"/>
        <w:spacing w:line="276" w:lineRule="auto"/>
        <w:rPr>
          <w:rFonts w:asciiTheme="majorBidi" w:hAnsiTheme="majorBidi" w:cstheme="majorBidi"/>
          <w:b/>
          <w:bCs/>
          <w:color w:val="000000" w:themeColor="text1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Pr="00B75489" w:rsidRDefault="00243677" w:rsidP="0024367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</w:p>
    <w:p w:rsidR="00243677" w:rsidRPr="00B75489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75489">
        <w:rPr>
          <w:rFonts w:asciiTheme="majorBidi" w:hAnsiTheme="majorBidi" w:cstheme="majorBidi"/>
          <w:b/>
          <w:bCs/>
          <w:sz w:val="24"/>
          <w:szCs w:val="24"/>
        </w:rPr>
        <w:t xml:space="preserve">Appendix Table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5 </w:t>
      </w:r>
      <w:r w:rsidRPr="00B75489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Decision support record for the BGAG using the 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‘</w:t>
      </w:r>
      <w:r w:rsidRPr="00B75489">
        <w:rPr>
          <w:rFonts w:asciiTheme="majorBidi" w:hAnsiTheme="majorBidi" w:cstheme="majorBidi"/>
          <w:b/>
          <w:bCs/>
          <w:color w:val="000000"/>
          <w:sz w:val="24"/>
          <w:szCs w:val="24"/>
        </w:rPr>
        <w:t>Adapted ADAPTE method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ology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50"/>
        <w:gridCol w:w="2289"/>
        <w:gridCol w:w="617"/>
        <w:gridCol w:w="679"/>
        <w:gridCol w:w="756"/>
        <w:gridCol w:w="1351"/>
        <w:gridCol w:w="2564"/>
      </w:tblGrid>
      <w:tr w:rsidR="00243677" w:rsidRPr="00B75489" w:rsidTr="006549FA">
        <w:trPr>
          <w:trHeight w:val="60"/>
          <w:jc w:val="center"/>
        </w:trPr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PHASE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MODULE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STEP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TOOL</w:t>
            </w:r>
          </w:p>
        </w:tc>
        <w:tc>
          <w:tcPr>
            <w:tcW w:w="2125" w:type="dxa"/>
            <w:gridSpan w:val="2"/>
            <w:tcBorders>
              <w:bottom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DECISION</w:t>
            </w:r>
          </w:p>
        </w:tc>
        <w:tc>
          <w:tcPr>
            <w:tcW w:w="2564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REASON </w:t>
            </w:r>
            <w:r w:rsidRPr="00B75489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>(if not utilized)</w:t>
            </w:r>
          </w:p>
        </w:tc>
      </w:tr>
      <w:tr w:rsidR="00243677" w:rsidRPr="00B75489" w:rsidTr="006549FA">
        <w:trPr>
          <w:trHeight w:val="60"/>
          <w:jc w:val="center"/>
        </w:trPr>
        <w:tc>
          <w:tcPr>
            <w:tcW w:w="0" w:type="auto"/>
            <w:vMerge/>
            <w:tcBorders>
              <w:bottom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Utilized</w:t>
            </w:r>
          </w:p>
        </w:tc>
        <w:tc>
          <w:tcPr>
            <w:tcW w:w="1309" w:type="dxa"/>
            <w:tcBorders>
              <w:bottom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Not utilized</w:t>
            </w:r>
          </w:p>
        </w:tc>
        <w:tc>
          <w:tcPr>
            <w:tcW w:w="2564" w:type="dxa"/>
            <w:vMerge/>
            <w:tcBorders>
              <w:bottom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57"/>
          <w:jc w:val="center"/>
        </w:trPr>
        <w:tc>
          <w:tcPr>
            <w:tcW w:w="0" w:type="auto"/>
            <w:vMerge w:val="restart"/>
            <w:shd w:val="clear" w:color="auto" w:fill="D9D9D9" w:themeFill="background1" w:themeFillShade="D9"/>
            <w:textDirection w:val="btLr"/>
            <w:vAlign w:val="center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ONE: SET-UP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hideMark/>
          </w:tcPr>
          <w:p w:rsidR="00243677" w:rsidRPr="00B75489" w:rsidRDefault="00243677" w:rsidP="00243677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Preparation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57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57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118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57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57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57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57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57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 w:val="restart"/>
            <w:shd w:val="clear" w:color="auto" w:fill="D9D9D9" w:themeFill="background1" w:themeFillShade="D9"/>
            <w:textDirection w:val="btLr"/>
            <w:vAlign w:val="center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TWO: ADAPTATION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2.1. Scope and Purpose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2.2. Search and Screen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216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FFFFF" w:themeFill="background1"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color w:val="FF0000"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309" w:type="dxa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2564" w:type="dxa"/>
            <w:vMerge w:val="restart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Not utilized. </w:t>
            </w:r>
            <w:r w:rsidRPr="00B75489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The </w:t>
            </w:r>
            <w:r>
              <w:rPr>
                <w:rFonts w:asciiTheme="majorBidi" w:hAnsiTheme="majorBidi" w:cstheme="majorBidi"/>
                <w:bCs/>
                <w:sz w:val="16"/>
                <w:szCs w:val="16"/>
              </w:rPr>
              <w:t>B</w:t>
            </w:r>
            <w:r w:rsidRPr="00B75489">
              <w:rPr>
                <w:rFonts w:asciiTheme="majorBidi" w:hAnsiTheme="majorBidi" w:cstheme="majorBidi"/>
                <w:bCs/>
                <w:sz w:val="16"/>
                <w:szCs w:val="16"/>
              </w:rPr>
              <w:t>GAG decided to rely on inclusion/ exclusion criteria and PIPOH compatibility</w:t>
            </w: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309" w:type="dxa"/>
            <w:tcBorders>
              <w:bottom w:val="single" w:sz="8" w:space="0" w:color="000000"/>
            </w:tcBorders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2564" w:type="dxa"/>
            <w:vMerge/>
            <w:tcBorders>
              <w:bottom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2.3. Assessment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2F2F2" w:themeFill="background1" w:themeFillShade="F2"/>
            <w:hideMark/>
          </w:tcPr>
          <w:p w:rsidR="00243677" w:rsidRPr="00243677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2436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309" w:type="dxa"/>
            <w:shd w:val="clear" w:color="auto" w:fill="F2F2F2" w:themeFill="background1" w:themeFillShade="F2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2564" w:type="dxa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Not utilized. </w:t>
            </w:r>
            <w:r w:rsidRPr="00B75489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The </w:t>
            </w:r>
            <w:r>
              <w:rPr>
                <w:rFonts w:asciiTheme="majorBidi" w:hAnsiTheme="majorBidi" w:cstheme="majorBidi"/>
                <w:bCs/>
                <w:sz w:val="16"/>
                <w:szCs w:val="16"/>
              </w:rPr>
              <w:t>B</w:t>
            </w:r>
            <w:r w:rsidRPr="00B75489">
              <w:rPr>
                <w:rFonts w:asciiTheme="majorBidi" w:hAnsiTheme="majorBidi" w:cstheme="majorBidi"/>
                <w:bCs/>
                <w:sz w:val="16"/>
                <w:szCs w:val="16"/>
              </w:rPr>
              <w:t>GAG decided to select and adopt all the recommendations from two Source CPGs: PREDICT &amp; AAP</w:t>
            </w: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309" w:type="dxa"/>
            <w:shd w:val="clear" w:color="auto" w:fill="F2F2F2" w:themeFill="background1" w:themeFillShade="F2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2564" w:type="dxa"/>
            <w:vMerge w:val="restart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The </w:t>
            </w:r>
            <w:r>
              <w:rPr>
                <w:rFonts w:asciiTheme="majorBidi" w:hAnsiTheme="majorBidi" w:cstheme="majorBidi"/>
                <w:bCs/>
                <w:sz w:val="16"/>
                <w:szCs w:val="16"/>
              </w:rPr>
              <w:t>B</w:t>
            </w:r>
            <w:r w:rsidRPr="00B75489">
              <w:rPr>
                <w:rFonts w:asciiTheme="majorBidi" w:hAnsiTheme="majorBidi" w:cstheme="majorBidi"/>
                <w:bCs/>
                <w:sz w:val="16"/>
                <w:szCs w:val="16"/>
              </w:rPr>
              <w:t>GAG decided to rely on Domain 3 scores of the AGREE II appraisal</w:t>
            </w: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309" w:type="dxa"/>
            <w:shd w:val="clear" w:color="auto" w:fill="F2F2F2" w:themeFill="background1" w:themeFillShade="F2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2564" w:type="dxa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309" w:type="dxa"/>
            <w:tcBorders>
              <w:bottom w:val="single" w:sz="8" w:space="0" w:color="000000"/>
            </w:tcBorders>
            <w:shd w:val="clear" w:color="auto" w:fill="F2F2F2" w:themeFill="background1" w:themeFillShade="F2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2564" w:type="dxa"/>
            <w:tcBorders>
              <w:bottom w:val="single" w:sz="8" w:space="0" w:color="000000"/>
            </w:tcBorders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The </w:t>
            </w:r>
            <w:r>
              <w:rPr>
                <w:rFonts w:asciiTheme="majorBidi" w:hAnsiTheme="majorBidi" w:cstheme="majorBidi"/>
                <w:bCs/>
                <w:sz w:val="16"/>
                <w:szCs w:val="16"/>
              </w:rPr>
              <w:t>B</w:t>
            </w:r>
            <w:r w:rsidRPr="00B75489">
              <w:rPr>
                <w:rFonts w:asciiTheme="majorBidi" w:hAnsiTheme="majorBidi" w:cstheme="majorBidi"/>
                <w:bCs/>
                <w:sz w:val="16"/>
                <w:szCs w:val="16"/>
              </w:rPr>
              <w:t>GAG decided to rely on Domains 2 and 5 scores of the AGREE II appraisal</w:t>
            </w: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2.4. Decision and Selection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i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cantSplit/>
          <w:trHeight w:val="295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i/>
                <w:i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tcBorders>
              <w:bottom w:val="single" w:sz="8" w:space="0" w:color="000000"/>
            </w:tcBorders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Cs/>
                <w:iCs/>
                <w:sz w:val="16"/>
                <w:szCs w:val="16"/>
              </w:rPr>
              <w:t xml:space="preserve">Decision making and selection (5 options). The </w:t>
            </w:r>
            <w:r>
              <w:rPr>
                <w:rFonts w:asciiTheme="majorBidi" w:hAnsiTheme="majorBidi" w:cstheme="majorBidi"/>
                <w:bCs/>
                <w:iCs/>
                <w:sz w:val="16"/>
                <w:szCs w:val="16"/>
              </w:rPr>
              <w:t>B</w:t>
            </w:r>
            <w:bookmarkStart w:id="0" w:name="_GoBack"/>
            <w:bookmarkEnd w:id="0"/>
            <w:r w:rsidRPr="00B75489">
              <w:rPr>
                <w:rFonts w:asciiTheme="majorBidi" w:hAnsiTheme="majorBidi" w:cstheme="majorBidi"/>
                <w:bCs/>
                <w:iCs/>
                <w:sz w:val="16"/>
                <w:szCs w:val="16"/>
              </w:rPr>
              <w:t>GAG adopted the recommendations with their evidence.</w:t>
            </w: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2.5. Customization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2F2F2" w:themeFill="background1" w:themeFillShade="F2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Cs/>
                <w:sz w:val="16"/>
                <w:szCs w:val="16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 w:val="restart"/>
            <w:shd w:val="clear" w:color="auto" w:fill="FFFFFF" w:themeFill="background1"/>
            <w:textDirection w:val="btLr"/>
            <w:vAlign w:val="center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THRE: FINALIZATION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3.1. External Review and Acknowledgment Module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vMerge w:val="restart"/>
            <w:tcBorders>
              <w:top w:val="single" w:sz="8" w:space="0" w:color="000000"/>
            </w:tcBorders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vMerge w:val="restart"/>
            <w:tcBorders>
              <w:top w:val="single" w:sz="8" w:space="0" w:color="000000"/>
            </w:tcBorders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vMerge/>
            <w:shd w:val="clear" w:color="auto" w:fill="A6A6A6" w:themeFill="background1" w:themeFillShade="A6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vMerge/>
            <w:shd w:val="clear" w:color="auto" w:fill="A6A6A6" w:themeFill="background1" w:themeFillShade="A6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vMerge/>
            <w:shd w:val="clear" w:color="auto" w:fill="A6A6A6" w:themeFill="background1" w:themeFillShade="A6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vMerge/>
            <w:shd w:val="clear" w:color="auto" w:fill="A6A6A6" w:themeFill="background1" w:themeFillShade="A6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color w:val="FF0000"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vMerge/>
            <w:shd w:val="clear" w:color="auto" w:fill="A6A6A6" w:themeFill="background1" w:themeFillShade="A6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vMerge/>
            <w:shd w:val="clear" w:color="auto" w:fill="A6A6A6" w:themeFill="background1" w:themeFillShade="A6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3.2. Aftercare Planning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vMerge/>
            <w:shd w:val="clear" w:color="auto" w:fill="A6A6A6" w:themeFill="background1" w:themeFillShade="A6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vMerge/>
            <w:shd w:val="clear" w:color="auto" w:fill="A6A6A6" w:themeFill="background1" w:themeFillShade="A6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  <w:tr w:rsidR="00243677" w:rsidRPr="00B75489" w:rsidTr="00243677">
        <w:trPr>
          <w:trHeight w:val="92"/>
          <w:jc w:val="center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243677" w:rsidRPr="00B75489" w:rsidRDefault="00243677" w:rsidP="006549F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3.3. Final Production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  <w:r w:rsidRPr="00B754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√</w:t>
            </w:r>
          </w:p>
        </w:tc>
        <w:tc>
          <w:tcPr>
            <w:tcW w:w="1309" w:type="dxa"/>
            <w:vMerge/>
            <w:shd w:val="clear" w:color="auto" w:fill="A6A6A6" w:themeFill="background1" w:themeFillShade="A6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2564" w:type="dxa"/>
            <w:vMerge/>
            <w:shd w:val="clear" w:color="auto" w:fill="A6A6A6" w:themeFill="background1" w:themeFillShade="A6"/>
          </w:tcPr>
          <w:p w:rsidR="00243677" w:rsidRPr="00B75489" w:rsidRDefault="00243677" w:rsidP="006549FA">
            <w:pPr>
              <w:suppressAutoHyphens/>
              <w:spacing w:after="0" w:line="240" w:lineRule="auto"/>
              <w:jc w:val="both"/>
              <w:rPr>
                <w:rFonts w:asciiTheme="majorBidi" w:hAnsiTheme="majorBidi" w:cstheme="majorBidi"/>
                <w:bCs/>
                <w:i/>
                <w:sz w:val="16"/>
                <w:szCs w:val="16"/>
                <w:lang w:eastAsia="ar-SA"/>
              </w:rPr>
            </w:pPr>
          </w:p>
        </w:tc>
      </w:tr>
    </w:tbl>
    <w:p w:rsidR="00243677" w:rsidRPr="00243677" w:rsidRDefault="00243677" w:rsidP="00243677">
      <w:pPr>
        <w:spacing w:after="0" w:line="240" w:lineRule="auto"/>
        <w:jc w:val="both"/>
        <w:rPr>
          <w:rFonts w:asciiTheme="majorBidi" w:hAnsiTheme="majorBidi" w:cstheme="majorBidi"/>
          <w:i/>
          <w:iCs/>
          <w:sz w:val="20"/>
          <w:szCs w:val="20"/>
        </w:rPr>
      </w:pPr>
      <w:r>
        <w:rPr>
          <w:rFonts w:asciiTheme="majorBidi" w:hAnsiTheme="majorBidi" w:cstheme="majorBidi"/>
          <w:i/>
          <w:iCs/>
          <w:sz w:val="20"/>
          <w:szCs w:val="20"/>
        </w:rPr>
        <w:t xml:space="preserve">Abbreviations: </w:t>
      </w:r>
      <w:r w:rsidRPr="00243677">
        <w:rPr>
          <w:rFonts w:asciiTheme="majorBidi" w:hAnsiTheme="majorBidi" w:cstheme="majorBidi"/>
          <w:i/>
          <w:iCs/>
          <w:sz w:val="20"/>
          <w:szCs w:val="20"/>
        </w:rPr>
        <w:t>BGAG: Bronchiolitis Guideline Adaptation Group</w:t>
      </w:r>
    </w:p>
    <w:p w:rsidR="00243677" w:rsidRPr="00B75489" w:rsidRDefault="00243677" w:rsidP="00243677">
      <w:pPr>
        <w:rPr>
          <w:rFonts w:asciiTheme="majorBidi" w:hAnsiTheme="majorBidi" w:cstheme="majorBidi"/>
          <w:sz w:val="24"/>
          <w:szCs w:val="24"/>
        </w:rPr>
      </w:pPr>
    </w:p>
    <w:p w:rsidR="00243677" w:rsidRPr="00B75489" w:rsidRDefault="00243677" w:rsidP="0024367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D611D7" w:rsidRDefault="00D611D7"/>
    <w:sectPr w:rsidR="00D611D7" w:rsidSect="003809A3">
      <w:footerReference w:type="default" r:id="rId5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69173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7DB1" w:rsidRDefault="002436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B7DB1" w:rsidRDefault="002436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80044"/>
    <w:multiLevelType w:val="multilevel"/>
    <w:tmpl w:val="28DE253E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77"/>
    <w:rsid w:val="00243677"/>
    <w:rsid w:val="00D6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6F2ED"/>
  <w15:chartTrackingRefBased/>
  <w15:docId w15:val="{C949D574-4A31-48E9-AB5D-D0E3C5A14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67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367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243677"/>
    <w:pPr>
      <w:ind w:left="720"/>
      <w:contextualSpacing/>
    </w:pPr>
  </w:style>
  <w:style w:type="paragraph" w:customStyle="1" w:styleId="Default">
    <w:name w:val="Default"/>
    <w:rsid w:val="002436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4367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436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677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Yasser Amer</dc:creator>
  <cp:keywords/>
  <dc:description/>
  <cp:lastModifiedBy>Yasser Amer</cp:lastModifiedBy>
  <cp:revision>1</cp:revision>
  <dcterms:created xsi:type="dcterms:W3CDTF">2021-12-15T20:33:00Z</dcterms:created>
  <dcterms:modified xsi:type="dcterms:W3CDTF">2021-12-15T20:43:00Z</dcterms:modified>
</cp:coreProperties>
</file>