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C5478A" w14:textId="77777777" w:rsidR="00A836FC" w:rsidRPr="00A836FC" w:rsidRDefault="00A836FC" w:rsidP="00A836FC">
      <w:pPr>
        <w:keepNext/>
        <w:keepLines/>
        <w:ind w:left="-180" w:firstLine="0"/>
        <w:jc w:val="left"/>
        <w:outlineLvl w:val="6"/>
        <w:rPr>
          <w:rFonts w:ascii="Times New Roman" w:eastAsia="Times New Roman" w:hAnsi="Times New Roman" w:cs="Times New Roman"/>
          <w:b/>
          <w:bCs/>
          <w:color w:val="404040"/>
          <w:sz w:val="28"/>
          <w:szCs w:val="28"/>
        </w:rPr>
      </w:pPr>
      <w:r w:rsidRPr="00A836FC">
        <w:rPr>
          <w:rFonts w:ascii="Times New Roman" w:eastAsia="Calibri" w:hAnsi="Times New Roman" w:cs="Times New Roman"/>
          <w:b/>
          <w:bCs/>
          <w:sz w:val="28"/>
          <w:szCs w:val="28"/>
        </w:rPr>
        <w:t>Egyptian Pediatric Clinical Practice Adapted Guidelines</w:t>
      </w:r>
      <w:r w:rsidRPr="00A836FC">
        <w:rPr>
          <w:rFonts w:ascii="Times New Roman" w:eastAsia="Times New Roman" w:hAnsi="Times New Roman" w:cs="Times New Roman"/>
          <w:b/>
          <w:bCs/>
          <w:color w:val="404040"/>
          <w:sz w:val="28"/>
          <w:szCs w:val="28"/>
        </w:rPr>
        <w:t xml:space="preserve"> Evidence Based</w:t>
      </w:r>
    </w:p>
    <w:p w14:paraId="07563A66" w14:textId="77777777" w:rsidR="00E85C29" w:rsidRPr="00E85C29" w:rsidRDefault="00A836FC" w:rsidP="00A836FC">
      <w:pPr>
        <w:spacing w:after="160" w:line="256" w:lineRule="auto"/>
        <w:ind w:firstLine="0"/>
        <w:jc w:val="left"/>
        <w:rPr>
          <w:rFonts w:ascii="Calibri" w:eastAsia="Calibri" w:hAnsi="Calibri" w:cs="Calibri"/>
          <w:b/>
          <w:bCs/>
          <w:sz w:val="32"/>
          <w:szCs w:val="32"/>
          <w:highlight w:val="yellow"/>
        </w:rPr>
      </w:pPr>
      <w:r w:rsidRPr="00A836FC">
        <w:rPr>
          <w:rFonts w:ascii="Times New Roman" w:eastAsia="Times New Roman" w:hAnsi="Times New Roman" w:cs="Times New Roman"/>
          <w:b/>
          <w:bCs/>
          <w:color w:val="404040"/>
          <w:sz w:val="28"/>
          <w:szCs w:val="28"/>
        </w:rPr>
        <w:t xml:space="preserve">   [2] Steroid Resistant Nephrotic Syndrome: SRNS 2022   </w:t>
      </w:r>
    </w:p>
    <w:p w14:paraId="120B168D" w14:textId="77777777" w:rsidR="00E85C29" w:rsidRPr="00E85C29" w:rsidRDefault="00E85C29" w:rsidP="00E85C29">
      <w:pPr>
        <w:shd w:val="clear" w:color="auto" w:fill="F2F2F2"/>
        <w:spacing w:after="160" w:line="256" w:lineRule="auto"/>
        <w:ind w:firstLine="0"/>
        <w:jc w:val="center"/>
        <w:rPr>
          <w:rFonts w:ascii="Times New Roman" w:eastAsia="Calibri" w:hAnsi="Times New Roman" w:cs="Times New Roman"/>
          <w:b/>
          <w:bCs/>
          <w:sz w:val="28"/>
          <w:szCs w:val="28"/>
        </w:rPr>
      </w:pPr>
      <w:r w:rsidRPr="00E85C29">
        <w:rPr>
          <w:rFonts w:ascii="Times New Roman" w:eastAsia="Calibri" w:hAnsi="Times New Roman" w:cs="Times New Roman"/>
          <w:b/>
          <w:bCs/>
          <w:sz w:val="28"/>
          <w:szCs w:val="28"/>
        </w:rPr>
        <w:t>Appendix</w:t>
      </w:r>
    </w:p>
    <w:p w14:paraId="4E6CDB3D" w14:textId="77777777" w:rsidR="00672A15" w:rsidRPr="00672A15" w:rsidRDefault="00672A15" w:rsidP="00672A15">
      <w:pPr>
        <w:ind w:firstLine="0"/>
        <w:jc w:val="left"/>
        <w:rPr>
          <w:rFonts w:ascii="Times New Roman" w:eastAsia="Calibri" w:hAnsi="Times New Roman" w:cs="Times New Roman"/>
          <w:b/>
          <w:bCs/>
          <w:sz w:val="28"/>
          <w:szCs w:val="28"/>
        </w:rPr>
      </w:pPr>
      <w:r w:rsidRPr="00672A15">
        <w:rPr>
          <w:rFonts w:ascii="Times New Roman" w:eastAsia="Calibri" w:hAnsi="Times New Roman" w:cs="Times New Roman"/>
          <w:b/>
          <w:bCs/>
          <w:sz w:val="28"/>
          <w:szCs w:val="28"/>
        </w:rPr>
        <w:t xml:space="preserve">Methodology Documents </w:t>
      </w:r>
    </w:p>
    <w:p w14:paraId="41239FF5" w14:textId="77777777" w:rsidR="00672A15" w:rsidRPr="00672A15" w:rsidRDefault="00672A15" w:rsidP="00672A15">
      <w:pPr>
        <w:shd w:val="clear" w:color="auto" w:fill="F2F2F2" w:themeFill="background1" w:themeFillShade="F2"/>
        <w:ind w:firstLine="0"/>
        <w:jc w:val="left"/>
        <w:rPr>
          <w:rFonts w:ascii="Times New Roman" w:eastAsia="Calibri" w:hAnsi="Times New Roman" w:cs="Times New Roman"/>
          <w:b/>
          <w:bCs/>
          <w:sz w:val="24"/>
          <w:szCs w:val="24"/>
        </w:rPr>
      </w:pPr>
      <w:r w:rsidRPr="00672A15">
        <w:rPr>
          <w:rFonts w:ascii="Times New Roman" w:eastAsia="Calibri" w:hAnsi="Times New Roman" w:cs="Times New Roman"/>
          <w:b/>
          <w:bCs/>
          <w:sz w:val="24"/>
          <w:szCs w:val="24"/>
        </w:rPr>
        <w:t xml:space="preserve">1-Selection criteria for reference CPGs  </w:t>
      </w:r>
    </w:p>
    <w:p w14:paraId="0EBC49F5" w14:textId="31012BE1" w:rsidR="00672A15" w:rsidRPr="00672A15" w:rsidRDefault="003B0480" w:rsidP="00672A15">
      <w:pPr>
        <w:shd w:val="clear" w:color="auto" w:fill="FFFFFF" w:themeFill="background1"/>
        <w:ind w:firstLine="0"/>
        <w:jc w:val="left"/>
        <w:rPr>
          <w:rFonts w:ascii="Calibri" w:eastAsia="Calibri" w:hAnsi="Calibri" w:cs="Calibri"/>
          <w:b/>
          <w:bCs/>
          <w:sz w:val="28"/>
          <w:szCs w:val="28"/>
        </w:rPr>
      </w:pPr>
      <w:r w:rsidRPr="008D5A68">
        <w:rPr>
          <w:rFonts w:ascii="Calibri" w:eastAsia="Calibri" w:hAnsi="Calibri" w:cs="Calibri"/>
          <w:b/>
          <w:bCs/>
          <w:noProof/>
          <w:sz w:val="28"/>
          <w:szCs w:val="28"/>
        </w:rPr>
        <w:drawing>
          <wp:inline distT="0" distB="0" distL="0" distR="0" wp14:anchorId="14FD1F1F" wp14:editId="5D5C2DE8">
            <wp:extent cx="6153150" cy="2857500"/>
            <wp:effectExtent l="19050" t="19050" r="19050"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53150" cy="2857500"/>
                    </a:xfrm>
                    <a:prstGeom prst="rect">
                      <a:avLst/>
                    </a:prstGeom>
                    <a:ln>
                      <a:solidFill>
                        <a:sysClr val="windowText" lastClr="000000"/>
                      </a:solidFill>
                    </a:ln>
                  </pic:spPr>
                </pic:pic>
              </a:graphicData>
            </a:graphic>
          </wp:inline>
        </w:drawing>
      </w:r>
    </w:p>
    <w:p w14:paraId="5B723FE6" w14:textId="71B73E99" w:rsidR="00672A15" w:rsidRDefault="00C56460" w:rsidP="00C56460">
      <w:pPr>
        <w:shd w:val="clear" w:color="auto" w:fill="FFFFFF" w:themeFill="background1"/>
        <w:ind w:firstLine="0"/>
        <w:jc w:val="left"/>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(Fig 1 </w:t>
      </w:r>
      <w:proofErr w:type="gramStart"/>
      <w:r>
        <w:rPr>
          <w:rFonts w:ascii="Times New Roman" w:eastAsia="Calibri" w:hAnsi="Times New Roman" w:cs="Times New Roman"/>
          <w:b/>
          <w:bCs/>
          <w:sz w:val="24"/>
          <w:szCs w:val="24"/>
        </w:rPr>
        <w:t>Methodology )</w:t>
      </w:r>
      <w:proofErr w:type="gramEnd"/>
    </w:p>
    <w:p w14:paraId="1DE95B36" w14:textId="77777777" w:rsidR="00C56460" w:rsidRPr="00C56460" w:rsidRDefault="00C56460" w:rsidP="00C56460">
      <w:pPr>
        <w:shd w:val="clear" w:color="auto" w:fill="FFFFFF" w:themeFill="background1"/>
        <w:ind w:firstLine="0"/>
        <w:jc w:val="left"/>
        <w:rPr>
          <w:rFonts w:ascii="Times New Roman" w:eastAsia="Calibri" w:hAnsi="Times New Roman" w:cs="Times New Roman"/>
          <w:b/>
          <w:bCs/>
          <w:sz w:val="24"/>
          <w:szCs w:val="24"/>
        </w:rPr>
      </w:pPr>
    </w:p>
    <w:p w14:paraId="490A440E" w14:textId="77777777" w:rsidR="00672A15" w:rsidRPr="00672A15" w:rsidRDefault="00672A15" w:rsidP="00672A15">
      <w:pPr>
        <w:shd w:val="clear" w:color="auto" w:fill="F2F2F2" w:themeFill="background1" w:themeFillShade="F2"/>
        <w:ind w:firstLine="0"/>
        <w:rPr>
          <w:rFonts w:ascii="Times New Roman" w:eastAsia="Times New Roman" w:hAnsi="Times New Roman" w:cs="Times New Roman"/>
          <w:b/>
          <w:sz w:val="24"/>
          <w:szCs w:val="24"/>
        </w:rPr>
      </w:pPr>
      <w:r w:rsidRPr="00672A15">
        <w:rPr>
          <w:rFonts w:ascii="Times New Roman" w:eastAsia="Times New Roman" w:hAnsi="Times New Roman" w:cs="Times New Roman"/>
          <w:b/>
          <w:sz w:val="24"/>
          <w:szCs w:val="24"/>
        </w:rPr>
        <w:t>2- List of retrieved Guidelines</w:t>
      </w:r>
    </w:p>
    <w:p w14:paraId="29E19D56" w14:textId="77777777" w:rsidR="00672A15" w:rsidRPr="00672A15" w:rsidRDefault="00672A15" w:rsidP="00672A15">
      <w:pPr>
        <w:numPr>
          <w:ilvl w:val="0"/>
          <w:numId w:val="5"/>
        </w:numPr>
        <w:tabs>
          <w:tab w:val="left" w:pos="270"/>
          <w:tab w:val="left" w:pos="360"/>
        </w:tabs>
        <w:ind w:left="270" w:hanging="180"/>
        <w:jc w:val="left"/>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t xml:space="preserve">IPNA clinical practice recommendations for the diagnosis and management of children with steroid-resistant nephrotic syndrome. </w:t>
      </w:r>
    </w:p>
    <w:p w14:paraId="4F5DB453" w14:textId="77777777" w:rsidR="00672A15" w:rsidRPr="00672A15" w:rsidRDefault="00672A15" w:rsidP="00672A15">
      <w:pPr>
        <w:tabs>
          <w:tab w:val="left" w:pos="270"/>
          <w:tab w:val="left" w:pos="360"/>
        </w:tabs>
        <w:ind w:left="270" w:hanging="180"/>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t xml:space="preserve">    Available at: Pediatric Nephrology (2020) 35:1529–1561 </w:t>
      </w:r>
      <w:hyperlink r:id="rId8">
        <w:r w:rsidRPr="00672A15">
          <w:rPr>
            <w:rFonts w:ascii="Times New Roman" w:eastAsia="Times New Roman" w:hAnsi="Times New Roman" w:cs="Times New Roman"/>
            <w:bCs/>
            <w:sz w:val="24"/>
            <w:szCs w:val="24"/>
          </w:rPr>
          <w:t>https://doi.org/10.1007/s00467-020-04519-1</w:t>
        </w:r>
      </w:hyperlink>
      <w:r w:rsidRPr="00672A15">
        <w:rPr>
          <w:rFonts w:ascii="Times New Roman" w:eastAsia="Times New Roman" w:hAnsi="Times New Roman" w:cs="Times New Roman"/>
          <w:bCs/>
          <w:sz w:val="24"/>
          <w:szCs w:val="24"/>
        </w:rPr>
        <w:t>.</w:t>
      </w:r>
    </w:p>
    <w:p w14:paraId="58DBA3F3" w14:textId="77777777" w:rsidR="00672A15" w:rsidRPr="00672A15" w:rsidRDefault="00672A15" w:rsidP="00672A15">
      <w:pPr>
        <w:numPr>
          <w:ilvl w:val="0"/>
          <w:numId w:val="5"/>
        </w:numPr>
        <w:tabs>
          <w:tab w:val="left" w:pos="180"/>
          <w:tab w:val="left" w:pos="270"/>
          <w:tab w:val="left" w:pos="360"/>
        </w:tabs>
        <w:ind w:left="270" w:hanging="180"/>
        <w:jc w:val="left"/>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t>Clinical practice guideline for pediatric idiopathic nephrotic syndrome 2013: medical therapy. Japanese Society of Nephrology and The Japanese Society for Pediatric Nephrology 2015.</w:t>
      </w:r>
    </w:p>
    <w:p w14:paraId="7D2D8C46" w14:textId="77777777" w:rsidR="00672A15" w:rsidRPr="00672A15" w:rsidRDefault="00672A15" w:rsidP="00672A15">
      <w:pPr>
        <w:tabs>
          <w:tab w:val="left" w:pos="180"/>
          <w:tab w:val="left" w:pos="270"/>
          <w:tab w:val="left" w:pos="360"/>
        </w:tabs>
        <w:ind w:left="270" w:hanging="180"/>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t xml:space="preserve">   Available at: Clin Exp Nephrol DOI 10.1007/s10157-014-1030-x.</w:t>
      </w:r>
    </w:p>
    <w:p w14:paraId="576B41F4" w14:textId="77777777" w:rsidR="00672A15" w:rsidRPr="00672A15" w:rsidRDefault="00672A15" w:rsidP="00672A15">
      <w:pPr>
        <w:numPr>
          <w:ilvl w:val="0"/>
          <w:numId w:val="5"/>
        </w:numPr>
        <w:tabs>
          <w:tab w:val="left" w:pos="0"/>
          <w:tab w:val="left" w:pos="270"/>
          <w:tab w:val="left" w:pos="360"/>
        </w:tabs>
        <w:ind w:left="270" w:hanging="180"/>
        <w:jc w:val="left"/>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t xml:space="preserve">KDIGO Clinical Practice Guideline on Glomerular Diseases </w:t>
      </w:r>
    </w:p>
    <w:p w14:paraId="48CE1677" w14:textId="77777777" w:rsidR="00672A15" w:rsidRPr="00672A15" w:rsidRDefault="00672A15" w:rsidP="00672A15">
      <w:pPr>
        <w:tabs>
          <w:tab w:val="left" w:pos="180"/>
          <w:tab w:val="left" w:pos="270"/>
          <w:tab w:val="left" w:pos="360"/>
        </w:tabs>
        <w:ind w:left="270" w:hanging="180"/>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t xml:space="preserve">    Available at: volume 2 | issue 2 | June 2012  </w:t>
      </w:r>
      <w:hyperlink r:id="rId9" w:history="1">
        <w:r w:rsidRPr="00672A15">
          <w:rPr>
            <w:rFonts w:ascii="Times New Roman" w:eastAsia="Times New Roman" w:hAnsi="Times New Roman" w:cs="Times New Roman"/>
            <w:bCs/>
            <w:sz w:val="24"/>
            <w:szCs w:val="24"/>
          </w:rPr>
          <w:t>http://www.kidney-international.org</w:t>
        </w:r>
      </w:hyperlink>
    </w:p>
    <w:p w14:paraId="2540B17E" w14:textId="77777777" w:rsidR="00672A15" w:rsidRPr="00672A15" w:rsidRDefault="00672A15" w:rsidP="00672A15">
      <w:pPr>
        <w:tabs>
          <w:tab w:val="left" w:pos="360"/>
        </w:tabs>
        <w:ind w:left="360" w:hanging="270"/>
        <w:rPr>
          <w:rFonts w:ascii="Times New Roman" w:eastAsia="Times New Roman" w:hAnsi="Times New Roman" w:cs="Times New Roman"/>
          <w:bCs/>
          <w:sz w:val="24"/>
          <w:szCs w:val="24"/>
        </w:rPr>
      </w:pPr>
      <w:r w:rsidRPr="00672A15">
        <w:rPr>
          <w:rFonts w:ascii="Times New Roman" w:eastAsia="Times New Roman" w:hAnsi="Times New Roman" w:cs="Times New Roman"/>
          <w:b/>
          <w:sz w:val="24"/>
          <w:szCs w:val="24"/>
        </w:rPr>
        <w:t>d-</w:t>
      </w:r>
      <w:r w:rsidRPr="00672A15">
        <w:rPr>
          <w:rFonts w:ascii="Times New Roman" w:eastAsia="Times New Roman" w:hAnsi="Times New Roman" w:cs="Times New Roman"/>
          <w:bCs/>
          <w:sz w:val="24"/>
          <w:szCs w:val="24"/>
        </w:rPr>
        <w:t xml:space="preserve"> Kidney Disease: Improving Global Outcomes (KDIGO) Glomerular Disease Work Group. KDIGO 2021.Clinical Practice Guideline for the management of   Glomerular Diseases.  </w:t>
      </w:r>
      <w:proofErr w:type="spellStart"/>
      <w:r w:rsidRPr="00672A15">
        <w:rPr>
          <w:rFonts w:ascii="Times New Roman" w:eastAsia="Times New Roman" w:hAnsi="Times New Roman" w:cs="Times New Roman"/>
          <w:bCs/>
          <w:sz w:val="24"/>
          <w:szCs w:val="24"/>
        </w:rPr>
        <w:t>KidneyInt</w:t>
      </w:r>
      <w:proofErr w:type="spellEnd"/>
      <w:r w:rsidRPr="00672A15">
        <w:rPr>
          <w:rFonts w:ascii="Times New Roman" w:eastAsia="Times New Roman" w:hAnsi="Times New Roman" w:cs="Times New Roman"/>
          <w:bCs/>
          <w:sz w:val="24"/>
          <w:szCs w:val="24"/>
        </w:rPr>
        <w:t>. 2021; 100 (45):51-S276.</w:t>
      </w:r>
    </w:p>
    <w:p w14:paraId="3DE5F595" w14:textId="77777777" w:rsidR="00672A15" w:rsidRPr="00672A15" w:rsidRDefault="00672A15" w:rsidP="00672A15">
      <w:pPr>
        <w:tabs>
          <w:tab w:val="left" w:pos="360"/>
        </w:tabs>
        <w:ind w:left="360" w:hanging="270"/>
        <w:rPr>
          <w:rFonts w:ascii="Times New Roman" w:eastAsia="Times New Roman" w:hAnsi="Times New Roman" w:cs="Times New Roman"/>
          <w:bCs/>
          <w:color w:val="000000"/>
          <w:sz w:val="24"/>
          <w:szCs w:val="24"/>
        </w:rPr>
      </w:pPr>
      <w:r w:rsidRPr="00672A15">
        <w:rPr>
          <w:rFonts w:ascii="Times New Roman" w:eastAsia="Times New Roman" w:hAnsi="Times New Roman" w:cs="Times New Roman"/>
          <w:bCs/>
          <w:sz w:val="24"/>
          <w:szCs w:val="24"/>
        </w:rPr>
        <w:t xml:space="preserve">    Available at </w:t>
      </w:r>
      <w:hyperlink r:id="rId10" w:history="1">
        <w:r w:rsidRPr="00672A15">
          <w:rPr>
            <w:rFonts w:ascii="Times New Roman" w:eastAsia="Times New Roman" w:hAnsi="Times New Roman" w:cs="Times New Roman"/>
            <w:bCs/>
            <w:sz w:val="24"/>
            <w:szCs w:val="24"/>
          </w:rPr>
          <w:t>https://kidigo.org/guidelines/gd/(acessed29/09/2021)(KDIGO2021</w:t>
        </w:r>
      </w:hyperlink>
      <w:r w:rsidRPr="00672A15">
        <w:rPr>
          <w:rFonts w:ascii="Times New Roman" w:eastAsia="Times New Roman" w:hAnsi="Times New Roman" w:cs="Times New Roman"/>
          <w:bCs/>
          <w:color w:val="4F81BD"/>
          <w:sz w:val="24"/>
          <w:szCs w:val="24"/>
        </w:rPr>
        <w:t xml:space="preserve"> </w:t>
      </w:r>
    </w:p>
    <w:p w14:paraId="3A0B218E" w14:textId="77777777" w:rsidR="00672A15" w:rsidRPr="00672A15" w:rsidRDefault="00672A15" w:rsidP="00672A15">
      <w:pPr>
        <w:tabs>
          <w:tab w:val="left" w:pos="360"/>
        </w:tabs>
        <w:ind w:left="630" w:hanging="540"/>
        <w:rPr>
          <w:rFonts w:ascii="Times New Roman" w:eastAsia="Times New Roman" w:hAnsi="Times New Roman" w:cs="Times New Roman"/>
          <w:bCs/>
          <w:color w:val="4F81BD"/>
          <w:sz w:val="24"/>
          <w:szCs w:val="24"/>
        </w:rPr>
      </w:pPr>
    </w:p>
    <w:p w14:paraId="581328EA" w14:textId="77777777" w:rsidR="00672A15" w:rsidRPr="00672A15" w:rsidRDefault="00672A15" w:rsidP="00672A15">
      <w:pPr>
        <w:numPr>
          <w:ilvl w:val="0"/>
          <w:numId w:val="8"/>
        </w:numPr>
        <w:shd w:val="clear" w:color="auto" w:fill="F2F2F2"/>
        <w:tabs>
          <w:tab w:val="left" w:pos="450"/>
        </w:tabs>
        <w:contextualSpacing/>
        <w:jc w:val="left"/>
        <w:rPr>
          <w:rFonts w:ascii="Times New Roman" w:eastAsia="Times New Roman" w:hAnsi="Times New Roman" w:cs="Times New Roman"/>
          <w:b/>
          <w:sz w:val="24"/>
          <w:szCs w:val="24"/>
          <w:lang w:val="en-GB"/>
        </w:rPr>
      </w:pPr>
      <w:r w:rsidRPr="00672A15">
        <w:rPr>
          <w:rFonts w:ascii="Times New Roman" w:eastAsia="Times New Roman" w:hAnsi="Times New Roman" w:cs="Times New Roman"/>
          <w:b/>
          <w:sz w:val="24"/>
          <w:szCs w:val="24"/>
          <w:lang w:val="en-GB"/>
        </w:rPr>
        <w:t>Critical group appraisal of reference guidelines:</w:t>
      </w:r>
    </w:p>
    <w:p w14:paraId="72157B29" w14:textId="77777777" w:rsidR="00672A15" w:rsidRPr="00672A15" w:rsidRDefault="00672A15" w:rsidP="00672A15">
      <w:pPr>
        <w:numPr>
          <w:ilvl w:val="0"/>
          <w:numId w:val="6"/>
        </w:numPr>
        <w:tabs>
          <w:tab w:val="left" w:pos="450"/>
        </w:tabs>
        <w:jc w:val="left"/>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t>IPNA clinical practice recommendations for the diagnosis and management of children</w:t>
      </w:r>
    </w:p>
    <w:p w14:paraId="3D22D226" w14:textId="77777777" w:rsidR="00672A15" w:rsidRPr="00672A15" w:rsidRDefault="00672A15" w:rsidP="00672A15">
      <w:pPr>
        <w:tabs>
          <w:tab w:val="left" w:pos="450"/>
        </w:tabs>
        <w:ind w:left="450" w:firstLine="0"/>
        <w:jc w:val="left"/>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t xml:space="preserve"> with steroid-resistant nephrotic syndrome, using the AGREE II Instrument.</w:t>
      </w:r>
    </w:p>
    <w:p w14:paraId="7BE4D830" w14:textId="77777777" w:rsidR="00672A15" w:rsidRPr="00672A15" w:rsidRDefault="00672A15" w:rsidP="00672A15">
      <w:pPr>
        <w:ind w:left="90" w:firstLine="0"/>
        <w:jc w:val="left"/>
        <w:rPr>
          <w:rFonts w:ascii="Times New Roman" w:eastAsia="Times New Roman" w:hAnsi="Times New Roman" w:cs="Times New Roman"/>
          <w:bCs/>
          <w:sz w:val="24"/>
          <w:szCs w:val="24"/>
        </w:rPr>
      </w:pPr>
      <w:r w:rsidRPr="00672A15">
        <w:rPr>
          <w:rFonts w:ascii="Times New Roman" w:eastAsia="Times New Roman" w:hAnsi="Times New Roman" w:cs="Times New Roman"/>
          <w:bCs/>
          <w:noProof/>
          <w:sz w:val="24"/>
          <w:szCs w:val="24"/>
        </w:rPr>
        <w:drawing>
          <wp:inline distT="0" distB="0" distL="0" distR="0" wp14:anchorId="4A609F44" wp14:editId="77CAE07F">
            <wp:extent cx="5838825" cy="1123950"/>
            <wp:effectExtent l="19050" t="19050" r="28575" b="19050"/>
            <wp:docPr id="21" name="Picture 21" descr="C:\Users\Abeer\Download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Abeer\Downloads\Captur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8825" cy="1123950"/>
                    </a:xfrm>
                    <a:prstGeom prst="rect">
                      <a:avLst/>
                    </a:prstGeom>
                    <a:noFill/>
                    <a:ln>
                      <a:solidFill>
                        <a:srgbClr val="003399"/>
                      </a:solidFill>
                    </a:ln>
                  </pic:spPr>
                </pic:pic>
              </a:graphicData>
            </a:graphic>
          </wp:inline>
        </w:drawing>
      </w:r>
    </w:p>
    <w:p w14:paraId="1546A838" w14:textId="77777777" w:rsidR="00672A15" w:rsidRPr="00672A15" w:rsidRDefault="00672A15" w:rsidP="00672A15">
      <w:pPr>
        <w:ind w:left="90" w:firstLine="0"/>
        <w:jc w:val="left"/>
        <w:rPr>
          <w:rFonts w:ascii="Times New Roman" w:eastAsia="Times New Roman" w:hAnsi="Times New Roman" w:cs="Times New Roman"/>
          <w:bCs/>
          <w:sz w:val="24"/>
          <w:szCs w:val="24"/>
        </w:rPr>
      </w:pPr>
      <w:r w:rsidRPr="00672A15">
        <w:rPr>
          <w:rFonts w:ascii="Times New Roman" w:eastAsia="Calibri" w:hAnsi="Times New Roman" w:cs="Times New Roman"/>
          <w:b/>
          <w:bCs/>
          <w:sz w:val="24"/>
          <w:szCs w:val="24"/>
        </w:rPr>
        <w:t xml:space="preserve">  (Fig 2 Methodology)</w:t>
      </w:r>
    </w:p>
    <w:p w14:paraId="52B02CB5" w14:textId="77777777" w:rsidR="00672A15" w:rsidRPr="00672A15" w:rsidRDefault="00672A15" w:rsidP="002C010B">
      <w:pPr>
        <w:ind w:firstLine="0"/>
        <w:jc w:val="left"/>
        <w:rPr>
          <w:rFonts w:ascii="Times New Roman" w:eastAsia="Times New Roman" w:hAnsi="Times New Roman" w:cs="Times New Roman"/>
          <w:bCs/>
          <w:sz w:val="24"/>
          <w:szCs w:val="24"/>
        </w:rPr>
      </w:pPr>
    </w:p>
    <w:p w14:paraId="4BAFF6B7" w14:textId="77777777" w:rsidR="00672A15" w:rsidRPr="00672A15" w:rsidRDefault="00672A15" w:rsidP="00672A15">
      <w:pPr>
        <w:numPr>
          <w:ilvl w:val="0"/>
          <w:numId w:val="6"/>
        </w:numPr>
        <w:tabs>
          <w:tab w:val="left" w:pos="360"/>
        </w:tabs>
        <w:ind w:left="90" w:firstLine="0"/>
        <w:jc w:val="left"/>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lastRenderedPageBreak/>
        <w:t>Evidence-Based Clinical Practice Guidelines for Nephrotic Syndrome JSPN 2014,</w:t>
      </w:r>
    </w:p>
    <w:p w14:paraId="3898B7F4" w14:textId="77777777" w:rsidR="00672A15" w:rsidRPr="00672A15" w:rsidRDefault="00672A15" w:rsidP="00672A15">
      <w:pPr>
        <w:tabs>
          <w:tab w:val="left" w:pos="360"/>
        </w:tabs>
        <w:ind w:left="90" w:firstLine="0"/>
        <w:jc w:val="left"/>
        <w:rPr>
          <w:rFonts w:ascii="Times New Roman" w:eastAsia="Times New Roman" w:hAnsi="Times New Roman" w:cs="Times New Roman"/>
          <w:bCs/>
          <w:sz w:val="24"/>
          <w:szCs w:val="24"/>
        </w:rPr>
      </w:pPr>
      <w:r w:rsidRPr="00672A15">
        <w:rPr>
          <w:rFonts w:ascii="Times New Roman" w:eastAsia="Times New Roman" w:hAnsi="Times New Roman" w:cs="Times New Roman"/>
          <w:bCs/>
          <w:sz w:val="24"/>
          <w:szCs w:val="24"/>
        </w:rPr>
        <w:t xml:space="preserve">       using the AGREE II Instrument.</w:t>
      </w:r>
    </w:p>
    <w:p w14:paraId="55D5CD94" w14:textId="77777777" w:rsidR="00672A15" w:rsidRPr="00672A15" w:rsidRDefault="00672A15" w:rsidP="00672A15">
      <w:pPr>
        <w:bidi/>
        <w:ind w:right="90" w:firstLine="0"/>
        <w:jc w:val="center"/>
        <w:rPr>
          <w:rFonts w:ascii="Times New Roman" w:eastAsia="Times New Roman" w:hAnsi="Times New Roman" w:cs="Times New Roman"/>
          <w:b/>
          <w:sz w:val="28"/>
          <w:szCs w:val="28"/>
        </w:rPr>
      </w:pPr>
      <w:r w:rsidRPr="00672A15">
        <w:rPr>
          <w:rFonts w:ascii="Times New Roman" w:eastAsia="Times New Roman" w:hAnsi="Times New Roman" w:cs="Times New Roman"/>
          <w:b/>
          <w:noProof/>
          <w:sz w:val="28"/>
          <w:szCs w:val="28"/>
          <w:rtl/>
        </w:rPr>
        <w:drawing>
          <wp:inline distT="0" distB="0" distL="0" distR="0" wp14:anchorId="3D135E73" wp14:editId="2B1B346D">
            <wp:extent cx="5800725" cy="695325"/>
            <wp:effectExtent l="19050" t="19050" r="28575" b="28575"/>
            <wp:docPr id="22" name="Picture 22" descr="C:\Users\Abeer\Download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Abeer\Downloads\Captur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00725" cy="695325"/>
                    </a:xfrm>
                    <a:prstGeom prst="rect">
                      <a:avLst/>
                    </a:prstGeom>
                    <a:noFill/>
                    <a:ln>
                      <a:solidFill>
                        <a:srgbClr val="003399"/>
                      </a:solidFill>
                    </a:ln>
                  </pic:spPr>
                </pic:pic>
              </a:graphicData>
            </a:graphic>
          </wp:inline>
        </w:drawing>
      </w:r>
    </w:p>
    <w:p w14:paraId="063C7A9D" w14:textId="77777777" w:rsidR="00672A15" w:rsidRPr="00672A15" w:rsidRDefault="00672A15" w:rsidP="00672A15">
      <w:pPr>
        <w:bidi/>
        <w:ind w:right="270" w:firstLine="0"/>
        <w:jc w:val="right"/>
        <w:rPr>
          <w:rFonts w:ascii="Times New Roman" w:eastAsia="Times New Roman" w:hAnsi="Times New Roman" w:cs="Times New Roman"/>
          <w:b/>
          <w:sz w:val="28"/>
          <w:szCs w:val="28"/>
        </w:rPr>
      </w:pPr>
      <w:r w:rsidRPr="00672A15">
        <w:rPr>
          <w:rFonts w:ascii="Times New Roman" w:eastAsia="Calibri" w:hAnsi="Times New Roman" w:cs="Times New Roman"/>
          <w:b/>
          <w:bCs/>
          <w:sz w:val="24"/>
          <w:szCs w:val="24"/>
        </w:rPr>
        <w:t xml:space="preserve">(Fig 3 Methodology)  </w:t>
      </w:r>
    </w:p>
    <w:p w14:paraId="59389653" w14:textId="77777777" w:rsidR="00672A15" w:rsidRPr="00672A15" w:rsidRDefault="00672A15" w:rsidP="00672A15">
      <w:pPr>
        <w:bidi/>
        <w:ind w:right="180" w:firstLine="0"/>
        <w:jc w:val="center"/>
        <w:rPr>
          <w:rFonts w:ascii="Times New Roman" w:eastAsia="Times New Roman" w:hAnsi="Times New Roman" w:cs="Times New Roman"/>
          <w:b/>
          <w:sz w:val="28"/>
          <w:szCs w:val="28"/>
        </w:rPr>
      </w:pPr>
    </w:p>
    <w:p w14:paraId="6AEBDE51" w14:textId="77777777" w:rsidR="00672A15" w:rsidRPr="00672A15" w:rsidRDefault="00672A15" w:rsidP="00672A15">
      <w:pPr>
        <w:numPr>
          <w:ilvl w:val="0"/>
          <w:numId w:val="6"/>
        </w:numPr>
        <w:tabs>
          <w:tab w:val="left" w:pos="360"/>
        </w:tabs>
        <w:ind w:left="90" w:right="90" w:firstLine="0"/>
        <w:contextualSpacing/>
        <w:jc w:val="left"/>
        <w:rPr>
          <w:rFonts w:ascii="Times New Roman" w:eastAsia="Times New Roman" w:hAnsi="Times New Roman" w:cs="Times New Roman"/>
          <w:b/>
          <w:sz w:val="28"/>
          <w:szCs w:val="28"/>
          <w:lang w:val="en-GB"/>
        </w:rPr>
      </w:pPr>
      <w:r w:rsidRPr="00672A15">
        <w:rPr>
          <w:rFonts w:ascii="Times New Roman" w:eastAsia="Times New Roman" w:hAnsi="Times New Roman" w:cs="Times New Roman"/>
          <w:bCs/>
          <w:sz w:val="24"/>
          <w:szCs w:val="24"/>
          <w:lang w:val="en-GB"/>
        </w:rPr>
        <w:t>KDIGO Clinical Practice Guideline on Glomerular Diseases, using the AGREE II Instrument.</w:t>
      </w:r>
      <w:r w:rsidRPr="00672A15">
        <w:rPr>
          <w:rFonts w:ascii="Times New Roman" w:eastAsia="Times New Roman" w:hAnsi="Times New Roman" w:cs="Times New Roman"/>
          <w:bCs/>
          <w:sz w:val="24"/>
          <w:szCs w:val="24"/>
          <w:lang w:val="en-GB"/>
        </w:rPr>
        <w:br/>
      </w:r>
      <w:r w:rsidRPr="00672A15">
        <w:rPr>
          <w:b/>
          <w:noProof/>
          <w:sz w:val="28"/>
          <w:szCs w:val="28"/>
        </w:rPr>
        <w:drawing>
          <wp:inline distT="0" distB="0" distL="0" distR="0" wp14:anchorId="4DB6FA7C" wp14:editId="7FB44C6C">
            <wp:extent cx="5895975" cy="800100"/>
            <wp:effectExtent l="19050" t="19050" r="28575" b="19050"/>
            <wp:docPr id="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5895975" cy="800100"/>
                    </a:xfrm>
                    <a:prstGeom prst="rect">
                      <a:avLst/>
                    </a:prstGeom>
                    <a:ln>
                      <a:solidFill>
                        <a:srgbClr val="003399"/>
                      </a:solidFill>
                    </a:ln>
                  </pic:spPr>
                </pic:pic>
              </a:graphicData>
            </a:graphic>
          </wp:inline>
        </w:drawing>
      </w:r>
    </w:p>
    <w:p w14:paraId="75BCC667" w14:textId="77777777" w:rsidR="00672A15" w:rsidRPr="00672A15" w:rsidRDefault="00672A15" w:rsidP="00672A15">
      <w:pPr>
        <w:bidi/>
        <w:ind w:right="180" w:firstLine="0"/>
        <w:jc w:val="right"/>
        <w:rPr>
          <w:rFonts w:ascii="Times New Roman" w:eastAsia="Times New Roman" w:hAnsi="Times New Roman" w:cs="Times New Roman"/>
          <w:b/>
          <w:sz w:val="28"/>
          <w:szCs w:val="28"/>
        </w:rPr>
      </w:pPr>
      <w:r w:rsidRPr="00672A15">
        <w:rPr>
          <w:rFonts w:ascii="Times New Roman" w:eastAsia="Times New Roman" w:hAnsi="Times New Roman" w:cs="Times New Roman"/>
          <w:b/>
          <w:sz w:val="28"/>
          <w:szCs w:val="28"/>
        </w:rPr>
        <w:t xml:space="preserve"> </w:t>
      </w:r>
      <w:r w:rsidRPr="00672A15">
        <w:rPr>
          <w:rFonts w:ascii="Times New Roman" w:eastAsia="Calibri" w:hAnsi="Times New Roman" w:cs="Times New Roman"/>
          <w:b/>
          <w:bCs/>
          <w:sz w:val="24"/>
          <w:szCs w:val="24"/>
        </w:rPr>
        <w:t>(Fig 4 Methodology)</w:t>
      </w:r>
    </w:p>
    <w:p w14:paraId="66145CB8" w14:textId="77777777" w:rsidR="00672A15" w:rsidRPr="00672A15" w:rsidRDefault="00672A15" w:rsidP="00672A15">
      <w:pPr>
        <w:tabs>
          <w:tab w:val="left" w:pos="180"/>
          <w:tab w:val="left" w:pos="450"/>
        </w:tabs>
        <w:ind w:right="91" w:firstLine="0"/>
        <w:jc w:val="left"/>
        <w:rPr>
          <w:rFonts w:ascii="Times New Roman" w:eastAsia="Times New Roman" w:hAnsi="Times New Roman" w:cs="Times New Roman"/>
          <w:b/>
          <w:sz w:val="28"/>
          <w:szCs w:val="28"/>
        </w:rPr>
      </w:pPr>
    </w:p>
    <w:p w14:paraId="3635F010" w14:textId="77777777" w:rsidR="00672A15" w:rsidRPr="00672A15" w:rsidRDefault="00672A15" w:rsidP="00672A15">
      <w:pPr>
        <w:shd w:val="clear" w:color="auto" w:fill="F2F2F2"/>
        <w:bidi/>
        <w:ind w:right="90" w:firstLine="0"/>
        <w:jc w:val="right"/>
        <w:rPr>
          <w:rFonts w:ascii="Times New Roman" w:eastAsia="Times New Roman" w:hAnsi="Times New Roman" w:cs="Times New Roman"/>
          <w:b/>
          <w:sz w:val="24"/>
          <w:szCs w:val="24"/>
        </w:rPr>
      </w:pPr>
      <w:r w:rsidRPr="00672A15">
        <w:rPr>
          <w:rFonts w:ascii="Times New Roman" w:eastAsia="Times New Roman" w:hAnsi="Times New Roman" w:cs="Times New Roman"/>
          <w:b/>
          <w:sz w:val="24"/>
          <w:szCs w:val="24"/>
        </w:rPr>
        <w:t>4. Evidence Gradings:</w:t>
      </w:r>
    </w:p>
    <w:p w14:paraId="4E475AE5" w14:textId="77777777" w:rsidR="00672A15" w:rsidRPr="00672A15" w:rsidRDefault="00672A15" w:rsidP="00672A15">
      <w:pPr>
        <w:numPr>
          <w:ilvl w:val="0"/>
          <w:numId w:val="7"/>
        </w:numPr>
        <w:tabs>
          <w:tab w:val="left" w:pos="450"/>
        </w:tabs>
        <w:ind w:left="270" w:firstLine="0"/>
        <w:jc w:val="left"/>
        <w:rPr>
          <w:rFonts w:ascii="Times New Roman" w:eastAsia="Times New Roman" w:hAnsi="Times New Roman" w:cs="Times New Roman"/>
          <w:b/>
          <w:sz w:val="28"/>
          <w:szCs w:val="28"/>
        </w:rPr>
      </w:pPr>
      <w:r w:rsidRPr="00672A15">
        <w:rPr>
          <w:rFonts w:ascii="Times New Roman" w:eastAsia="Times New Roman" w:hAnsi="Times New Roman" w:cs="Times New Roman"/>
          <w:b/>
          <w:sz w:val="24"/>
          <w:szCs w:val="24"/>
        </w:rPr>
        <w:t>IPNA Evidence Grading</w:t>
      </w:r>
      <w:r w:rsidRPr="00672A15">
        <w:rPr>
          <w:rFonts w:ascii="Times New Roman" w:eastAsia="Calibri" w:hAnsi="Times New Roman" w:cs="Times New Roman"/>
          <w:b/>
          <w:bCs/>
          <w:color w:val="0070C0"/>
          <w:sz w:val="28"/>
          <w:szCs w:val="28"/>
        </w:rPr>
        <w:t xml:space="preserve">                          </w:t>
      </w:r>
    </w:p>
    <w:p w14:paraId="2276EF2A" w14:textId="77777777" w:rsidR="00672A15" w:rsidRPr="00672A15" w:rsidRDefault="00672A15" w:rsidP="00672A15">
      <w:pPr>
        <w:ind w:left="90" w:firstLine="0"/>
        <w:rPr>
          <w:rFonts w:ascii="Calibri" w:eastAsia="Calibri" w:hAnsi="Calibri" w:cs="Arial"/>
        </w:rPr>
      </w:pPr>
      <w:r w:rsidRPr="00672A15">
        <w:rPr>
          <w:rFonts w:ascii="Calibri" w:eastAsia="Calibri" w:hAnsi="Calibri" w:cs="Arial"/>
          <w:noProof/>
        </w:rPr>
        <w:drawing>
          <wp:inline distT="0" distB="0" distL="0" distR="0" wp14:anchorId="42E4C238" wp14:editId="637E2CCF">
            <wp:extent cx="5895340" cy="3486150"/>
            <wp:effectExtent l="19050" t="19050" r="10160" b="19050"/>
            <wp:docPr id="24" name="Picture 24" descr="C:\Users\Abeer\Downloads\Capt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er\Downloads\Capture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97888" cy="3487657"/>
                    </a:xfrm>
                    <a:prstGeom prst="rect">
                      <a:avLst/>
                    </a:prstGeom>
                    <a:noFill/>
                    <a:ln>
                      <a:solidFill>
                        <a:srgbClr val="5B9BD5"/>
                      </a:solidFill>
                    </a:ln>
                  </pic:spPr>
                </pic:pic>
              </a:graphicData>
            </a:graphic>
          </wp:inline>
        </w:drawing>
      </w:r>
    </w:p>
    <w:p w14:paraId="47C1EE48" w14:textId="77777777" w:rsidR="00672A15" w:rsidRPr="00672A15" w:rsidRDefault="00672A15" w:rsidP="00672A15">
      <w:pPr>
        <w:bidi/>
        <w:ind w:right="180" w:firstLine="0"/>
        <w:jc w:val="right"/>
        <w:rPr>
          <w:rFonts w:ascii="Times New Roman" w:eastAsia="Times New Roman" w:hAnsi="Times New Roman" w:cs="Times New Roman"/>
          <w:b/>
          <w:sz w:val="28"/>
          <w:szCs w:val="28"/>
        </w:rPr>
      </w:pPr>
      <w:r w:rsidRPr="00672A15">
        <w:rPr>
          <w:rFonts w:ascii="Times New Roman" w:eastAsia="Calibri" w:hAnsi="Times New Roman" w:cs="Times New Roman"/>
          <w:color w:val="231F20"/>
          <w:sz w:val="28"/>
          <w:szCs w:val="28"/>
        </w:rPr>
        <w:t xml:space="preserve"> </w:t>
      </w:r>
      <w:r w:rsidRPr="00672A15">
        <w:rPr>
          <w:rFonts w:ascii="Times New Roman" w:eastAsia="Calibri" w:hAnsi="Times New Roman" w:cs="Times New Roman"/>
          <w:b/>
          <w:bCs/>
          <w:sz w:val="24"/>
          <w:szCs w:val="24"/>
        </w:rPr>
        <w:t>(Fig 5 Methodology)</w:t>
      </w:r>
      <w:r w:rsidRPr="00672A15">
        <w:rPr>
          <w:rFonts w:ascii="Times New Roman" w:eastAsia="Times New Roman" w:hAnsi="Times New Roman" w:cs="Times New Roman"/>
          <w:b/>
          <w:sz w:val="28"/>
          <w:szCs w:val="28"/>
        </w:rPr>
        <w:t xml:space="preserve">                                      </w:t>
      </w:r>
      <w:r w:rsidRPr="00672A15">
        <w:rPr>
          <w:rFonts w:ascii="Times New Roman" w:eastAsia="Calibri" w:hAnsi="Times New Roman" w:cs="Times New Roman"/>
          <w:color w:val="231F20"/>
          <w:sz w:val="28"/>
          <w:szCs w:val="28"/>
        </w:rPr>
        <w:t xml:space="preserve">  </w:t>
      </w:r>
      <w:r w:rsidRPr="00672A15">
        <w:rPr>
          <w:rFonts w:ascii="Times New Roman" w:eastAsia="Calibri" w:hAnsi="Times New Roman" w:cs="Times New Roman"/>
          <w:b/>
          <w:bCs/>
          <w:color w:val="0070C0"/>
          <w:sz w:val="24"/>
          <w:szCs w:val="24"/>
        </w:rPr>
        <w:t>Reproduced with permission IPNA 2020.</w:t>
      </w:r>
    </w:p>
    <w:p w14:paraId="75DF19B1" w14:textId="77777777" w:rsidR="00672A15" w:rsidRPr="00672A15" w:rsidRDefault="00672A15" w:rsidP="002C010B">
      <w:pPr>
        <w:bidi/>
        <w:ind w:firstLine="0"/>
        <w:jc w:val="right"/>
        <w:rPr>
          <w:rFonts w:ascii="Times New Roman" w:eastAsia="Times New Roman" w:hAnsi="Times New Roman" w:cs="Times New Roman"/>
          <w:b/>
          <w:sz w:val="24"/>
          <w:szCs w:val="24"/>
        </w:rPr>
      </w:pPr>
      <w:r w:rsidRPr="00672A15">
        <w:rPr>
          <w:rFonts w:ascii="Times New Roman" w:eastAsia="Times New Roman" w:hAnsi="Times New Roman" w:cs="Times New Roman"/>
          <w:b/>
          <w:sz w:val="24"/>
          <w:szCs w:val="24"/>
        </w:rPr>
        <w:t xml:space="preserve">  </w:t>
      </w:r>
    </w:p>
    <w:p w14:paraId="0AE99DD4" w14:textId="77777777" w:rsidR="00672A15" w:rsidRPr="00672A15" w:rsidRDefault="00672A15" w:rsidP="00672A15">
      <w:pPr>
        <w:bidi/>
        <w:ind w:firstLine="0"/>
        <w:jc w:val="right"/>
        <w:rPr>
          <w:rFonts w:ascii="Times New Roman" w:eastAsia="Times New Roman" w:hAnsi="Times New Roman" w:cs="Times New Roman"/>
          <w:b/>
          <w:sz w:val="24"/>
          <w:szCs w:val="24"/>
        </w:rPr>
      </w:pPr>
      <w:r w:rsidRPr="00672A15">
        <w:rPr>
          <w:rFonts w:ascii="Times New Roman" w:eastAsia="Times New Roman" w:hAnsi="Times New Roman" w:cs="Times New Roman"/>
          <w:b/>
          <w:sz w:val="24"/>
          <w:szCs w:val="24"/>
        </w:rPr>
        <w:t>B)</w:t>
      </w:r>
      <w:r w:rsidRPr="00672A15">
        <w:rPr>
          <w:rFonts w:ascii="Times New Roman" w:eastAsia="Times New Roman" w:hAnsi="Times New Roman" w:cs="Times New Roman"/>
          <w:b/>
          <w:sz w:val="28"/>
          <w:szCs w:val="28"/>
        </w:rPr>
        <w:t xml:space="preserve"> </w:t>
      </w:r>
      <w:r w:rsidRPr="00672A15">
        <w:rPr>
          <w:rFonts w:ascii="Times New Roman" w:eastAsia="Times New Roman" w:hAnsi="Times New Roman" w:cs="Times New Roman"/>
          <w:b/>
          <w:sz w:val="24"/>
          <w:szCs w:val="24"/>
        </w:rPr>
        <w:t xml:space="preserve">KDIGO Evidence Grading </w:t>
      </w:r>
    </w:p>
    <w:p w14:paraId="3F5891AD" w14:textId="107F7C2B" w:rsidR="00672A15" w:rsidRPr="00672A15" w:rsidRDefault="003B0480" w:rsidP="00672A15">
      <w:pPr>
        <w:bidi/>
        <w:ind w:right="90" w:firstLine="0"/>
        <w:jc w:val="right"/>
        <w:rPr>
          <w:rFonts w:ascii="Times New Roman" w:eastAsia="Times New Roman" w:hAnsi="Times New Roman" w:cs="Times New Roman"/>
          <w:b/>
          <w:noProof/>
          <w:sz w:val="28"/>
          <w:szCs w:val="28"/>
        </w:rPr>
      </w:pPr>
      <w:r w:rsidRPr="001B477C">
        <w:rPr>
          <w:rFonts w:ascii="Times New Roman" w:eastAsia="Times New Roman" w:hAnsi="Times New Roman" w:cs="Times New Roman"/>
          <w:b/>
          <w:noProof/>
          <w:sz w:val="28"/>
          <w:szCs w:val="28"/>
          <w:rtl/>
        </w:rPr>
        <w:lastRenderedPageBreak/>
        <w:drawing>
          <wp:inline distT="0" distB="0" distL="0" distR="0" wp14:anchorId="05CB282F" wp14:editId="5DD14D24">
            <wp:extent cx="5753100" cy="2771775"/>
            <wp:effectExtent l="19050" t="19050" r="19050" b="28575"/>
            <wp:docPr id="5" name="Picture 5" descr="C:\Users\Abeer\Downloads\Captur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eer\Downloads\Capture 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2771775"/>
                    </a:xfrm>
                    <a:prstGeom prst="rect">
                      <a:avLst/>
                    </a:prstGeom>
                    <a:noFill/>
                    <a:ln>
                      <a:solidFill>
                        <a:srgbClr val="0070C0"/>
                      </a:solidFill>
                    </a:ln>
                  </pic:spPr>
                </pic:pic>
              </a:graphicData>
            </a:graphic>
          </wp:inline>
        </w:drawing>
      </w:r>
    </w:p>
    <w:p w14:paraId="43D97483" w14:textId="77777777" w:rsidR="00672A15" w:rsidRPr="00672A15" w:rsidRDefault="00672A15" w:rsidP="00672A15">
      <w:pPr>
        <w:bidi/>
        <w:ind w:right="180" w:firstLine="0"/>
        <w:jc w:val="right"/>
        <w:rPr>
          <w:rFonts w:ascii="Times New Roman" w:eastAsia="Times New Roman" w:hAnsi="Times New Roman" w:cs="Times New Roman"/>
          <w:b/>
          <w:sz w:val="28"/>
          <w:szCs w:val="28"/>
        </w:rPr>
      </w:pPr>
      <w:r w:rsidRPr="00672A15">
        <w:rPr>
          <w:rFonts w:ascii="Times New Roman" w:eastAsia="Calibri" w:hAnsi="Times New Roman" w:cs="Times New Roman"/>
          <w:b/>
          <w:bCs/>
          <w:sz w:val="24"/>
          <w:szCs w:val="24"/>
        </w:rPr>
        <w:t>(Fig 6 Methodology)</w:t>
      </w:r>
      <w:r w:rsidRPr="00672A15">
        <w:rPr>
          <w:rFonts w:ascii="Times New Roman" w:eastAsia="Times New Roman" w:hAnsi="Times New Roman" w:cs="Times New Roman"/>
          <w:b/>
          <w:sz w:val="28"/>
          <w:szCs w:val="28"/>
        </w:rPr>
        <w:t xml:space="preserve">                               </w:t>
      </w:r>
      <w:r w:rsidRPr="00672A15">
        <w:rPr>
          <w:rFonts w:ascii="Times New Roman" w:eastAsia="Calibri" w:hAnsi="Times New Roman" w:cs="Times New Roman"/>
          <w:color w:val="231F20"/>
          <w:sz w:val="28"/>
          <w:szCs w:val="28"/>
        </w:rPr>
        <w:t xml:space="preserve">   </w:t>
      </w:r>
      <w:r w:rsidRPr="00672A15">
        <w:rPr>
          <w:rFonts w:ascii="Times New Roman" w:eastAsia="Calibri" w:hAnsi="Times New Roman" w:cs="Times New Roman"/>
          <w:b/>
          <w:bCs/>
          <w:color w:val="0070C0"/>
          <w:sz w:val="24"/>
          <w:szCs w:val="24"/>
        </w:rPr>
        <w:t>Reproduced with permission KDIGO 2021.</w:t>
      </w:r>
    </w:p>
    <w:p w14:paraId="08579731" w14:textId="77777777" w:rsidR="00672A15" w:rsidRPr="00672A15" w:rsidRDefault="00672A15" w:rsidP="00672A15">
      <w:pPr>
        <w:bidi/>
        <w:ind w:firstLine="0"/>
        <w:jc w:val="right"/>
        <w:rPr>
          <w:rFonts w:ascii="Times New Roman" w:eastAsia="Times New Roman" w:hAnsi="Times New Roman" w:cs="Times New Roman"/>
          <w:b/>
          <w:noProof/>
          <w:sz w:val="28"/>
          <w:szCs w:val="28"/>
        </w:rPr>
      </w:pPr>
    </w:p>
    <w:p w14:paraId="234FDEDC" w14:textId="77777777" w:rsidR="00672A15" w:rsidRPr="00672A15" w:rsidRDefault="00672A15" w:rsidP="00672A15">
      <w:pPr>
        <w:numPr>
          <w:ilvl w:val="0"/>
          <w:numId w:val="9"/>
        </w:numPr>
        <w:shd w:val="clear" w:color="auto" w:fill="F2F2F2" w:themeFill="background1" w:themeFillShade="F2"/>
        <w:ind w:right="90"/>
        <w:contextualSpacing/>
        <w:jc w:val="left"/>
        <w:rPr>
          <w:rFonts w:ascii="Times New Roman" w:eastAsia="Calibri" w:hAnsi="Times New Roman" w:cs="Times New Roman"/>
          <w:b/>
          <w:bCs/>
          <w:sz w:val="24"/>
          <w:szCs w:val="24"/>
          <w:lang w:val="en-GB"/>
        </w:rPr>
      </w:pPr>
      <w:r w:rsidRPr="00672A15">
        <w:rPr>
          <w:rFonts w:ascii="Times New Roman" w:eastAsia="Calibri" w:hAnsi="Times New Roman" w:cs="Times New Roman"/>
          <w:b/>
          <w:bCs/>
          <w:sz w:val="24"/>
          <w:szCs w:val="24"/>
          <w:lang w:val="en-GB"/>
        </w:rPr>
        <w:t>Health Clinical Questions – 5-(PIPOH) SSNS used to develop this Adapted CPGL.</w:t>
      </w:r>
    </w:p>
    <w:p w14:paraId="4A257045" w14:textId="77777777" w:rsidR="00672A15" w:rsidRPr="00672A15" w:rsidRDefault="00672A15" w:rsidP="00672A15">
      <w:pPr>
        <w:pBdr>
          <w:top w:val="nil"/>
          <w:left w:val="nil"/>
          <w:bottom w:val="nil"/>
          <w:right w:val="nil"/>
          <w:between w:val="nil"/>
        </w:pBdr>
        <w:tabs>
          <w:tab w:val="left" w:pos="360"/>
        </w:tabs>
        <w:ind w:left="90"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1-</w:t>
      </w:r>
      <w:r w:rsidRPr="00672A15">
        <w:rPr>
          <w:rFonts w:ascii="Times New Roman" w:eastAsia="Calibri" w:hAnsi="Times New Roman" w:cs="Times New Roman"/>
          <w:color w:val="000000"/>
          <w:sz w:val="24"/>
          <w:szCs w:val="24"/>
        </w:rPr>
        <w:tab/>
        <w:t>What are the Definitions related to Nephrotic Syndrome?</w:t>
      </w:r>
    </w:p>
    <w:p w14:paraId="1950D272" w14:textId="77777777" w:rsidR="00672A15" w:rsidRPr="00672A15" w:rsidRDefault="00672A15" w:rsidP="00672A15">
      <w:pPr>
        <w:pBdr>
          <w:top w:val="nil"/>
          <w:left w:val="nil"/>
          <w:bottom w:val="nil"/>
          <w:right w:val="nil"/>
          <w:between w:val="nil"/>
        </w:pBdr>
        <w:tabs>
          <w:tab w:val="left" w:pos="360"/>
        </w:tabs>
        <w:ind w:left="90"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2-</w:t>
      </w:r>
      <w:r w:rsidRPr="00672A15">
        <w:rPr>
          <w:rFonts w:ascii="Times New Roman" w:eastAsia="Calibri" w:hAnsi="Times New Roman" w:cs="Times New Roman"/>
          <w:color w:val="000000"/>
          <w:sz w:val="24"/>
          <w:szCs w:val="24"/>
        </w:rPr>
        <w:tab/>
        <w:t>What are the recommended investigations for diagnosis?</w:t>
      </w:r>
    </w:p>
    <w:p w14:paraId="4CA62EEA" w14:textId="77777777" w:rsidR="00672A15" w:rsidRPr="00672A15" w:rsidRDefault="00672A15" w:rsidP="00672A15">
      <w:pPr>
        <w:pBdr>
          <w:top w:val="nil"/>
          <w:left w:val="nil"/>
          <w:bottom w:val="nil"/>
          <w:right w:val="nil"/>
          <w:between w:val="nil"/>
        </w:pBdr>
        <w:tabs>
          <w:tab w:val="left" w:pos="360"/>
        </w:tabs>
        <w:ind w:left="90"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3-</w:t>
      </w:r>
      <w:r w:rsidRPr="00672A15">
        <w:rPr>
          <w:rFonts w:ascii="Times New Roman" w:eastAsia="Calibri" w:hAnsi="Times New Roman" w:cs="Times New Roman"/>
          <w:color w:val="000000"/>
          <w:sz w:val="24"/>
          <w:szCs w:val="24"/>
        </w:rPr>
        <w:tab/>
        <w:t>What are the indications of renal biopsy in the initial presentation of NS?</w:t>
      </w:r>
    </w:p>
    <w:p w14:paraId="1E629622" w14:textId="77777777" w:rsidR="00672A15" w:rsidRPr="00672A15" w:rsidRDefault="00672A15" w:rsidP="00672A15">
      <w:pPr>
        <w:numPr>
          <w:ilvl w:val="0"/>
          <w:numId w:val="8"/>
        </w:numPr>
        <w:pBdr>
          <w:top w:val="nil"/>
          <w:left w:val="nil"/>
          <w:bottom w:val="nil"/>
          <w:right w:val="nil"/>
          <w:between w:val="nil"/>
        </w:pBdr>
        <w:tabs>
          <w:tab w:val="left" w:pos="360"/>
        </w:tabs>
        <w:spacing w:after="160" w:line="256" w:lineRule="auto"/>
        <w:ind w:left="90" w:right="50" w:firstLine="0"/>
        <w:contextualSpacing/>
        <w:jc w:val="left"/>
        <w:rPr>
          <w:rFonts w:ascii="Times New Roman" w:eastAsia="Calibri" w:hAnsi="Times New Roman" w:cs="Times New Roman"/>
          <w:color w:val="000000"/>
          <w:sz w:val="24"/>
          <w:szCs w:val="24"/>
          <w:lang w:val="en-GB"/>
        </w:rPr>
      </w:pPr>
      <w:r w:rsidRPr="00672A15">
        <w:rPr>
          <w:rFonts w:ascii="Times New Roman" w:eastAsia="Calibri" w:hAnsi="Times New Roman" w:cs="Times New Roman"/>
          <w:color w:val="000000"/>
          <w:sz w:val="24"/>
          <w:szCs w:val="24"/>
          <w:lang w:val="en-GB"/>
        </w:rPr>
        <w:t xml:space="preserve">Where should we manage infants, children and adolescents presented with first episode </w:t>
      </w:r>
    </w:p>
    <w:p w14:paraId="472668FF" w14:textId="77777777" w:rsidR="00672A15" w:rsidRPr="00672A15" w:rsidRDefault="00672A15" w:rsidP="00672A15">
      <w:pPr>
        <w:pBdr>
          <w:top w:val="nil"/>
          <w:left w:val="nil"/>
          <w:bottom w:val="nil"/>
          <w:right w:val="nil"/>
          <w:between w:val="nil"/>
        </w:pBdr>
        <w:tabs>
          <w:tab w:val="left" w:pos="360"/>
        </w:tabs>
        <w:ind w:left="360" w:right="43" w:firstLine="0"/>
        <w:contextualSpacing/>
        <w:jc w:val="left"/>
        <w:rPr>
          <w:rFonts w:ascii="Times New Roman" w:eastAsia="Calibri" w:hAnsi="Times New Roman" w:cs="Times New Roman"/>
          <w:color w:val="000000"/>
          <w:sz w:val="24"/>
          <w:szCs w:val="24"/>
          <w:lang w:val="en-GB"/>
        </w:rPr>
      </w:pPr>
      <w:r w:rsidRPr="00672A15">
        <w:rPr>
          <w:rFonts w:ascii="Times New Roman" w:eastAsia="Calibri" w:hAnsi="Times New Roman" w:cs="Times New Roman"/>
          <w:color w:val="000000"/>
          <w:sz w:val="24"/>
          <w:szCs w:val="24"/>
          <w:lang w:val="en-GB"/>
        </w:rPr>
        <w:t xml:space="preserve">of NS? When to refer to </w:t>
      </w:r>
      <w:proofErr w:type="spellStart"/>
      <w:r w:rsidRPr="00672A15">
        <w:rPr>
          <w:rFonts w:ascii="Times New Roman" w:eastAsia="Calibri" w:hAnsi="Times New Roman" w:cs="Times New Roman"/>
          <w:color w:val="000000"/>
          <w:sz w:val="24"/>
          <w:szCs w:val="24"/>
          <w:lang w:val="en-GB"/>
        </w:rPr>
        <w:t>pediatric</w:t>
      </w:r>
      <w:proofErr w:type="spellEnd"/>
      <w:r w:rsidRPr="00672A15">
        <w:rPr>
          <w:rFonts w:ascii="Times New Roman" w:eastAsia="Calibri" w:hAnsi="Times New Roman" w:cs="Times New Roman"/>
          <w:color w:val="000000"/>
          <w:sz w:val="24"/>
          <w:szCs w:val="24"/>
          <w:lang w:val="en-GB"/>
        </w:rPr>
        <w:t xml:space="preserve"> Nephrologist as complicated cases?</w:t>
      </w:r>
    </w:p>
    <w:p w14:paraId="2796E5E4" w14:textId="77777777" w:rsidR="00672A15" w:rsidRPr="00672A15" w:rsidRDefault="00672A15" w:rsidP="00672A15">
      <w:pPr>
        <w:pBdr>
          <w:top w:val="nil"/>
          <w:left w:val="nil"/>
          <w:bottom w:val="nil"/>
          <w:right w:val="nil"/>
          <w:between w:val="nil"/>
        </w:pBdr>
        <w:tabs>
          <w:tab w:val="left" w:pos="360"/>
        </w:tabs>
        <w:ind w:left="90" w:right="43"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5-</w:t>
      </w:r>
      <w:r w:rsidRPr="00672A15">
        <w:rPr>
          <w:rFonts w:ascii="Times New Roman" w:eastAsia="Calibri" w:hAnsi="Times New Roman" w:cs="Times New Roman"/>
          <w:color w:val="000000"/>
          <w:sz w:val="24"/>
          <w:szCs w:val="24"/>
        </w:rPr>
        <w:tab/>
        <w:t>What is the first line treatment drug in first episode?</w:t>
      </w:r>
    </w:p>
    <w:p w14:paraId="62FE1AD7" w14:textId="77777777" w:rsidR="00672A15" w:rsidRPr="00672A15" w:rsidRDefault="00672A15" w:rsidP="00672A15">
      <w:pPr>
        <w:pBdr>
          <w:top w:val="nil"/>
          <w:left w:val="nil"/>
          <w:bottom w:val="nil"/>
          <w:right w:val="nil"/>
          <w:between w:val="nil"/>
        </w:pBdr>
        <w:tabs>
          <w:tab w:val="left" w:pos="360"/>
        </w:tabs>
        <w:ind w:left="90"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6-</w:t>
      </w:r>
      <w:r w:rsidRPr="00672A15">
        <w:rPr>
          <w:rFonts w:ascii="Times New Roman" w:eastAsia="Calibri" w:hAnsi="Times New Roman" w:cs="Times New Roman"/>
          <w:color w:val="000000"/>
          <w:sz w:val="24"/>
          <w:szCs w:val="24"/>
        </w:rPr>
        <w:tab/>
        <w:t>What are the recommended vaccinations?</w:t>
      </w:r>
    </w:p>
    <w:p w14:paraId="4958A117" w14:textId="77777777" w:rsidR="00672A15" w:rsidRPr="00672A15" w:rsidRDefault="00672A15" w:rsidP="00672A15">
      <w:pPr>
        <w:pBdr>
          <w:top w:val="nil"/>
          <w:left w:val="nil"/>
          <w:bottom w:val="nil"/>
          <w:right w:val="nil"/>
          <w:between w:val="nil"/>
        </w:pBdr>
        <w:tabs>
          <w:tab w:val="left" w:pos="360"/>
        </w:tabs>
        <w:ind w:left="90"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7-</w:t>
      </w:r>
      <w:r w:rsidRPr="00672A15">
        <w:rPr>
          <w:rFonts w:ascii="Times New Roman" w:eastAsia="Calibri" w:hAnsi="Times New Roman" w:cs="Times New Roman"/>
          <w:color w:val="000000"/>
          <w:sz w:val="24"/>
          <w:szCs w:val="24"/>
        </w:rPr>
        <w:tab/>
        <w:t>What is your steroid maintenance protocol after remission in first episode and recurrence?</w:t>
      </w:r>
    </w:p>
    <w:p w14:paraId="6828DA47" w14:textId="77777777" w:rsidR="00672A15" w:rsidRPr="00672A15" w:rsidRDefault="00672A15" w:rsidP="00672A15">
      <w:pPr>
        <w:pBdr>
          <w:top w:val="nil"/>
          <w:left w:val="nil"/>
          <w:bottom w:val="nil"/>
          <w:right w:val="nil"/>
          <w:between w:val="nil"/>
        </w:pBdr>
        <w:tabs>
          <w:tab w:val="left" w:pos="360"/>
        </w:tabs>
        <w:ind w:left="90"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8-</w:t>
      </w:r>
      <w:r w:rsidRPr="00672A15">
        <w:rPr>
          <w:rFonts w:ascii="Times New Roman" w:eastAsia="Calibri" w:hAnsi="Times New Roman" w:cs="Times New Roman"/>
          <w:color w:val="000000"/>
          <w:sz w:val="24"/>
          <w:szCs w:val="24"/>
        </w:rPr>
        <w:tab/>
        <w:t>What are your (Diet, Fluids, Activity) recommendations?</w:t>
      </w:r>
    </w:p>
    <w:p w14:paraId="024AB75B" w14:textId="77777777" w:rsidR="00672A15" w:rsidRPr="00672A15" w:rsidRDefault="00672A15" w:rsidP="00672A15">
      <w:pPr>
        <w:pBdr>
          <w:top w:val="nil"/>
          <w:left w:val="nil"/>
          <w:bottom w:val="nil"/>
          <w:right w:val="nil"/>
          <w:between w:val="nil"/>
        </w:pBdr>
        <w:tabs>
          <w:tab w:val="left" w:pos="360"/>
        </w:tabs>
        <w:ind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 xml:space="preserve"> 9- What information &amp; instructions you like to share with the family during follow-up?</w:t>
      </w:r>
    </w:p>
    <w:p w14:paraId="0768BE35" w14:textId="77777777" w:rsidR="00672A15" w:rsidRPr="00672A15" w:rsidRDefault="00672A15" w:rsidP="00672A15">
      <w:pPr>
        <w:pBdr>
          <w:top w:val="nil"/>
          <w:left w:val="nil"/>
          <w:bottom w:val="nil"/>
          <w:right w:val="nil"/>
          <w:between w:val="nil"/>
        </w:pBdr>
        <w:tabs>
          <w:tab w:val="left" w:pos="360"/>
          <w:tab w:val="left" w:pos="450"/>
        </w:tabs>
        <w:ind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10-</w:t>
      </w:r>
      <w:r w:rsidRPr="00672A15">
        <w:rPr>
          <w:rFonts w:ascii="Times New Roman" w:eastAsia="Calibri" w:hAnsi="Times New Roman" w:cs="Times New Roman"/>
          <w:color w:val="000000"/>
          <w:sz w:val="24"/>
          <w:szCs w:val="24"/>
        </w:rPr>
        <w:tab/>
        <w:t xml:space="preserve">Should vitamin D &amp; Calcium supplements be routinely given to FR&amp;SD? </w:t>
      </w:r>
    </w:p>
    <w:p w14:paraId="5855A7CF" w14:textId="77777777" w:rsidR="00672A15" w:rsidRPr="00672A15" w:rsidRDefault="00672A15" w:rsidP="00672A15">
      <w:pPr>
        <w:pBdr>
          <w:top w:val="nil"/>
          <w:left w:val="nil"/>
          <w:bottom w:val="nil"/>
          <w:right w:val="nil"/>
          <w:between w:val="nil"/>
        </w:pBdr>
        <w:tabs>
          <w:tab w:val="left" w:pos="360"/>
          <w:tab w:val="left" w:pos="450"/>
        </w:tabs>
        <w:ind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11-</w:t>
      </w:r>
      <w:r w:rsidRPr="00672A15">
        <w:rPr>
          <w:rFonts w:ascii="Times New Roman" w:eastAsia="Calibri" w:hAnsi="Times New Roman" w:cs="Times New Roman"/>
          <w:color w:val="000000"/>
          <w:sz w:val="24"/>
          <w:szCs w:val="24"/>
        </w:rPr>
        <w:tab/>
        <w:t>What are the laboratory tests and how frequently needed for follow-up?</w:t>
      </w:r>
    </w:p>
    <w:p w14:paraId="691395A4" w14:textId="77777777" w:rsidR="00672A15" w:rsidRPr="00672A15" w:rsidRDefault="00672A15" w:rsidP="00672A15">
      <w:pPr>
        <w:pBdr>
          <w:top w:val="nil"/>
          <w:left w:val="nil"/>
          <w:bottom w:val="nil"/>
          <w:right w:val="nil"/>
          <w:between w:val="nil"/>
        </w:pBdr>
        <w:tabs>
          <w:tab w:val="left" w:pos="360"/>
          <w:tab w:val="left" w:pos="450"/>
        </w:tabs>
        <w:ind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12-</w:t>
      </w:r>
      <w:r w:rsidRPr="00672A15">
        <w:rPr>
          <w:rFonts w:ascii="Times New Roman" w:eastAsia="Calibri" w:hAnsi="Times New Roman" w:cs="Times New Roman"/>
          <w:color w:val="000000"/>
          <w:sz w:val="24"/>
          <w:szCs w:val="24"/>
        </w:rPr>
        <w:tab/>
        <w:t>When should steroid sparing drugs be started in FR&amp;SD?</w:t>
      </w:r>
    </w:p>
    <w:p w14:paraId="2F60A340" w14:textId="77777777" w:rsidR="00672A15" w:rsidRPr="00672A15" w:rsidRDefault="00672A15" w:rsidP="00672A15">
      <w:pPr>
        <w:pBdr>
          <w:top w:val="nil"/>
          <w:left w:val="nil"/>
          <w:bottom w:val="nil"/>
          <w:right w:val="nil"/>
          <w:between w:val="nil"/>
        </w:pBdr>
        <w:tabs>
          <w:tab w:val="left" w:pos="360"/>
          <w:tab w:val="left" w:pos="450"/>
        </w:tabs>
        <w:ind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13-</w:t>
      </w:r>
      <w:r w:rsidRPr="00672A15">
        <w:rPr>
          <w:rFonts w:ascii="Times New Roman" w:eastAsia="Calibri" w:hAnsi="Times New Roman" w:cs="Times New Roman"/>
          <w:color w:val="000000"/>
          <w:sz w:val="24"/>
          <w:szCs w:val="24"/>
        </w:rPr>
        <w:tab/>
        <w:t xml:space="preserve"> What is the preferred steroid sparing drugs in FR&amp;SD?</w:t>
      </w:r>
    </w:p>
    <w:p w14:paraId="29638C98" w14:textId="77777777" w:rsidR="00672A15" w:rsidRPr="00672A15" w:rsidRDefault="00672A15" w:rsidP="00672A15">
      <w:pPr>
        <w:pBdr>
          <w:top w:val="nil"/>
          <w:left w:val="nil"/>
          <w:bottom w:val="nil"/>
          <w:right w:val="nil"/>
          <w:between w:val="nil"/>
        </w:pBdr>
        <w:tabs>
          <w:tab w:val="left" w:pos="360"/>
          <w:tab w:val="left" w:pos="450"/>
        </w:tabs>
        <w:ind w:right="5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14-</w:t>
      </w:r>
      <w:r w:rsidRPr="00672A15">
        <w:rPr>
          <w:rFonts w:ascii="Times New Roman" w:eastAsia="Calibri" w:hAnsi="Times New Roman" w:cs="Times New Roman"/>
          <w:color w:val="000000"/>
          <w:sz w:val="24"/>
          <w:szCs w:val="24"/>
        </w:rPr>
        <w:tab/>
        <w:t xml:space="preserve">What are recommended doses &amp; duration and monitoring of these drugs? </w:t>
      </w:r>
    </w:p>
    <w:p w14:paraId="6B155B7D" w14:textId="77777777" w:rsidR="00672A15" w:rsidRPr="00672A15" w:rsidRDefault="00672A15" w:rsidP="00672A15">
      <w:pPr>
        <w:pBdr>
          <w:top w:val="nil"/>
          <w:left w:val="nil"/>
          <w:bottom w:val="nil"/>
          <w:right w:val="nil"/>
          <w:between w:val="nil"/>
        </w:pBdr>
        <w:tabs>
          <w:tab w:val="left" w:pos="360"/>
          <w:tab w:val="left" w:pos="450"/>
        </w:tabs>
        <w:ind w:right="50" w:firstLine="0"/>
        <w:rPr>
          <w:rFonts w:ascii="Times New Roman" w:eastAsia="Calibri" w:hAnsi="Times New Roman" w:cs="Times New Roman"/>
          <w:color w:val="000000"/>
          <w:sz w:val="24"/>
          <w:szCs w:val="24"/>
        </w:rPr>
      </w:pPr>
    </w:p>
    <w:p w14:paraId="2D63B40F" w14:textId="77777777" w:rsidR="00672A15" w:rsidRPr="00672A15" w:rsidRDefault="00672A15" w:rsidP="00672A15">
      <w:pPr>
        <w:pBdr>
          <w:top w:val="nil"/>
          <w:left w:val="nil"/>
          <w:bottom w:val="nil"/>
          <w:right w:val="nil"/>
          <w:between w:val="nil"/>
        </w:pBdr>
        <w:shd w:val="clear" w:color="auto" w:fill="F2F2F2" w:themeFill="background1" w:themeFillShade="F2"/>
        <w:tabs>
          <w:tab w:val="left" w:pos="180"/>
          <w:tab w:val="left" w:pos="270"/>
          <w:tab w:val="left" w:pos="360"/>
          <w:tab w:val="left" w:pos="1080"/>
        </w:tabs>
        <w:ind w:right="140" w:firstLine="0"/>
        <w:rPr>
          <w:rFonts w:ascii="Times New Roman" w:eastAsia="Calibri" w:hAnsi="Times New Roman" w:cs="Times New Roman"/>
          <w:b/>
          <w:bCs/>
          <w:color w:val="000000"/>
          <w:sz w:val="24"/>
          <w:szCs w:val="24"/>
        </w:rPr>
      </w:pPr>
      <w:r w:rsidRPr="00672A15">
        <w:rPr>
          <w:rFonts w:ascii="Times New Roman" w:eastAsia="Calibri" w:hAnsi="Times New Roman" w:cs="Times New Roman"/>
          <w:b/>
          <w:bCs/>
          <w:sz w:val="24"/>
          <w:szCs w:val="24"/>
        </w:rPr>
        <w:t xml:space="preserve">6-   </w:t>
      </w:r>
      <w:r w:rsidRPr="00672A15">
        <w:rPr>
          <w:rFonts w:ascii="Times New Roman" w:eastAsia="Calibri" w:hAnsi="Times New Roman" w:cs="Times New Roman"/>
          <w:b/>
          <w:bCs/>
          <w:color w:val="000000"/>
          <w:sz w:val="24"/>
          <w:szCs w:val="24"/>
        </w:rPr>
        <w:t xml:space="preserve">PIPOH Adaptation Model </w:t>
      </w:r>
    </w:p>
    <w:p w14:paraId="64FF81C8" w14:textId="77777777" w:rsidR="00672A15" w:rsidRPr="00672A15" w:rsidRDefault="00672A15" w:rsidP="00672A15">
      <w:pPr>
        <w:pBdr>
          <w:top w:val="nil"/>
          <w:left w:val="nil"/>
          <w:bottom w:val="nil"/>
          <w:right w:val="nil"/>
          <w:between w:val="nil"/>
        </w:pBdr>
        <w:tabs>
          <w:tab w:val="left" w:pos="90"/>
        </w:tabs>
        <w:ind w:firstLine="0"/>
        <w:rPr>
          <w:rFonts w:ascii="Times New Roman" w:eastAsia="Calibri" w:hAnsi="Times New Roman" w:cs="Times New Roman"/>
          <w:color w:val="000000"/>
          <w:sz w:val="24"/>
          <w:szCs w:val="24"/>
        </w:rPr>
      </w:pPr>
      <w:r w:rsidRPr="00672A15">
        <w:rPr>
          <w:rFonts w:ascii="Calibri" w:eastAsia="Calibri" w:hAnsi="Calibri" w:cs="Arial"/>
          <w:color w:val="000000"/>
        </w:rPr>
        <w:t xml:space="preserve">• </w:t>
      </w:r>
      <w:r w:rsidRPr="00672A15">
        <w:rPr>
          <w:rFonts w:ascii="Times New Roman" w:eastAsia="Calibri" w:hAnsi="Times New Roman" w:cs="Times New Roman"/>
          <w:b/>
          <w:bCs/>
          <w:color w:val="000000"/>
          <w:sz w:val="24"/>
          <w:szCs w:val="24"/>
        </w:rPr>
        <w:t>P</w:t>
      </w:r>
      <w:r w:rsidRPr="00672A15">
        <w:rPr>
          <w:rFonts w:ascii="Times New Roman" w:eastAsia="Calibri" w:hAnsi="Times New Roman" w:cs="Times New Roman"/>
          <w:color w:val="000000"/>
          <w:sz w:val="24"/>
          <w:szCs w:val="24"/>
        </w:rPr>
        <w:t xml:space="preserve"> (</w:t>
      </w:r>
      <w:r w:rsidRPr="00672A15">
        <w:rPr>
          <w:rFonts w:ascii="Times New Roman" w:eastAsia="Calibri" w:hAnsi="Times New Roman" w:cs="Times New Roman"/>
          <w:b/>
          <w:color w:val="000000"/>
          <w:sz w:val="24"/>
          <w:szCs w:val="24"/>
        </w:rPr>
        <w:t>Patients, target population):</w:t>
      </w:r>
      <w:r w:rsidRPr="00672A15">
        <w:rPr>
          <w:rFonts w:ascii="Times New Roman" w:eastAsia="Calibri" w:hAnsi="Times New Roman" w:cs="Times New Roman"/>
          <w:color w:val="000000"/>
          <w:sz w:val="24"/>
          <w:szCs w:val="24"/>
        </w:rPr>
        <w:t xml:space="preserve"> children aged 1–12 years with non- congenital, SSNS</w:t>
      </w:r>
    </w:p>
    <w:p w14:paraId="3922C9CC" w14:textId="77777777" w:rsidR="00672A15" w:rsidRPr="00672A15" w:rsidRDefault="00672A15" w:rsidP="00672A15">
      <w:pPr>
        <w:pBdr>
          <w:top w:val="nil"/>
          <w:left w:val="nil"/>
          <w:bottom w:val="nil"/>
          <w:right w:val="nil"/>
          <w:between w:val="nil"/>
        </w:pBdr>
        <w:tabs>
          <w:tab w:val="left" w:pos="180"/>
        </w:tabs>
        <w:ind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 xml:space="preserve">• </w:t>
      </w:r>
      <w:r w:rsidRPr="00672A15">
        <w:rPr>
          <w:rFonts w:ascii="Times New Roman" w:eastAsia="Calibri" w:hAnsi="Times New Roman" w:cs="Times New Roman"/>
          <w:b/>
          <w:bCs/>
          <w:color w:val="000000"/>
          <w:sz w:val="24"/>
          <w:szCs w:val="24"/>
        </w:rPr>
        <w:t>I</w:t>
      </w:r>
      <w:r w:rsidRPr="00672A15">
        <w:rPr>
          <w:rFonts w:ascii="Times New Roman" w:eastAsia="Calibri" w:hAnsi="Times New Roman" w:cs="Times New Roman"/>
          <w:color w:val="000000"/>
          <w:sz w:val="24"/>
          <w:szCs w:val="24"/>
        </w:rPr>
        <w:t xml:space="preserve"> </w:t>
      </w:r>
      <w:r w:rsidRPr="00672A15">
        <w:rPr>
          <w:rFonts w:ascii="Times New Roman" w:eastAsia="Calibri" w:hAnsi="Times New Roman" w:cs="Times New Roman"/>
          <w:b/>
          <w:color w:val="000000"/>
          <w:sz w:val="24"/>
          <w:szCs w:val="24"/>
        </w:rPr>
        <w:t>(Interventions and practices considered/ guideline category):</w:t>
      </w:r>
    </w:p>
    <w:p w14:paraId="06A45F6B" w14:textId="77777777" w:rsidR="00672A15" w:rsidRPr="00672A15" w:rsidRDefault="00672A15" w:rsidP="00672A15">
      <w:pPr>
        <w:pBdr>
          <w:top w:val="nil"/>
          <w:left w:val="nil"/>
          <w:bottom w:val="nil"/>
          <w:right w:val="nil"/>
          <w:between w:val="nil"/>
        </w:pBdr>
        <w:tabs>
          <w:tab w:val="left" w:pos="180"/>
          <w:tab w:val="left" w:pos="360"/>
        </w:tabs>
        <w:ind w:left="810" w:right="630" w:hanging="54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Life saving measures. /Pharmacological treatment. /Non- pharmacological treatment.</w:t>
      </w:r>
    </w:p>
    <w:p w14:paraId="6AED4A36" w14:textId="77777777" w:rsidR="00672A15" w:rsidRPr="00672A15" w:rsidRDefault="00672A15" w:rsidP="00672A15">
      <w:pPr>
        <w:pBdr>
          <w:top w:val="nil"/>
          <w:left w:val="nil"/>
          <w:bottom w:val="nil"/>
          <w:right w:val="nil"/>
          <w:between w:val="nil"/>
        </w:pBdr>
        <w:tabs>
          <w:tab w:val="left" w:pos="180"/>
        </w:tabs>
        <w:ind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w:t>
      </w:r>
      <w:r w:rsidRPr="00672A15">
        <w:rPr>
          <w:rFonts w:ascii="Times New Roman" w:eastAsia="Calibri" w:hAnsi="Times New Roman" w:cs="Times New Roman"/>
          <w:color w:val="000000"/>
          <w:sz w:val="24"/>
          <w:szCs w:val="24"/>
        </w:rPr>
        <w:tab/>
      </w:r>
      <w:r w:rsidRPr="00672A15">
        <w:rPr>
          <w:rFonts w:ascii="Times New Roman" w:eastAsia="Calibri" w:hAnsi="Times New Roman" w:cs="Times New Roman"/>
          <w:b/>
          <w:bCs/>
          <w:color w:val="000000"/>
          <w:sz w:val="24"/>
          <w:szCs w:val="24"/>
        </w:rPr>
        <w:t>P</w:t>
      </w:r>
      <w:r w:rsidRPr="00672A15">
        <w:rPr>
          <w:rFonts w:ascii="Times New Roman" w:eastAsia="Calibri" w:hAnsi="Times New Roman" w:cs="Times New Roman"/>
          <w:b/>
          <w:color w:val="000000"/>
          <w:sz w:val="24"/>
          <w:szCs w:val="24"/>
        </w:rPr>
        <w:t xml:space="preserve"> (Professionals / intended or target users and clinical specialties):</w:t>
      </w:r>
    </w:p>
    <w:p w14:paraId="2C44D841" w14:textId="77777777" w:rsidR="00672A15" w:rsidRPr="00672A15" w:rsidRDefault="00672A15" w:rsidP="00672A15">
      <w:pPr>
        <w:pBdr>
          <w:top w:val="nil"/>
          <w:left w:val="nil"/>
          <w:bottom w:val="nil"/>
          <w:right w:val="nil"/>
          <w:between w:val="nil"/>
        </w:pBdr>
        <w:tabs>
          <w:tab w:val="left" w:pos="360"/>
        </w:tabs>
        <w:ind w:left="180" w:right="630" w:hanging="9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 xml:space="preserve">  Primary health care physicians at Ministry of Health (MOH)/General practitioners/Family medicine specialists/Pediatricians /Nephrologists.</w:t>
      </w:r>
    </w:p>
    <w:p w14:paraId="6828F8F9" w14:textId="77777777" w:rsidR="00672A15" w:rsidRPr="00672A15" w:rsidRDefault="00672A15" w:rsidP="00672A15">
      <w:pPr>
        <w:pBdr>
          <w:top w:val="nil"/>
          <w:left w:val="nil"/>
          <w:bottom w:val="nil"/>
          <w:right w:val="nil"/>
          <w:between w:val="nil"/>
        </w:pBdr>
        <w:tabs>
          <w:tab w:val="left" w:pos="180"/>
          <w:tab w:val="left" w:pos="360"/>
        </w:tabs>
        <w:ind w:left="9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 xml:space="preserve">• </w:t>
      </w:r>
      <w:r w:rsidRPr="00672A15">
        <w:rPr>
          <w:rFonts w:ascii="Times New Roman" w:eastAsia="Calibri" w:hAnsi="Times New Roman" w:cs="Times New Roman"/>
          <w:b/>
          <w:bCs/>
          <w:color w:val="000000"/>
          <w:sz w:val="24"/>
          <w:szCs w:val="24"/>
        </w:rPr>
        <w:t>O</w:t>
      </w:r>
      <w:r w:rsidRPr="00672A15">
        <w:rPr>
          <w:rFonts w:ascii="Times New Roman" w:eastAsia="Calibri" w:hAnsi="Times New Roman" w:cs="Times New Roman"/>
          <w:color w:val="000000"/>
          <w:sz w:val="24"/>
          <w:szCs w:val="24"/>
        </w:rPr>
        <w:t xml:space="preserve"> </w:t>
      </w:r>
      <w:r w:rsidRPr="00672A15">
        <w:rPr>
          <w:rFonts w:ascii="Times New Roman" w:eastAsia="Calibri" w:hAnsi="Times New Roman" w:cs="Times New Roman"/>
          <w:b/>
          <w:color w:val="000000"/>
          <w:sz w:val="24"/>
          <w:szCs w:val="24"/>
        </w:rPr>
        <w:t>(Major outcomes considered):</w:t>
      </w:r>
      <w:r w:rsidRPr="00672A15">
        <w:rPr>
          <w:rFonts w:ascii="Times New Roman" w:eastAsia="Calibri" w:hAnsi="Times New Roman" w:cs="Times New Roman"/>
          <w:color w:val="000000"/>
          <w:sz w:val="24"/>
          <w:szCs w:val="24"/>
        </w:rPr>
        <w:t xml:space="preserve">  Primary Outcome: decrease the morbidity and mortality</w:t>
      </w:r>
    </w:p>
    <w:p w14:paraId="06E44D9D" w14:textId="77777777" w:rsidR="00672A15" w:rsidRPr="00672A15" w:rsidRDefault="00672A15" w:rsidP="00672A15">
      <w:pPr>
        <w:pBdr>
          <w:top w:val="nil"/>
          <w:left w:val="nil"/>
          <w:bottom w:val="nil"/>
          <w:right w:val="nil"/>
          <w:between w:val="nil"/>
        </w:pBdr>
        <w:tabs>
          <w:tab w:val="left" w:pos="180"/>
        </w:tabs>
        <w:ind w:left="180" w:right="630" w:firstLine="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Secondary Outcome: proper treatment</w:t>
      </w:r>
    </w:p>
    <w:p w14:paraId="7F823BC0" w14:textId="77777777" w:rsidR="00672A15" w:rsidRPr="00672A15" w:rsidRDefault="00672A15" w:rsidP="00672A15">
      <w:pPr>
        <w:pBdr>
          <w:top w:val="nil"/>
          <w:left w:val="nil"/>
          <w:bottom w:val="nil"/>
          <w:right w:val="nil"/>
          <w:between w:val="nil"/>
        </w:pBdr>
        <w:tabs>
          <w:tab w:val="left" w:pos="180"/>
        </w:tabs>
        <w:ind w:left="180" w:hanging="90"/>
        <w:rPr>
          <w:rFonts w:ascii="Times New Roman" w:eastAsia="Calibri" w:hAnsi="Times New Roman" w:cs="Times New Roman"/>
          <w:color w:val="000000"/>
          <w:sz w:val="24"/>
          <w:szCs w:val="24"/>
        </w:rPr>
      </w:pPr>
      <w:r w:rsidRPr="00672A15">
        <w:rPr>
          <w:rFonts w:ascii="Times New Roman" w:eastAsia="Calibri" w:hAnsi="Times New Roman" w:cs="Times New Roman"/>
          <w:color w:val="000000"/>
          <w:sz w:val="24"/>
          <w:szCs w:val="24"/>
        </w:rPr>
        <w:t xml:space="preserve">• </w:t>
      </w:r>
      <w:r w:rsidRPr="00672A15">
        <w:rPr>
          <w:rFonts w:ascii="Times New Roman" w:eastAsia="Calibri" w:hAnsi="Times New Roman" w:cs="Times New Roman"/>
          <w:b/>
          <w:bCs/>
          <w:color w:val="000000"/>
          <w:sz w:val="24"/>
          <w:szCs w:val="24"/>
        </w:rPr>
        <w:t>H</w:t>
      </w:r>
      <w:r w:rsidRPr="00672A15">
        <w:rPr>
          <w:rFonts w:ascii="Times New Roman" w:eastAsia="Calibri" w:hAnsi="Times New Roman" w:cs="Times New Roman"/>
          <w:color w:val="000000"/>
          <w:sz w:val="24"/>
          <w:szCs w:val="24"/>
        </w:rPr>
        <w:t xml:space="preserve"> </w:t>
      </w:r>
      <w:r w:rsidRPr="00672A15">
        <w:rPr>
          <w:rFonts w:ascii="Times New Roman" w:eastAsia="Calibri" w:hAnsi="Times New Roman" w:cs="Times New Roman"/>
          <w:b/>
          <w:color w:val="000000"/>
          <w:sz w:val="24"/>
          <w:szCs w:val="24"/>
        </w:rPr>
        <w:t>(Healthcare settings) Primary</w:t>
      </w:r>
      <w:r w:rsidRPr="00672A15">
        <w:rPr>
          <w:rFonts w:ascii="Times New Roman" w:eastAsia="Calibri" w:hAnsi="Times New Roman" w:cs="Times New Roman"/>
          <w:color w:val="000000"/>
          <w:sz w:val="24"/>
          <w:szCs w:val="24"/>
        </w:rPr>
        <w:t xml:space="preserve"> &amp; secondary health care setting Outpatient clinic,             emergency room.</w:t>
      </w:r>
    </w:p>
    <w:p w14:paraId="423B2C09" w14:textId="28DC48C4" w:rsidR="00672A15" w:rsidRPr="00672A15" w:rsidRDefault="00C56460" w:rsidP="00672A15">
      <w:pPr>
        <w:ind w:left="90" w:firstLine="0"/>
        <w:jc w:val="left"/>
        <w:rPr>
          <w:rFonts w:ascii="Calibri" w:eastAsia="Calibri" w:hAnsi="Calibri" w:cs="Arial"/>
        </w:rPr>
      </w:pPr>
      <w:r w:rsidRPr="004E34D7">
        <w:rPr>
          <w:rFonts w:ascii="Calibri" w:eastAsia="Calibri" w:hAnsi="Calibri" w:cs="Arial"/>
          <w:noProof/>
        </w:rPr>
        <w:lastRenderedPageBreak/>
        <w:drawing>
          <wp:inline distT="0" distB="0" distL="0" distR="0" wp14:anchorId="25E03E94" wp14:editId="07476494">
            <wp:extent cx="5943600" cy="4676775"/>
            <wp:effectExtent l="19050" t="19050" r="19050" b="285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676775"/>
                    </a:xfrm>
                    <a:prstGeom prst="rect">
                      <a:avLst/>
                    </a:prstGeom>
                    <a:ln>
                      <a:solidFill>
                        <a:sysClr val="windowText" lastClr="000000"/>
                      </a:solidFill>
                    </a:ln>
                  </pic:spPr>
                </pic:pic>
              </a:graphicData>
            </a:graphic>
          </wp:inline>
        </w:drawing>
      </w:r>
    </w:p>
    <w:p w14:paraId="731535B3" w14:textId="77777777" w:rsidR="001D0CB0" w:rsidRDefault="00672A15" w:rsidP="001D0CB0">
      <w:pPr>
        <w:bidi/>
        <w:ind w:right="180" w:firstLine="0"/>
        <w:jc w:val="right"/>
        <w:rPr>
          <w:rFonts w:ascii="Times New Roman" w:eastAsia="Calibri" w:hAnsi="Times New Roman" w:cs="Times New Roman"/>
          <w:b/>
          <w:bCs/>
          <w:sz w:val="24"/>
          <w:szCs w:val="24"/>
        </w:rPr>
      </w:pPr>
      <w:r w:rsidRPr="00672A15">
        <w:rPr>
          <w:rFonts w:ascii="Times New Roman" w:eastAsia="Calibri" w:hAnsi="Times New Roman" w:cs="Times New Roman"/>
          <w:b/>
          <w:bCs/>
          <w:sz w:val="24"/>
          <w:szCs w:val="24"/>
        </w:rPr>
        <w:t xml:space="preserve">   (Fig 7</w:t>
      </w:r>
      <w:r w:rsidR="001D0CB0">
        <w:rPr>
          <w:rFonts w:ascii="Times New Roman" w:eastAsia="Calibri" w:hAnsi="Times New Roman" w:cs="Times New Roman"/>
          <w:b/>
          <w:bCs/>
          <w:sz w:val="24"/>
          <w:szCs w:val="24"/>
        </w:rPr>
        <w:t>-a</w:t>
      </w:r>
      <w:r w:rsidRPr="00672A15">
        <w:rPr>
          <w:rFonts w:ascii="Times New Roman" w:eastAsia="Calibri" w:hAnsi="Times New Roman" w:cs="Times New Roman"/>
          <w:b/>
          <w:bCs/>
          <w:sz w:val="24"/>
          <w:szCs w:val="24"/>
        </w:rPr>
        <w:t xml:space="preserve"> Methodology)</w:t>
      </w:r>
    </w:p>
    <w:p w14:paraId="0FBA0B77" w14:textId="77777777" w:rsidR="001D0CB0" w:rsidRPr="001D0CB0" w:rsidRDefault="001D0CB0" w:rsidP="001D0CB0">
      <w:pPr>
        <w:bidi/>
        <w:ind w:right="180" w:firstLine="0"/>
        <w:jc w:val="right"/>
        <w:rPr>
          <w:rFonts w:ascii="Times New Roman" w:eastAsia="Calibri" w:hAnsi="Times New Roman" w:cs="Times New Roman"/>
          <w:b/>
          <w:bCs/>
          <w:sz w:val="24"/>
          <w:szCs w:val="24"/>
        </w:rPr>
      </w:pPr>
    </w:p>
    <w:tbl>
      <w:tblPr>
        <w:tblStyle w:val="TableGrid"/>
        <w:tblW w:w="0" w:type="auto"/>
        <w:tblLook w:val="04A0" w:firstRow="1" w:lastRow="0" w:firstColumn="1" w:lastColumn="0" w:noHBand="0" w:noVBand="1"/>
      </w:tblPr>
      <w:tblGrid>
        <w:gridCol w:w="2695"/>
        <w:gridCol w:w="6655"/>
      </w:tblGrid>
      <w:tr w:rsidR="001D0CB0" w:rsidRPr="00E85C29" w14:paraId="68BA58BB" w14:textId="77777777" w:rsidTr="001D0CB0">
        <w:tc>
          <w:tcPr>
            <w:tcW w:w="9350" w:type="dxa"/>
            <w:gridSpan w:val="2"/>
            <w:shd w:val="clear" w:color="auto" w:fill="F2F2F2"/>
          </w:tcPr>
          <w:p w14:paraId="6F569C62" w14:textId="77777777" w:rsidR="001D0CB0" w:rsidRPr="00E85C29" w:rsidRDefault="001D0CB0" w:rsidP="001D0CB0">
            <w:pPr>
              <w:spacing w:line="259" w:lineRule="auto"/>
              <w:jc w:val="center"/>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Diagnosis of SRNS</w:t>
            </w:r>
          </w:p>
        </w:tc>
      </w:tr>
      <w:tr w:rsidR="001D0CB0" w:rsidRPr="00E85C29" w14:paraId="015E81D8" w14:textId="77777777" w:rsidTr="001D0CB0">
        <w:tc>
          <w:tcPr>
            <w:tcW w:w="9350" w:type="dxa"/>
            <w:gridSpan w:val="2"/>
            <w:shd w:val="clear" w:color="auto" w:fill="F2F2F2"/>
          </w:tcPr>
          <w:p w14:paraId="4FEAE4F6" w14:textId="77777777" w:rsidR="001D0CB0" w:rsidRPr="00E85C29" w:rsidRDefault="001D0CB0" w:rsidP="001D0CB0">
            <w:pPr>
              <w:spacing w:line="259" w:lineRule="auto"/>
              <w:jc w:val="center"/>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What are the essential required investigations</w:t>
            </w:r>
          </w:p>
        </w:tc>
      </w:tr>
      <w:tr w:rsidR="001D0CB0" w:rsidRPr="00E85C29" w14:paraId="56333DCA" w14:textId="77777777" w:rsidTr="001D0CB0">
        <w:tc>
          <w:tcPr>
            <w:tcW w:w="2695" w:type="dxa"/>
          </w:tcPr>
          <w:p w14:paraId="21A7F218" w14:textId="77777777" w:rsidR="001D0CB0" w:rsidRPr="00E85C29" w:rsidRDefault="001D0CB0" w:rsidP="001D0CB0">
            <w:pPr>
              <w:spacing w:line="259" w:lineRule="auto"/>
              <w:ind w:left="67"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 xml:space="preserve">Population                            </w:t>
            </w:r>
            <w:r w:rsidRPr="00E85C29">
              <w:rPr>
                <w:rFonts w:ascii="Times New Roman" w:eastAsia="Calibri" w:hAnsi="Times New Roman" w:cs="Times New Roman"/>
                <w:b/>
                <w:bCs/>
                <w:color w:val="FF0000"/>
                <w:sz w:val="20"/>
                <w:szCs w:val="20"/>
              </w:rPr>
              <w:t>P</w:t>
            </w:r>
          </w:p>
        </w:tc>
        <w:tc>
          <w:tcPr>
            <w:tcW w:w="6655" w:type="dxa"/>
          </w:tcPr>
          <w:p w14:paraId="42FF4628" w14:textId="77777777" w:rsidR="001D0CB0" w:rsidRPr="00E85C29" w:rsidRDefault="001D0CB0" w:rsidP="001D0CB0">
            <w:pPr>
              <w:spacing w:line="259" w:lineRule="auto"/>
              <w:ind w:left="72"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 xml:space="preserve">Children aged 3 mon-18 years with </w:t>
            </w:r>
            <w:proofErr w:type="spellStart"/>
            <w:r w:rsidRPr="00E85C29">
              <w:rPr>
                <w:rFonts w:ascii="Times New Roman" w:eastAsia="Calibri" w:hAnsi="Times New Roman" w:cs="Times New Roman"/>
                <w:b/>
                <w:bCs/>
                <w:sz w:val="20"/>
                <w:szCs w:val="20"/>
              </w:rPr>
              <w:t>non congenital</w:t>
            </w:r>
            <w:proofErr w:type="spellEnd"/>
            <w:r w:rsidRPr="00E85C29">
              <w:rPr>
                <w:rFonts w:ascii="Times New Roman" w:eastAsia="Calibri" w:hAnsi="Times New Roman" w:cs="Times New Roman"/>
                <w:b/>
                <w:bCs/>
                <w:sz w:val="20"/>
                <w:szCs w:val="20"/>
              </w:rPr>
              <w:t xml:space="preserve"> SRNS</w:t>
            </w:r>
          </w:p>
        </w:tc>
      </w:tr>
      <w:tr w:rsidR="001D0CB0" w:rsidRPr="00E85C29" w14:paraId="05F62930" w14:textId="77777777" w:rsidTr="001D0CB0">
        <w:tc>
          <w:tcPr>
            <w:tcW w:w="2695" w:type="dxa"/>
          </w:tcPr>
          <w:p w14:paraId="06D65B08" w14:textId="77777777" w:rsidR="001D0CB0" w:rsidRPr="00E85C29" w:rsidRDefault="001D0CB0" w:rsidP="001D0CB0">
            <w:pPr>
              <w:spacing w:line="259" w:lineRule="auto"/>
              <w:ind w:left="67"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 xml:space="preserve">Intervention                         </w:t>
            </w:r>
            <w:r w:rsidRPr="00E85C29">
              <w:rPr>
                <w:rFonts w:ascii="Times New Roman" w:eastAsia="Calibri" w:hAnsi="Times New Roman" w:cs="Times New Roman"/>
                <w:b/>
                <w:bCs/>
                <w:color w:val="FF0000"/>
                <w:sz w:val="20"/>
                <w:szCs w:val="20"/>
              </w:rPr>
              <w:t>I</w:t>
            </w:r>
          </w:p>
        </w:tc>
        <w:tc>
          <w:tcPr>
            <w:tcW w:w="6655" w:type="dxa"/>
          </w:tcPr>
          <w:p w14:paraId="686F03EA" w14:textId="77777777" w:rsidR="001D0CB0" w:rsidRPr="00E85C29" w:rsidRDefault="001D0CB0" w:rsidP="001D0CB0">
            <w:pPr>
              <w:spacing w:line="259" w:lineRule="auto"/>
              <w:ind w:left="72"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Diagnosis</w:t>
            </w:r>
          </w:p>
        </w:tc>
      </w:tr>
      <w:tr w:rsidR="001D0CB0" w:rsidRPr="00E85C29" w14:paraId="1AC8474B" w14:textId="77777777" w:rsidTr="001D0CB0">
        <w:tc>
          <w:tcPr>
            <w:tcW w:w="2695" w:type="dxa"/>
          </w:tcPr>
          <w:p w14:paraId="4F96CF9B" w14:textId="77777777" w:rsidR="001D0CB0" w:rsidRPr="00E85C29" w:rsidRDefault="001D0CB0" w:rsidP="001D0CB0">
            <w:pPr>
              <w:spacing w:line="259" w:lineRule="auto"/>
              <w:ind w:left="67"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 xml:space="preserve">Personnel                             </w:t>
            </w:r>
            <w:r w:rsidRPr="00E85C29">
              <w:rPr>
                <w:rFonts w:ascii="Times New Roman" w:eastAsia="Calibri" w:hAnsi="Times New Roman" w:cs="Times New Roman"/>
                <w:b/>
                <w:bCs/>
                <w:color w:val="FF0000"/>
                <w:sz w:val="20"/>
                <w:szCs w:val="20"/>
              </w:rPr>
              <w:t>P</w:t>
            </w:r>
          </w:p>
        </w:tc>
        <w:tc>
          <w:tcPr>
            <w:tcW w:w="6655" w:type="dxa"/>
          </w:tcPr>
          <w:p w14:paraId="67A75DD9" w14:textId="77777777" w:rsidR="001D0CB0" w:rsidRPr="00E85C29" w:rsidRDefault="001D0CB0" w:rsidP="001D0CB0">
            <w:pPr>
              <w:spacing w:line="259" w:lineRule="auto"/>
              <w:ind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Pediatricians/ Pediatric Nephrologists/ Adult Nephrologists/ Pathologists/ Geneticist/ Clinical Pharmacists/ Dietitians at university hospitals/ Ministry of health (MOH)/ Governmental &amp; private hospitals at secondary &amp; tertiary care level.</w:t>
            </w:r>
          </w:p>
        </w:tc>
      </w:tr>
      <w:tr w:rsidR="001D0CB0" w:rsidRPr="00E85C29" w14:paraId="6DA49786" w14:textId="77777777" w:rsidTr="001D0CB0">
        <w:tc>
          <w:tcPr>
            <w:tcW w:w="2695" w:type="dxa"/>
          </w:tcPr>
          <w:p w14:paraId="1063CC95" w14:textId="77777777" w:rsidR="001D0CB0" w:rsidRPr="00E85C29" w:rsidRDefault="001D0CB0" w:rsidP="001D0CB0">
            <w:pPr>
              <w:spacing w:line="259" w:lineRule="auto"/>
              <w:ind w:left="67"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 xml:space="preserve">Outcome                              </w:t>
            </w:r>
            <w:r w:rsidRPr="00E85C29">
              <w:rPr>
                <w:rFonts w:ascii="Times New Roman" w:eastAsia="Calibri" w:hAnsi="Times New Roman" w:cs="Times New Roman"/>
                <w:b/>
                <w:bCs/>
                <w:color w:val="FF0000"/>
                <w:sz w:val="20"/>
                <w:szCs w:val="20"/>
              </w:rPr>
              <w:t>O</w:t>
            </w:r>
          </w:p>
        </w:tc>
        <w:tc>
          <w:tcPr>
            <w:tcW w:w="6655" w:type="dxa"/>
          </w:tcPr>
          <w:p w14:paraId="5FAC3CC7" w14:textId="77777777" w:rsidR="001D0CB0" w:rsidRPr="00E85C29" w:rsidRDefault="001D0CB0" w:rsidP="001D0CB0">
            <w:pPr>
              <w:spacing w:line="259" w:lineRule="auto"/>
              <w:ind w:left="72"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Primary outcome: Reduce morbidity &amp; mortality of the disease &amp; drug therapy side effects.</w:t>
            </w:r>
          </w:p>
        </w:tc>
      </w:tr>
      <w:tr w:rsidR="001D0CB0" w:rsidRPr="00E85C29" w14:paraId="7A2E4917" w14:textId="77777777" w:rsidTr="001D0CB0">
        <w:tc>
          <w:tcPr>
            <w:tcW w:w="2695" w:type="dxa"/>
          </w:tcPr>
          <w:p w14:paraId="5E55EBD6" w14:textId="77777777" w:rsidR="001D0CB0" w:rsidRPr="00E85C29" w:rsidRDefault="001D0CB0" w:rsidP="001D0CB0">
            <w:pPr>
              <w:spacing w:line="259" w:lineRule="auto"/>
              <w:ind w:left="67"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 xml:space="preserve">Health care setting             </w:t>
            </w:r>
            <w:r w:rsidRPr="00E85C29">
              <w:rPr>
                <w:rFonts w:ascii="Times New Roman" w:eastAsia="Calibri" w:hAnsi="Times New Roman" w:cs="Times New Roman"/>
                <w:b/>
                <w:bCs/>
                <w:color w:val="FF0000"/>
                <w:sz w:val="20"/>
                <w:szCs w:val="20"/>
              </w:rPr>
              <w:t>H</w:t>
            </w:r>
          </w:p>
        </w:tc>
        <w:tc>
          <w:tcPr>
            <w:tcW w:w="6655" w:type="dxa"/>
          </w:tcPr>
          <w:p w14:paraId="214549D6" w14:textId="77777777" w:rsidR="001D0CB0" w:rsidRPr="00E85C29" w:rsidRDefault="001D0CB0" w:rsidP="001D0CB0">
            <w:pPr>
              <w:spacing w:line="259" w:lineRule="auto"/>
              <w:ind w:left="72" w:firstLine="0"/>
              <w:rPr>
                <w:rFonts w:ascii="Times New Roman" w:eastAsia="Calibri" w:hAnsi="Times New Roman" w:cs="Times New Roman"/>
                <w:b/>
                <w:bCs/>
                <w:sz w:val="20"/>
                <w:szCs w:val="20"/>
              </w:rPr>
            </w:pPr>
            <w:r w:rsidRPr="00E85C29">
              <w:rPr>
                <w:rFonts w:ascii="Times New Roman" w:eastAsia="Calibri" w:hAnsi="Times New Roman" w:cs="Times New Roman"/>
                <w:b/>
                <w:bCs/>
                <w:sz w:val="20"/>
                <w:szCs w:val="20"/>
              </w:rPr>
              <w:t xml:space="preserve">Secondary </w:t>
            </w:r>
            <w:proofErr w:type="spellStart"/>
            <w:r w:rsidRPr="00E85C29">
              <w:rPr>
                <w:rFonts w:ascii="Times New Roman" w:eastAsia="Calibri" w:hAnsi="Times New Roman" w:cs="Times New Roman"/>
                <w:b/>
                <w:bCs/>
                <w:sz w:val="20"/>
                <w:szCs w:val="20"/>
              </w:rPr>
              <w:t>anf</w:t>
            </w:r>
            <w:proofErr w:type="spellEnd"/>
            <w:r w:rsidRPr="00E85C29">
              <w:rPr>
                <w:rFonts w:ascii="Times New Roman" w:eastAsia="Calibri" w:hAnsi="Times New Roman" w:cs="Times New Roman"/>
                <w:b/>
                <w:bCs/>
                <w:sz w:val="20"/>
                <w:szCs w:val="20"/>
              </w:rPr>
              <w:t xml:space="preserve"> </w:t>
            </w:r>
            <w:proofErr w:type="spellStart"/>
            <w:r w:rsidRPr="00E85C29">
              <w:rPr>
                <w:rFonts w:ascii="Times New Roman" w:eastAsia="Calibri" w:hAnsi="Times New Roman" w:cs="Times New Roman"/>
                <w:b/>
                <w:bCs/>
                <w:sz w:val="20"/>
                <w:szCs w:val="20"/>
              </w:rPr>
              <w:t>terterairy</w:t>
            </w:r>
            <w:proofErr w:type="spellEnd"/>
            <w:r w:rsidRPr="00E85C29">
              <w:rPr>
                <w:rFonts w:ascii="Times New Roman" w:eastAsia="Calibri" w:hAnsi="Times New Roman" w:cs="Times New Roman"/>
                <w:b/>
                <w:bCs/>
                <w:sz w:val="20"/>
                <w:szCs w:val="20"/>
              </w:rPr>
              <w:t xml:space="preserve"> health care setting clinic, emergency room, Dialysis/Transplant.</w:t>
            </w:r>
          </w:p>
        </w:tc>
      </w:tr>
    </w:tbl>
    <w:p w14:paraId="5CB6F9F4" w14:textId="77777777" w:rsidR="00672A15" w:rsidRDefault="001D0CB0" w:rsidP="001D0CB0">
      <w:pPr>
        <w:bidi/>
        <w:ind w:right="180" w:firstLine="0"/>
        <w:jc w:val="right"/>
        <w:rPr>
          <w:rFonts w:ascii="Times New Roman" w:eastAsia="Calibri" w:hAnsi="Times New Roman" w:cs="Times New Roman"/>
          <w:b/>
          <w:bCs/>
          <w:sz w:val="24"/>
          <w:szCs w:val="24"/>
        </w:rPr>
      </w:pPr>
      <w:r w:rsidRPr="00672A15">
        <w:rPr>
          <w:rFonts w:ascii="Times New Roman" w:eastAsia="Calibri" w:hAnsi="Times New Roman" w:cs="Times New Roman"/>
          <w:b/>
          <w:bCs/>
          <w:sz w:val="24"/>
          <w:szCs w:val="24"/>
        </w:rPr>
        <w:t xml:space="preserve">(Fig </w:t>
      </w:r>
      <w:r>
        <w:rPr>
          <w:rFonts w:ascii="Times New Roman" w:eastAsia="Calibri" w:hAnsi="Times New Roman" w:cs="Times New Roman"/>
          <w:b/>
          <w:bCs/>
          <w:sz w:val="24"/>
          <w:szCs w:val="24"/>
        </w:rPr>
        <w:t>7-b</w:t>
      </w:r>
      <w:r w:rsidRPr="00672A15">
        <w:rPr>
          <w:rFonts w:ascii="Times New Roman" w:eastAsia="Calibri" w:hAnsi="Times New Roman" w:cs="Times New Roman"/>
          <w:b/>
          <w:bCs/>
          <w:sz w:val="24"/>
          <w:szCs w:val="24"/>
        </w:rPr>
        <w:t xml:space="preserve"> Methodology)</w:t>
      </w:r>
    </w:p>
    <w:p w14:paraId="29AF3A4A" w14:textId="77777777" w:rsidR="00C17CF7" w:rsidRPr="001D0CB0" w:rsidRDefault="00C17CF7" w:rsidP="00C17CF7">
      <w:pPr>
        <w:bidi/>
        <w:ind w:right="180" w:firstLine="0"/>
        <w:jc w:val="right"/>
        <w:rPr>
          <w:rFonts w:ascii="Times New Roman" w:eastAsia="Times New Roman" w:hAnsi="Times New Roman" w:cs="Times New Roman"/>
          <w:b/>
          <w:sz w:val="28"/>
          <w:szCs w:val="28"/>
        </w:rPr>
      </w:pPr>
    </w:p>
    <w:p w14:paraId="729FF68E" w14:textId="77777777" w:rsidR="00672A15" w:rsidRPr="00672A15" w:rsidRDefault="00672A15" w:rsidP="00672A15">
      <w:pPr>
        <w:shd w:val="clear" w:color="auto" w:fill="F2F2F2" w:themeFill="background1" w:themeFillShade="F2"/>
        <w:ind w:firstLine="0"/>
        <w:jc w:val="left"/>
        <w:rPr>
          <w:rFonts w:ascii="Times New Roman" w:eastAsia="Calibri" w:hAnsi="Times New Roman" w:cs="Times New Roman"/>
          <w:b/>
          <w:bCs/>
          <w:sz w:val="24"/>
          <w:szCs w:val="24"/>
        </w:rPr>
      </w:pPr>
      <w:r w:rsidRPr="00672A15">
        <w:rPr>
          <w:rFonts w:ascii="Times New Roman" w:eastAsia="Calibri" w:hAnsi="Times New Roman" w:cs="Times New Roman"/>
          <w:b/>
          <w:bCs/>
          <w:sz w:val="24"/>
          <w:szCs w:val="24"/>
        </w:rPr>
        <w:t xml:space="preserve">7-Development of Recommendations: </w:t>
      </w:r>
    </w:p>
    <w:p w14:paraId="7DC29B85" w14:textId="77777777" w:rsidR="00E2382B" w:rsidRPr="00672A15" w:rsidRDefault="00672A15" w:rsidP="00E2382B">
      <w:pPr>
        <w:shd w:val="clear" w:color="auto" w:fill="FFFFFF"/>
        <w:ind w:firstLine="0"/>
        <w:jc w:val="left"/>
        <w:rPr>
          <w:rFonts w:ascii="Times New Roman" w:eastAsia="Calibri" w:hAnsi="Times New Roman" w:cs="Times New Roman"/>
          <w:sz w:val="24"/>
          <w:szCs w:val="24"/>
        </w:rPr>
      </w:pPr>
      <w:r w:rsidRPr="00672A15">
        <w:rPr>
          <w:rFonts w:ascii="Times New Roman" w:eastAsia="Calibri" w:hAnsi="Times New Roman" w:cs="Times New Roman"/>
          <w:sz w:val="24"/>
          <w:szCs w:val="24"/>
        </w:rPr>
        <w:t>Search and rating for EB answers, formulation of recommendations, editing, peer reviewing, validation, approval, implementation and dissemination, review/update.</w:t>
      </w:r>
    </w:p>
    <w:p w14:paraId="2DD539EC" w14:textId="3572DD6E" w:rsidR="00672A15" w:rsidRPr="00672A15" w:rsidRDefault="00672A15" w:rsidP="00672A15">
      <w:pPr>
        <w:ind w:firstLine="0"/>
        <w:jc w:val="left"/>
        <w:rPr>
          <w:rFonts w:ascii="Calibri" w:eastAsia="Calibri" w:hAnsi="Calibri" w:cs="Arial"/>
        </w:rPr>
      </w:pPr>
    </w:p>
    <w:p w14:paraId="681BEF45" w14:textId="4DE19938" w:rsidR="00672A15" w:rsidRDefault="00C56460" w:rsidP="004F4315">
      <w:pPr>
        <w:bidi/>
        <w:ind w:right="180" w:firstLine="0"/>
        <w:jc w:val="right"/>
        <w:rPr>
          <w:rFonts w:ascii="Times New Roman" w:eastAsia="Calibri" w:hAnsi="Times New Roman" w:cs="Times New Roman"/>
          <w:b/>
          <w:bCs/>
          <w:sz w:val="24"/>
          <w:szCs w:val="24"/>
        </w:rPr>
      </w:pPr>
      <w:r w:rsidRPr="004E34D7">
        <w:rPr>
          <w:rFonts w:ascii="Calibri" w:eastAsia="Calibri" w:hAnsi="Calibri" w:cs="Arial"/>
          <w:noProof/>
        </w:rPr>
        <w:lastRenderedPageBreak/>
        <w:drawing>
          <wp:inline distT="0" distB="0" distL="0" distR="0" wp14:anchorId="768AB2FD" wp14:editId="42017B3D">
            <wp:extent cx="5943600" cy="3342640"/>
            <wp:effectExtent l="19050" t="19050" r="19050"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2640"/>
                    </a:xfrm>
                    <a:prstGeom prst="rect">
                      <a:avLst/>
                    </a:prstGeom>
                    <a:ln>
                      <a:solidFill>
                        <a:sysClr val="windowText" lastClr="000000"/>
                      </a:solidFill>
                    </a:ln>
                  </pic:spPr>
                </pic:pic>
              </a:graphicData>
            </a:graphic>
          </wp:inline>
        </w:drawing>
      </w:r>
      <w:r w:rsidRPr="00672A15">
        <w:rPr>
          <w:rFonts w:ascii="Times New Roman" w:eastAsia="Calibri" w:hAnsi="Times New Roman" w:cs="Times New Roman"/>
          <w:b/>
          <w:bCs/>
          <w:sz w:val="24"/>
          <w:szCs w:val="24"/>
        </w:rPr>
        <w:t xml:space="preserve"> </w:t>
      </w:r>
      <w:r w:rsidR="00672A15" w:rsidRPr="00672A15">
        <w:rPr>
          <w:rFonts w:ascii="Times New Roman" w:eastAsia="Calibri" w:hAnsi="Times New Roman" w:cs="Times New Roman"/>
          <w:b/>
          <w:bCs/>
          <w:sz w:val="24"/>
          <w:szCs w:val="24"/>
        </w:rPr>
        <w:t>(Fig 8 Methodology)</w:t>
      </w:r>
    </w:p>
    <w:p w14:paraId="12B7106C" w14:textId="77777777" w:rsidR="00E2382B" w:rsidRPr="004F4315" w:rsidRDefault="00E2382B" w:rsidP="00E2382B">
      <w:pPr>
        <w:bidi/>
        <w:ind w:right="180" w:firstLine="0"/>
        <w:jc w:val="right"/>
        <w:rPr>
          <w:rFonts w:ascii="Times New Roman" w:eastAsia="Times New Roman" w:hAnsi="Times New Roman" w:cs="Times New Roman"/>
          <w:b/>
          <w:sz w:val="28"/>
          <w:szCs w:val="28"/>
        </w:rPr>
      </w:pPr>
    </w:p>
    <w:p w14:paraId="13FDB75C" w14:textId="77777777" w:rsidR="00672A15" w:rsidRPr="00672A15" w:rsidRDefault="00672A15" w:rsidP="00672A15">
      <w:pPr>
        <w:shd w:val="clear" w:color="auto" w:fill="F2F2F2" w:themeFill="background1" w:themeFillShade="F2"/>
        <w:ind w:firstLine="0"/>
        <w:jc w:val="left"/>
        <w:rPr>
          <w:rFonts w:ascii="Times New Roman" w:eastAsia="Calibri" w:hAnsi="Times New Roman" w:cs="Times New Roman"/>
          <w:b/>
          <w:bCs/>
          <w:sz w:val="24"/>
          <w:szCs w:val="24"/>
        </w:rPr>
      </w:pPr>
      <w:r w:rsidRPr="00672A15">
        <w:rPr>
          <w:rFonts w:ascii="Times New Roman" w:eastAsia="Calibri" w:hAnsi="Times New Roman" w:cs="Times New Roman"/>
          <w:b/>
          <w:bCs/>
          <w:sz w:val="24"/>
          <w:szCs w:val="24"/>
        </w:rPr>
        <w:t xml:space="preserve">8-Adaptation steps </w:t>
      </w:r>
    </w:p>
    <w:p w14:paraId="076FF9C6" w14:textId="77777777" w:rsidR="00672A15" w:rsidRDefault="00672A15" w:rsidP="00672A15">
      <w:pPr>
        <w:ind w:firstLine="0"/>
        <w:jc w:val="left"/>
        <w:rPr>
          <w:rFonts w:ascii="Calibri" w:eastAsia="Calibri" w:hAnsi="Calibri" w:cs="Arial"/>
          <w:noProof/>
        </w:rPr>
      </w:pPr>
    </w:p>
    <w:p w14:paraId="6DCDE0FE" w14:textId="3955D2E9" w:rsidR="004F4315" w:rsidRPr="00672A15" w:rsidRDefault="00C17CF7" w:rsidP="00672A15">
      <w:pPr>
        <w:ind w:firstLine="0"/>
        <w:jc w:val="left"/>
        <w:rPr>
          <w:rFonts w:ascii="Calibri" w:eastAsia="Calibri" w:hAnsi="Calibri" w:cs="Arial"/>
        </w:rPr>
      </w:pPr>
      <w:r w:rsidRPr="0016758C">
        <w:rPr>
          <w:rFonts w:ascii="Calibri" w:eastAsia="Calibri" w:hAnsi="Calibri" w:cs="Arial"/>
          <w:noProof/>
        </w:rPr>
        <w:drawing>
          <wp:inline distT="0" distB="0" distL="0" distR="0" wp14:anchorId="2C8905DE" wp14:editId="1FB2EB98">
            <wp:extent cx="5943600" cy="3342640"/>
            <wp:effectExtent l="19050" t="19050" r="19050"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2640"/>
                    </a:xfrm>
                    <a:prstGeom prst="rect">
                      <a:avLst/>
                    </a:prstGeom>
                    <a:ln>
                      <a:solidFill>
                        <a:sysClr val="windowText" lastClr="000000"/>
                      </a:solidFill>
                    </a:ln>
                  </pic:spPr>
                </pic:pic>
              </a:graphicData>
            </a:graphic>
          </wp:inline>
        </w:drawing>
      </w:r>
    </w:p>
    <w:p w14:paraId="0E3D55BB" w14:textId="77777777" w:rsidR="00672A15" w:rsidRPr="004F4315" w:rsidRDefault="00672A15" w:rsidP="004F4315">
      <w:pPr>
        <w:bidi/>
        <w:ind w:right="180" w:firstLine="0"/>
        <w:jc w:val="right"/>
        <w:rPr>
          <w:rFonts w:ascii="Times New Roman" w:eastAsia="Times New Roman" w:hAnsi="Times New Roman" w:cs="Times New Roman"/>
          <w:b/>
          <w:sz w:val="28"/>
          <w:szCs w:val="28"/>
        </w:rPr>
      </w:pPr>
      <w:r w:rsidRPr="00672A15">
        <w:rPr>
          <w:rFonts w:ascii="Times New Roman" w:eastAsia="Calibri" w:hAnsi="Times New Roman" w:cs="Times New Roman"/>
          <w:b/>
          <w:bCs/>
          <w:sz w:val="24"/>
          <w:szCs w:val="24"/>
        </w:rPr>
        <w:t>(Fig 9 Methodology)</w:t>
      </w:r>
    </w:p>
    <w:p w14:paraId="620E984F" w14:textId="77777777" w:rsidR="00672A15" w:rsidRDefault="00672A15" w:rsidP="00672A15">
      <w:pPr>
        <w:ind w:firstLine="0"/>
        <w:jc w:val="left"/>
        <w:rPr>
          <w:rFonts w:ascii="Times New Roman" w:eastAsia="Calibri" w:hAnsi="Times New Roman" w:cs="Times New Roman"/>
          <w:sz w:val="24"/>
          <w:szCs w:val="24"/>
        </w:rPr>
      </w:pPr>
    </w:p>
    <w:p w14:paraId="2E04E6CF" w14:textId="77777777" w:rsidR="00C17CF7" w:rsidRDefault="00C17CF7" w:rsidP="00672A15">
      <w:pPr>
        <w:ind w:firstLine="0"/>
        <w:jc w:val="left"/>
        <w:rPr>
          <w:rFonts w:ascii="Times New Roman" w:eastAsia="Calibri" w:hAnsi="Times New Roman" w:cs="Times New Roman"/>
          <w:sz w:val="24"/>
          <w:szCs w:val="24"/>
        </w:rPr>
      </w:pPr>
    </w:p>
    <w:p w14:paraId="0D395F90" w14:textId="77777777" w:rsidR="00C17CF7" w:rsidRDefault="00C17CF7" w:rsidP="00672A15">
      <w:pPr>
        <w:ind w:firstLine="0"/>
        <w:jc w:val="left"/>
        <w:rPr>
          <w:rFonts w:ascii="Times New Roman" w:eastAsia="Calibri" w:hAnsi="Times New Roman" w:cs="Times New Roman"/>
          <w:sz w:val="24"/>
          <w:szCs w:val="24"/>
        </w:rPr>
      </w:pPr>
    </w:p>
    <w:p w14:paraId="6D13E097" w14:textId="77777777" w:rsidR="00C17CF7" w:rsidRDefault="00C17CF7" w:rsidP="00672A15">
      <w:pPr>
        <w:ind w:firstLine="0"/>
        <w:jc w:val="left"/>
        <w:rPr>
          <w:rFonts w:ascii="Times New Roman" w:eastAsia="Calibri" w:hAnsi="Times New Roman" w:cs="Times New Roman"/>
          <w:sz w:val="24"/>
          <w:szCs w:val="24"/>
        </w:rPr>
      </w:pPr>
    </w:p>
    <w:p w14:paraId="2E9BF36C" w14:textId="77777777" w:rsidR="00C17CF7" w:rsidRDefault="00C17CF7" w:rsidP="00672A15">
      <w:pPr>
        <w:ind w:firstLine="0"/>
        <w:jc w:val="left"/>
        <w:rPr>
          <w:rFonts w:ascii="Times New Roman" w:eastAsia="Calibri" w:hAnsi="Times New Roman" w:cs="Times New Roman"/>
          <w:sz w:val="24"/>
          <w:szCs w:val="24"/>
        </w:rPr>
      </w:pPr>
    </w:p>
    <w:p w14:paraId="2FD645BC" w14:textId="77777777" w:rsidR="00C17CF7" w:rsidRDefault="00C17CF7" w:rsidP="00672A15">
      <w:pPr>
        <w:ind w:firstLine="0"/>
        <w:jc w:val="left"/>
        <w:rPr>
          <w:rFonts w:ascii="Times New Roman" w:eastAsia="Calibri" w:hAnsi="Times New Roman" w:cs="Times New Roman"/>
          <w:sz w:val="24"/>
          <w:szCs w:val="24"/>
        </w:rPr>
      </w:pPr>
    </w:p>
    <w:p w14:paraId="4A3E0C6C" w14:textId="77777777" w:rsidR="00C17CF7" w:rsidRDefault="00C17CF7" w:rsidP="00672A15">
      <w:pPr>
        <w:ind w:firstLine="0"/>
        <w:jc w:val="left"/>
        <w:rPr>
          <w:rFonts w:ascii="Times New Roman" w:eastAsia="Calibri" w:hAnsi="Times New Roman" w:cs="Times New Roman"/>
          <w:sz w:val="24"/>
          <w:szCs w:val="24"/>
        </w:rPr>
      </w:pPr>
    </w:p>
    <w:p w14:paraId="507167FD" w14:textId="77777777" w:rsidR="00C17CF7" w:rsidRPr="00E85C29" w:rsidRDefault="00C17CF7" w:rsidP="00672A15">
      <w:pPr>
        <w:ind w:firstLine="0"/>
        <w:jc w:val="left"/>
        <w:rPr>
          <w:rFonts w:ascii="Times New Roman" w:eastAsia="Calibri" w:hAnsi="Times New Roman" w:cs="Times New Roman"/>
          <w:sz w:val="24"/>
          <w:szCs w:val="24"/>
        </w:rPr>
      </w:pPr>
    </w:p>
    <w:p w14:paraId="64F60370" w14:textId="77777777" w:rsidR="00672A15" w:rsidRPr="00E85C29" w:rsidRDefault="001D0CB0" w:rsidP="00672A15">
      <w:pPr>
        <w:ind w:left="90" w:firstLine="0"/>
        <w:jc w:val="center"/>
        <w:rPr>
          <w:rFonts w:ascii="Times New Roman" w:eastAsia="Times New Roman" w:hAnsi="Times New Roman" w:cs="Times New Roman"/>
          <w:b/>
          <w:bCs/>
          <w:color w:val="181717"/>
          <w:sz w:val="24"/>
          <w:szCs w:val="24"/>
        </w:rPr>
      </w:pPr>
      <w:r>
        <w:rPr>
          <w:rFonts w:ascii="Times New Roman" w:eastAsia="Times New Roman" w:hAnsi="Times New Roman" w:cs="Times New Roman"/>
          <w:b/>
          <w:bCs/>
          <w:color w:val="007170"/>
          <w:sz w:val="24"/>
          <w:szCs w:val="24"/>
        </w:rPr>
        <w:lastRenderedPageBreak/>
        <w:t xml:space="preserve">9- </w:t>
      </w:r>
      <w:r w:rsidR="00672A15" w:rsidRPr="00E85C29">
        <w:rPr>
          <w:rFonts w:ascii="Times New Roman" w:eastAsia="Times New Roman" w:hAnsi="Times New Roman" w:cs="Times New Roman"/>
          <w:b/>
          <w:bCs/>
          <w:color w:val="007170"/>
          <w:sz w:val="24"/>
          <w:szCs w:val="24"/>
        </w:rPr>
        <w:t>RESEARCH AND REPORTING METHODS</w:t>
      </w:r>
    </w:p>
    <w:p w14:paraId="4CEEB960" w14:textId="77777777" w:rsidR="00672A15" w:rsidRPr="00E85C29" w:rsidRDefault="00672A15" w:rsidP="00672A15">
      <w:pPr>
        <w:ind w:left="90" w:firstLine="0"/>
        <w:jc w:val="left"/>
        <w:rPr>
          <w:rFonts w:ascii="Times New Roman" w:eastAsia="Times New Roman" w:hAnsi="Times New Roman" w:cs="Times New Roman"/>
          <w:b/>
          <w:bCs/>
          <w:color w:val="181717"/>
          <w:sz w:val="24"/>
          <w:szCs w:val="24"/>
        </w:rPr>
      </w:pPr>
      <w:r w:rsidRPr="00E85C29">
        <w:rPr>
          <w:rFonts w:ascii="Times New Roman" w:eastAsia="Times New Roman" w:hAnsi="Times New Roman" w:cs="Times New Roman"/>
          <w:b/>
          <w:bCs/>
          <w:color w:val="181717"/>
          <w:sz w:val="24"/>
          <w:szCs w:val="24"/>
        </w:rPr>
        <w:t xml:space="preserve">    Reporting Tool for Adapted Guidelines in Health Care: </w:t>
      </w:r>
      <w:proofErr w:type="spellStart"/>
      <w:r w:rsidRPr="00E85C29">
        <w:rPr>
          <w:rFonts w:ascii="Times New Roman" w:eastAsia="Times New Roman" w:hAnsi="Times New Roman" w:cs="Times New Roman"/>
          <w:b/>
          <w:bCs/>
          <w:color w:val="181717"/>
          <w:sz w:val="24"/>
          <w:szCs w:val="24"/>
        </w:rPr>
        <w:t>RIGHT-Ad@pt</w:t>
      </w:r>
      <w:proofErr w:type="spellEnd"/>
      <w:r w:rsidRPr="00E85C29">
        <w:rPr>
          <w:rFonts w:ascii="Times New Roman" w:eastAsia="Times New Roman" w:hAnsi="Times New Roman" w:cs="Times New Roman"/>
          <w:b/>
          <w:bCs/>
          <w:color w:val="181717"/>
          <w:sz w:val="24"/>
          <w:szCs w:val="24"/>
        </w:rPr>
        <w:t xml:space="preserve"> Checklist</w:t>
      </w:r>
    </w:p>
    <w:p w14:paraId="7D4A81F8" w14:textId="77777777" w:rsidR="00672A15" w:rsidRPr="00E85C29" w:rsidRDefault="00672A15" w:rsidP="00672A15">
      <w:pPr>
        <w:ind w:left="90" w:firstLine="0"/>
        <w:jc w:val="left"/>
        <w:rPr>
          <w:rFonts w:ascii="Times New Roman" w:eastAsia="Times New Roman" w:hAnsi="Times New Roman" w:cs="Times New Roman"/>
          <w:b/>
          <w:bCs/>
          <w:color w:val="007170"/>
          <w:sz w:val="24"/>
          <w:szCs w:val="24"/>
        </w:rPr>
      </w:pPr>
      <w:r w:rsidRPr="00E85C29">
        <w:rPr>
          <w:rFonts w:ascii="Times New Roman" w:eastAsia="Times New Roman" w:hAnsi="Times New Roman" w:cs="Times New Roman"/>
          <w:b/>
          <w:bCs/>
          <w:color w:val="181717"/>
          <w:sz w:val="24"/>
          <w:szCs w:val="24"/>
        </w:rPr>
        <w:t xml:space="preserve">                                                                                        </w:t>
      </w:r>
    </w:p>
    <w:p w14:paraId="2E690F17" w14:textId="77777777" w:rsidR="00672A15" w:rsidRPr="00E85C29" w:rsidRDefault="004F4315" w:rsidP="00672A15">
      <w:pPr>
        <w:spacing w:after="44"/>
        <w:ind w:left="90" w:firstLine="0"/>
        <w:jc w:val="left"/>
        <w:rPr>
          <w:rFonts w:ascii="Times New Roman" w:eastAsia="Calibri" w:hAnsi="Times New Roman" w:cs="Times New Roman"/>
          <w:b/>
          <w:bCs/>
          <w:color w:val="181717"/>
          <w:sz w:val="24"/>
          <w:szCs w:val="24"/>
        </w:rPr>
      </w:pPr>
      <w:r>
        <w:rPr>
          <w:rFonts w:ascii="Times New Roman" w:eastAsia="Calibri" w:hAnsi="Times New Roman" w:cs="Times New Roman"/>
          <w:b/>
          <w:bCs/>
          <w:color w:val="181717"/>
          <w:sz w:val="24"/>
          <w:szCs w:val="24"/>
        </w:rPr>
        <w:t xml:space="preserve">   </w:t>
      </w:r>
      <w:proofErr w:type="gramStart"/>
      <w:r>
        <w:rPr>
          <w:rFonts w:ascii="Times New Roman" w:eastAsia="Calibri" w:hAnsi="Times New Roman" w:cs="Times New Roman"/>
          <w:b/>
          <w:bCs/>
          <w:color w:val="181717"/>
          <w:sz w:val="24"/>
          <w:szCs w:val="24"/>
        </w:rPr>
        <w:t>Table  A</w:t>
      </w:r>
      <w:proofErr w:type="gramEnd"/>
      <w:r w:rsidR="00672A15" w:rsidRPr="00E85C29">
        <w:rPr>
          <w:rFonts w:ascii="Times New Roman" w:eastAsia="Calibri" w:hAnsi="Times New Roman" w:cs="Times New Roman"/>
          <w:b/>
          <w:bCs/>
          <w:color w:val="181717"/>
          <w:sz w:val="24"/>
          <w:szCs w:val="24"/>
        </w:rPr>
        <w:t xml:space="preserve">  : The </w:t>
      </w:r>
      <w:proofErr w:type="spellStart"/>
      <w:r w:rsidR="00672A15" w:rsidRPr="00E85C29">
        <w:rPr>
          <w:rFonts w:ascii="Times New Roman" w:eastAsia="Calibri" w:hAnsi="Times New Roman" w:cs="Times New Roman"/>
          <w:b/>
          <w:bCs/>
          <w:color w:val="181717"/>
          <w:sz w:val="24"/>
          <w:szCs w:val="24"/>
        </w:rPr>
        <w:t>RIGHT-Ad@pt</w:t>
      </w:r>
      <w:proofErr w:type="spellEnd"/>
      <w:r w:rsidR="00672A15" w:rsidRPr="00E85C29">
        <w:rPr>
          <w:rFonts w:ascii="Times New Roman" w:eastAsia="Calibri" w:hAnsi="Times New Roman" w:cs="Times New Roman"/>
          <w:b/>
          <w:bCs/>
          <w:color w:val="181717"/>
          <w:sz w:val="24"/>
          <w:szCs w:val="24"/>
        </w:rPr>
        <w:t xml:space="preserve"> checklist. RIGHT = </w:t>
      </w:r>
    </w:p>
    <w:p w14:paraId="0B00480D" w14:textId="2EE37C59" w:rsidR="00672A15" w:rsidRPr="00E85C29" w:rsidRDefault="00672A15" w:rsidP="00C17CF7">
      <w:pPr>
        <w:spacing w:after="44"/>
        <w:ind w:left="90" w:firstLine="0"/>
        <w:jc w:val="left"/>
        <w:rPr>
          <w:rFonts w:ascii="Times New Roman" w:eastAsia="Calibri" w:hAnsi="Times New Roman" w:cs="Times New Roman"/>
          <w:b/>
          <w:bCs/>
          <w:color w:val="181717"/>
          <w:sz w:val="24"/>
          <w:szCs w:val="24"/>
        </w:rPr>
      </w:pPr>
      <w:r w:rsidRPr="00E85C29">
        <w:rPr>
          <w:rFonts w:ascii="Times New Roman" w:eastAsia="Calibri" w:hAnsi="Times New Roman" w:cs="Times New Roman"/>
          <w:b/>
          <w:bCs/>
          <w:color w:val="181717"/>
          <w:sz w:val="24"/>
          <w:szCs w:val="24"/>
        </w:rPr>
        <w:t xml:space="preserve">                       Reporting Items for prac</w:t>
      </w:r>
      <w:r w:rsidR="00C17CF7">
        <w:rPr>
          <w:rFonts w:ascii="Times New Roman" w:eastAsia="Calibri" w:hAnsi="Times New Roman" w:cs="Times New Roman"/>
          <w:b/>
          <w:bCs/>
          <w:color w:val="181717"/>
          <w:sz w:val="24"/>
          <w:szCs w:val="24"/>
        </w:rPr>
        <w:t>tice Guidelines in Health care.</w:t>
      </w:r>
    </w:p>
    <w:tbl>
      <w:tblPr>
        <w:tblStyle w:val="TableGrid3"/>
        <w:tblW w:w="9825" w:type="dxa"/>
        <w:tblInd w:w="265" w:type="dxa"/>
        <w:tblLayout w:type="fixed"/>
        <w:tblLook w:val="04A0" w:firstRow="1" w:lastRow="0" w:firstColumn="1" w:lastColumn="0" w:noHBand="0" w:noVBand="1"/>
      </w:tblPr>
      <w:tblGrid>
        <w:gridCol w:w="450"/>
        <w:gridCol w:w="4680"/>
        <w:gridCol w:w="90"/>
        <w:gridCol w:w="1080"/>
        <w:gridCol w:w="34"/>
        <w:gridCol w:w="91"/>
        <w:gridCol w:w="1675"/>
        <w:gridCol w:w="44"/>
        <w:gridCol w:w="91"/>
        <w:gridCol w:w="1575"/>
        <w:gridCol w:w="15"/>
      </w:tblGrid>
      <w:tr w:rsidR="00672A15" w:rsidRPr="00E85C29" w14:paraId="2A26A653" w14:textId="77777777" w:rsidTr="00672A15">
        <w:trPr>
          <w:trHeight w:val="242"/>
        </w:trPr>
        <w:tc>
          <w:tcPr>
            <w:tcW w:w="9825" w:type="dxa"/>
            <w:gridSpan w:val="11"/>
            <w:tcBorders>
              <w:top w:val="single" w:sz="4" w:space="0" w:color="auto"/>
              <w:left w:val="single" w:sz="4" w:space="0" w:color="auto"/>
              <w:bottom w:val="single" w:sz="4" w:space="0" w:color="auto"/>
              <w:right w:val="single" w:sz="4" w:space="0" w:color="auto"/>
            </w:tcBorders>
            <w:hideMark/>
          </w:tcPr>
          <w:p w14:paraId="24D8BF11" w14:textId="77777777" w:rsidR="00672A15" w:rsidRPr="00E85C29" w:rsidRDefault="00672A15" w:rsidP="00672A15">
            <w:pPr>
              <w:ind w:left="-90"/>
              <w:rPr>
                <w:rFonts w:ascii="Times New Roman" w:hAnsi="Times New Roman" w:cs="Times New Roman"/>
                <w:b/>
                <w:color w:val="181717"/>
                <w:sz w:val="18"/>
                <w:szCs w:val="18"/>
              </w:rPr>
            </w:pPr>
            <w:r w:rsidRPr="00E85C29">
              <w:rPr>
                <w:rFonts w:ascii="Times New Roman" w:hAnsi="Times New Roman" w:cs="Times New Roman"/>
                <w:b/>
                <w:color w:val="181717"/>
                <w:sz w:val="18"/>
                <w:szCs w:val="18"/>
              </w:rPr>
              <w:t xml:space="preserve">7 sections, 27 topics and 34 items                                                                         SRNS </w:t>
            </w:r>
          </w:p>
        </w:tc>
      </w:tr>
      <w:tr w:rsidR="00672A15" w:rsidRPr="00E85C29" w14:paraId="517C621F"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BFBFBF"/>
          </w:tcPr>
          <w:p w14:paraId="27C78C01" w14:textId="77777777" w:rsidR="00672A15" w:rsidRPr="00E85C29" w:rsidRDefault="00672A15" w:rsidP="00672A15">
            <w:pPr>
              <w:ind w:left="-90"/>
              <w:rPr>
                <w:rFonts w:ascii="Times New Roman" w:hAnsi="Times New Roman" w:cs="Times New Roman"/>
                <w:bCs/>
                <w:color w:val="181717"/>
                <w:sz w:val="18"/>
                <w:szCs w:val="18"/>
              </w:rPr>
            </w:pPr>
          </w:p>
        </w:tc>
        <w:tc>
          <w:tcPr>
            <w:tcW w:w="4770"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D52D1A4" w14:textId="77777777" w:rsidR="00672A15" w:rsidRPr="00E85C29" w:rsidRDefault="00672A15" w:rsidP="00672A15">
            <w:pPr>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Basic information</w:t>
            </w:r>
          </w:p>
        </w:tc>
        <w:tc>
          <w:tcPr>
            <w:tcW w:w="1205"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5D413ACC" w14:textId="77777777" w:rsidR="00672A15" w:rsidRPr="00E85C29" w:rsidRDefault="00672A15" w:rsidP="00672A15">
            <w:pPr>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Assessment </w:t>
            </w:r>
          </w:p>
        </w:tc>
        <w:tc>
          <w:tcPr>
            <w:tcW w:w="181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2A79831F" w14:textId="77777777" w:rsidR="00672A15" w:rsidRPr="00E85C29" w:rsidRDefault="00672A15" w:rsidP="00672A15">
            <w:pPr>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Pages </w:t>
            </w:r>
          </w:p>
        </w:tc>
        <w:tc>
          <w:tcPr>
            <w:tcW w:w="159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2A7FC07" w14:textId="77777777" w:rsidR="00672A15" w:rsidRPr="00E85C29" w:rsidRDefault="00672A15" w:rsidP="00672A15">
            <w:pPr>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Notes</w:t>
            </w:r>
          </w:p>
        </w:tc>
      </w:tr>
      <w:tr w:rsidR="00672A15" w:rsidRPr="00E85C29" w14:paraId="254BD90F"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hideMark/>
          </w:tcPr>
          <w:p w14:paraId="2BCD2757" w14:textId="77777777" w:rsidR="00672A15" w:rsidRPr="00E85C29" w:rsidRDefault="00672A15" w:rsidP="00672A15">
            <w:pPr>
              <w:ind w:left="-378" w:right="-288" w:firstLine="378"/>
              <w:jc w:val="center"/>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w:t>
            </w:r>
          </w:p>
        </w:tc>
        <w:tc>
          <w:tcPr>
            <w:tcW w:w="4680" w:type="dxa"/>
            <w:tcBorders>
              <w:top w:val="single" w:sz="4" w:space="0" w:color="auto"/>
              <w:left w:val="single" w:sz="4" w:space="0" w:color="auto"/>
              <w:bottom w:val="single" w:sz="4" w:space="0" w:color="auto"/>
              <w:right w:val="single" w:sz="4" w:space="0" w:color="auto"/>
            </w:tcBorders>
            <w:hideMark/>
          </w:tcPr>
          <w:p w14:paraId="786AF38B" w14:textId="77777777" w:rsidR="00672A15" w:rsidRPr="00E85C29" w:rsidRDefault="00672A15" w:rsidP="00672A15">
            <w:pPr>
              <w:tabs>
                <w:tab w:val="left" w:pos="4572"/>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Identify the report as an adaptation of practice guideline(s), that is include "guideline adaptation", "adapting", "adapted guideline/recommendation(s)", or similar terminology in the title/subtitle.</w:t>
            </w:r>
          </w:p>
        </w:tc>
        <w:tc>
          <w:tcPr>
            <w:tcW w:w="1204" w:type="dxa"/>
            <w:gridSpan w:val="3"/>
            <w:tcBorders>
              <w:top w:val="single" w:sz="4" w:space="0" w:color="auto"/>
              <w:left w:val="single" w:sz="4" w:space="0" w:color="auto"/>
              <w:bottom w:val="single" w:sz="4" w:space="0" w:color="auto"/>
              <w:right w:val="single" w:sz="4" w:space="0" w:color="auto"/>
            </w:tcBorders>
            <w:hideMark/>
          </w:tcPr>
          <w:p w14:paraId="3A0E0B84"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47DC8FB5"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7381FAE7"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10" w:type="dxa"/>
            <w:gridSpan w:val="3"/>
            <w:tcBorders>
              <w:top w:val="single" w:sz="4" w:space="0" w:color="auto"/>
              <w:left w:val="single" w:sz="4" w:space="0" w:color="auto"/>
              <w:bottom w:val="single" w:sz="4" w:space="0" w:color="auto"/>
              <w:right w:val="single" w:sz="4" w:space="0" w:color="auto"/>
            </w:tcBorders>
            <w:hideMark/>
          </w:tcPr>
          <w:p w14:paraId="5C835C30"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1 (cover page)</w:t>
            </w:r>
          </w:p>
          <w:p w14:paraId="36748969"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9 (Guideline Status)</w:t>
            </w:r>
          </w:p>
          <w:p w14:paraId="2FC8512B"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74 (Methodology)</w:t>
            </w:r>
          </w:p>
        </w:tc>
        <w:tc>
          <w:tcPr>
            <w:tcW w:w="1666" w:type="dxa"/>
            <w:gridSpan w:val="2"/>
            <w:tcBorders>
              <w:top w:val="single" w:sz="4" w:space="0" w:color="auto"/>
              <w:left w:val="single" w:sz="4" w:space="0" w:color="auto"/>
              <w:bottom w:val="single" w:sz="4" w:space="0" w:color="auto"/>
              <w:right w:val="single" w:sz="4" w:space="0" w:color="auto"/>
            </w:tcBorders>
          </w:tcPr>
          <w:p w14:paraId="32DEB829" w14:textId="77777777" w:rsidR="00672A15" w:rsidRPr="00E85C29" w:rsidRDefault="00672A15" w:rsidP="00672A15">
            <w:pPr>
              <w:ind w:left="-90"/>
              <w:rPr>
                <w:rFonts w:ascii="Times New Roman" w:hAnsi="Times New Roman" w:cs="Times New Roman"/>
                <w:bCs/>
                <w:color w:val="181717"/>
                <w:sz w:val="18"/>
                <w:szCs w:val="18"/>
                <w:vertAlign w:val="superscript"/>
              </w:rPr>
            </w:pPr>
          </w:p>
        </w:tc>
      </w:tr>
      <w:tr w:rsidR="00672A15" w:rsidRPr="00E85C29" w14:paraId="3E874464"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hideMark/>
          </w:tcPr>
          <w:p w14:paraId="69D2D7F5" w14:textId="77777777" w:rsidR="00672A15" w:rsidRPr="00E85C29" w:rsidRDefault="00672A15" w:rsidP="00672A15">
            <w:pPr>
              <w:ind w:left="-378" w:firstLine="378"/>
              <w:jc w:val="righ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2</w:t>
            </w:r>
          </w:p>
        </w:tc>
        <w:tc>
          <w:tcPr>
            <w:tcW w:w="4680" w:type="dxa"/>
            <w:tcBorders>
              <w:top w:val="single" w:sz="4" w:space="0" w:color="auto"/>
              <w:left w:val="single" w:sz="4" w:space="0" w:color="auto"/>
              <w:bottom w:val="single" w:sz="4" w:space="0" w:color="auto"/>
              <w:right w:val="single" w:sz="4" w:space="0" w:color="auto"/>
            </w:tcBorders>
            <w:hideMark/>
          </w:tcPr>
          <w:p w14:paraId="58B3C518" w14:textId="77777777" w:rsidR="00672A15" w:rsidRPr="00E85C29" w:rsidRDefault="00672A15" w:rsidP="00672A15">
            <w:pPr>
              <w:tabs>
                <w:tab w:val="left" w:pos="4572"/>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topic/focus/scope of the adapted guideline.</w:t>
            </w:r>
          </w:p>
        </w:tc>
        <w:tc>
          <w:tcPr>
            <w:tcW w:w="1204" w:type="dxa"/>
            <w:gridSpan w:val="3"/>
            <w:tcBorders>
              <w:top w:val="single" w:sz="4" w:space="0" w:color="auto"/>
              <w:left w:val="single" w:sz="4" w:space="0" w:color="auto"/>
              <w:bottom w:val="single" w:sz="4" w:space="0" w:color="auto"/>
              <w:right w:val="single" w:sz="4" w:space="0" w:color="auto"/>
            </w:tcBorders>
            <w:hideMark/>
          </w:tcPr>
          <w:p w14:paraId="039D0390"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399E569F"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0A6DEB28"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10" w:type="dxa"/>
            <w:gridSpan w:val="3"/>
            <w:tcBorders>
              <w:top w:val="single" w:sz="4" w:space="0" w:color="auto"/>
              <w:left w:val="single" w:sz="4" w:space="0" w:color="auto"/>
              <w:bottom w:val="single" w:sz="4" w:space="0" w:color="auto"/>
              <w:right w:val="single" w:sz="4" w:space="0" w:color="auto"/>
            </w:tcBorders>
            <w:hideMark/>
          </w:tcPr>
          <w:p w14:paraId="35E30565"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21 (Scope, purpose,  PIPOH)</w:t>
            </w:r>
          </w:p>
        </w:tc>
        <w:tc>
          <w:tcPr>
            <w:tcW w:w="1666" w:type="dxa"/>
            <w:gridSpan w:val="2"/>
            <w:tcBorders>
              <w:top w:val="single" w:sz="4" w:space="0" w:color="auto"/>
              <w:left w:val="single" w:sz="4" w:space="0" w:color="auto"/>
              <w:bottom w:val="single" w:sz="4" w:space="0" w:color="auto"/>
              <w:right w:val="single" w:sz="4" w:space="0" w:color="auto"/>
            </w:tcBorders>
          </w:tcPr>
          <w:p w14:paraId="6152BF71" w14:textId="77777777" w:rsidR="00672A15" w:rsidRPr="00E85C29" w:rsidRDefault="00672A15" w:rsidP="00672A15">
            <w:pPr>
              <w:ind w:left="-90"/>
              <w:rPr>
                <w:rFonts w:ascii="Times New Roman" w:hAnsi="Times New Roman" w:cs="Times New Roman"/>
                <w:bCs/>
                <w:color w:val="181717"/>
                <w:sz w:val="18"/>
                <w:szCs w:val="18"/>
                <w:vertAlign w:val="superscript"/>
              </w:rPr>
            </w:pPr>
          </w:p>
        </w:tc>
      </w:tr>
      <w:tr w:rsidR="00672A15" w:rsidRPr="00E85C29" w14:paraId="4FA50405"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66579135" w14:textId="77777777" w:rsidR="00672A15" w:rsidRPr="00E85C29" w:rsidRDefault="00672A15" w:rsidP="00672A15">
            <w:pPr>
              <w:ind w:left="-378" w:firstLine="378"/>
              <w:jc w:val="right"/>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486A9923" w14:textId="77777777" w:rsidR="00672A15" w:rsidRPr="00E85C29" w:rsidRDefault="00672A15" w:rsidP="00672A15">
            <w:pPr>
              <w:tabs>
                <w:tab w:val="left" w:pos="4572"/>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Cover/first page</w:t>
            </w:r>
          </w:p>
        </w:tc>
        <w:tc>
          <w:tcPr>
            <w:tcW w:w="1204" w:type="dxa"/>
            <w:gridSpan w:val="3"/>
            <w:tcBorders>
              <w:top w:val="single" w:sz="4" w:space="0" w:color="auto"/>
              <w:left w:val="single" w:sz="4" w:space="0" w:color="auto"/>
              <w:bottom w:val="single" w:sz="4" w:space="0" w:color="auto"/>
              <w:right w:val="single" w:sz="4" w:space="0" w:color="auto"/>
            </w:tcBorders>
            <w:shd w:val="clear" w:color="auto" w:fill="F2F2F2"/>
          </w:tcPr>
          <w:p w14:paraId="3C81A95C" w14:textId="77777777" w:rsidR="00672A15" w:rsidRPr="00E85C29" w:rsidRDefault="00672A15" w:rsidP="00672A15">
            <w:pPr>
              <w:ind w:left="-90"/>
              <w:rPr>
                <w:rFonts w:ascii="Times New Roman" w:hAnsi="Times New Roman" w:cs="Times New Roman"/>
                <w:bCs/>
                <w:color w:val="181717"/>
                <w:sz w:val="18"/>
                <w:szCs w:val="18"/>
              </w:rPr>
            </w:pPr>
          </w:p>
        </w:tc>
        <w:tc>
          <w:tcPr>
            <w:tcW w:w="1810" w:type="dxa"/>
            <w:gridSpan w:val="3"/>
            <w:tcBorders>
              <w:top w:val="single" w:sz="4" w:space="0" w:color="auto"/>
              <w:left w:val="single" w:sz="4" w:space="0" w:color="auto"/>
              <w:bottom w:val="single" w:sz="4" w:space="0" w:color="auto"/>
              <w:right w:val="single" w:sz="4" w:space="0" w:color="auto"/>
            </w:tcBorders>
            <w:shd w:val="clear" w:color="auto" w:fill="F2F2F2"/>
          </w:tcPr>
          <w:p w14:paraId="554AF980"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p>
        </w:tc>
        <w:tc>
          <w:tcPr>
            <w:tcW w:w="1666" w:type="dxa"/>
            <w:gridSpan w:val="2"/>
            <w:tcBorders>
              <w:top w:val="single" w:sz="4" w:space="0" w:color="auto"/>
              <w:left w:val="single" w:sz="4" w:space="0" w:color="auto"/>
              <w:bottom w:val="single" w:sz="4" w:space="0" w:color="auto"/>
              <w:right w:val="single" w:sz="4" w:space="0" w:color="auto"/>
            </w:tcBorders>
            <w:shd w:val="clear" w:color="auto" w:fill="F2F2F2"/>
          </w:tcPr>
          <w:p w14:paraId="38527D7D" w14:textId="77777777" w:rsidR="00672A15" w:rsidRPr="00E85C29" w:rsidRDefault="00672A15" w:rsidP="00672A15">
            <w:pPr>
              <w:ind w:left="-90"/>
              <w:rPr>
                <w:rFonts w:ascii="Times New Roman" w:hAnsi="Times New Roman" w:cs="Times New Roman"/>
                <w:bCs/>
                <w:color w:val="181717"/>
                <w:sz w:val="18"/>
                <w:szCs w:val="18"/>
                <w:vertAlign w:val="superscript"/>
              </w:rPr>
            </w:pPr>
          </w:p>
        </w:tc>
      </w:tr>
      <w:tr w:rsidR="00672A15" w:rsidRPr="00E85C29" w14:paraId="2BB8EFEE" w14:textId="77777777" w:rsidTr="00672A15">
        <w:trPr>
          <w:gridAfter w:val="1"/>
          <w:wAfter w:w="15" w:type="dxa"/>
          <w:trHeight w:val="557"/>
        </w:trPr>
        <w:tc>
          <w:tcPr>
            <w:tcW w:w="450" w:type="dxa"/>
            <w:tcBorders>
              <w:top w:val="single" w:sz="4" w:space="0" w:color="auto"/>
              <w:left w:val="single" w:sz="4" w:space="0" w:color="auto"/>
              <w:bottom w:val="single" w:sz="4" w:space="0" w:color="auto"/>
              <w:right w:val="single" w:sz="4" w:space="0" w:color="auto"/>
            </w:tcBorders>
            <w:hideMark/>
          </w:tcPr>
          <w:p w14:paraId="089804F8" w14:textId="77777777" w:rsidR="00672A15" w:rsidRPr="00E85C29" w:rsidRDefault="00672A15" w:rsidP="00672A15">
            <w:pPr>
              <w:ind w:left="-378" w:firstLine="378"/>
              <w:jc w:val="righ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3</w:t>
            </w:r>
          </w:p>
        </w:tc>
        <w:tc>
          <w:tcPr>
            <w:tcW w:w="4680" w:type="dxa"/>
            <w:tcBorders>
              <w:top w:val="single" w:sz="4" w:space="0" w:color="auto"/>
              <w:left w:val="single" w:sz="4" w:space="0" w:color="auto"/>
              <w:bottom w:val="single" w:sz="4" w:space="0" w:color="auto"/>
              <w:right w:val="single" w:sz="4" w:space="0" w:color="auto"/>
            </w:tcBorders>
            <w:hideMark/>
          </w:tcPr>
          <w:p w14:paraId="4B0346B4" w14:textId="77777777" w:rsidR="00672A15" w:rsidRPr="00E85C29" w:rsidRDefault="00672A15" w:rsidP="00672A15">
            <w:pPr>
              <w:tabs>
                <w:tab w:val="left" w:pos="4572"/>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Report the respective dates of publication and the literature search of the adapted guideline.</w:t>
            </w:r>
          </w:p>
        </w:tc>
        <w:tc>
          <w:tcPr>
            <w:tcW w:w="1204" w:type="dxa"/>
            <w:gridSpan w:val="3"/>
            <w:tcBorders>
              <w:top w:val="single" w:sz="4" w:space="0" w:color="auto"/>
              <w:left w:val="single" w:sz="4" w:space="0" w:color="auto"/>
              <w:bottom w:val="single" w:sz="4" w:space="0" w:color="auto"/>
              <w:right w:val="single" w:sz="4" w:space="0" w:color="auto"/>
            </w:tcBorders>
            <w:hideMark/>
          </w:tcPr>
          <w:p w14:paraId="57BC5276"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6EB4685C"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1A14760E"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10" w:type="dxa"/>
            <w:gridSpan w:val="3"/>
            <w:tcBorders>
              <w:top w:val="single" w:sz="4" w:space="0" w:color="auto"/>
              <w:left w:val="single" w:sz="4" w:space="0" w:color="auto"/>
              <w:bottom w:val="single" w:sz="4" w:space="0" w:color="auto"/>
              <w:right w:val="single" w:sz="4" w:space="0" w:color="auto"/>
            </w:tcBorders>
            <w:hideMark/>
          </w:tcPr>
          <w:p w14:paraId="1E01A877"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1 (Cover page)</w:t>
            </w:r>
          </w:p>
          <w:p w14:paraId="40A8AB9B"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 xml:space="preserve">5 (Acknowledgement </w:t>
            </w:r>
          </w:p>
          <w:p w14:paraId="21CC3300"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103 (documents)</w:t>
            </w:r>
          </w:p>
        </w:tc>
        <w:tc>
          <w:tcPr>
            <w:tcW w:w="1666" w:type="dxa"/>
            <w:gridSpan w:val="2"/>
            <w:tcBorders>
              <w:top w:val="single" w:sz="4" w:space="0" w:color="auto"/>
              <w:left w:val="single" w:sz="4" w:space="0" w:color="auto"/>
              <w:bottom w:val="single" w:sz="4" w:space="0" w:color="auto"/>
              <w:right w:val="single" w:sz="4" w:space="0" w:color="auto"/>
            </w:tcBorders>
          </w:tcPr>
          <w:p w14:paraId="31CD4ABD" w14:textId="77777777" w:rsidR="00672A15" w:rsidRPr="00E85C29" w:rsidRDefault="00672A15" w:rsidP="00672A15">
            <w:pPr>
              <w:ind w:left="-90"/>
              <w:rPr>
                <w:rFonts w:ascii="Times New Roman" w:hAnsi="Times New Roman" w:cs="Times New Roman"/>
                <w:bCs/>
                <w:color w:val="181717"/>
                <w:sz w:val="18"/>
                <w:szCs w:val="18"/>
                <w:vertAlign w:val="superscript"/>
              </w:rPr>
            </w:pPr>
          </w:p>
        </w:tc>
      </w:tr>
      <w:tr w:rsidR="00672A15" w:rsidRPr="00E85C29" w14:paraId="61878FC1"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hideMark/>
          </w:tcPr>
          <w:p w14:paraId="70D94AEF" w14:textId="77777777" w:rsidR="00672A15" w:rsidRPr="00E85C29" w:rsidRDefault="00672A15" w:rsidP="00672A15">
            <w:pPr>
              <w:ind w:left="-378" w:firstLine="378"/>
              <w:jc w:val="righ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4</w:t>
            </w:r>
          </w:p>
        </w:tc>
        <w:tc>
          <w:tcPr>
            <w:tcW w:w="4680" w:type="dxa"/>
            <w:tcBorders>
              <w:top w:val="single" w:sz="4" w:space="0" w:color="auto"/>
              <w:left w:val="single" w:sz="4" w:space="0" w:color="auto"/>
              <w:bottom w:val="single" w:sz="4" w:space="0" w:color="auto"/>
              <w:right w:val="single" w:sz="4" w:space="0" w:color="auto"/>
            </w:tcBorders>
            <w:hideMark/>
          </w:tcPr>
          <w:p w14:paraId="5B1CABFB" w14:textId="77777777" w:rsidR="00672A15" w:rsidRPr="00E85C29" w:rsidRDefault="00672A15" w:rsidP="00672A15">
            <w:pPr>
              <w:tabs>
                <w:tab w:val="left" w:pos="4572"/>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developer and country/region of the adapted guideline.</w:t>
            </w:r>
          </w:p>
        </w:tc>
        <w:tc>
          <w:tcPr>
            <w:tcW w:w="1204" w:type="dxa"/>
            <w:gridSpan w:val="3"/>
            <w:tcBorders>
              <w:top w:val="single" w:sz="4" w:space="0" w:color="auto"/>
              <w:left w:val="single" w:sz="4" w:space="0" w:color="auto"/>
              <w:bottom w:val="single" w:sz="4" w:space="0" w:color="auto"/>
              <w:right w:val="single" w:sz="4" w:space="0" w:color="auto"/>
            </w:tcBorders>
            <w:hideMark/>
          </w:tcPr>
          <w:p w14:paraId="75FEB172"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46EA4685"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24A02992"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10" w:type="dxa"/>
            <w:gridSpan w:val="3"/>
            <w:tcBorders>
              <w:top w:val="single" w:sz="4" w:space="0" w:color="auto"/>
              <w:left w:val="single" w:sz="4" w:space="0" w:color="auto"/>
              <w:bottom w:val="single" w:sz="4" w:space="0" w:color="auto"/>
              <w:right w:val="single" w:sz="4" w:space="0" w:color="auto"/>
            </w:tcBorders>
            <w:hideMark/>
          </w:tcPr>
          <w:p w14:paraId="2F6783EE"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1 (Cover page)</w:t>
            </w:r>
          </w:p>
          <w:p w14:paraId="313D1CA6"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5(Acknowledgement)</w:t>
            </w:r>
          </w:p>
          <w:p w14:paraId="1080E852"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103 (documents)</w:t>
            </w:r>
          </w:p>
        </w:tc>
        <w:tc>
          <w:tcPr>
            <w:tcW w:w="1666" w:type="dxa"/>
            <w:gridSpan w:val="2"/>
            <w:tcBorders>
              <w:top w:val="single" w:sz="4" w:space="0" w:color="auto"/>
              <w:left w:val="single" w:sz="4" w:space="0" w:color="auto"/>
              <w:bottom w:val="single" w:sz="4" w:space="0" w:color="auto"/>
              <w:right w:val="single" w:sz="4" w:space="0" w:color="auto"/>
            </w:tcBorders>
          </w:tcPr>
          <w:p w14:paraId="3C5D475D" w14:textId="77777777" w:rsidR="00672A15" w:rsidRPr="00E85C29" w:rsidRDefault="00672A15" w:rsidP="00672A15">
            <w:pPr>
              <w:ind w:left="-90"/>
              <w:rPr>
                <w:rFonts w:ascii="Times New Roman" w:hAnsi="Times New Roman" w:cs="Times New Roman"/>
                <w:bCs/>
                <w:color w:val="181717"/>
                <w:sz w:val="18"/>
                <w:szCs w:val="18"/>
                <w:vertAlign w:val="superscript"/>
              </w:rPr>
            </w:pPr>
          </w:p>
        </w:tc>
      </w:tr>
      <w:tr w:rsidR="00672A15" w:rsidRPr="00E85C29" w14:paraId="51ADC1D5"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28A2B834" w14:textId="77777777" w:rsidR="00672A15" w:rsidRPr="00E85C29" w:rsidRDefault="00672A15" w:rsidP="00672A15">
            <w:pPr>
              <w:ind w:left="-378" w:firstLine="378"/>
              <w:jc w:val="right"/>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05817B9C" w14:textId="77777777" w:rsidR="00672A15" w:rsidRPr="00E85C29" w:rsidRDefault="00672A15" w:rsidP="00672A15">
            <w:pPr>
              <w:tabs>
                <w:tab w:val="left" w:pos="4572"/>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Executive summary/abstract</w:t>
            </w:r>
          </w:p>
        </w:tc>
        <w:tc>
          <w:tcPr>
            <w:tcW w:w="1204" w:type="dxa"/>
            <w:gridSpan w:val="3"/>
            <w:tcBorders>
              <w:top w:val="single" w:sz="4" w:space="0" w:color="auto"/>
              <w:left w:val="single" w:sz="4" w:space="0" w:color="auto"/>
              <w:bottom w:val="single" w:sz="4" w:space="0" w:color="auto"/>
              <w:right w:val="single" w:sz="4" w:space="0" w:color="auto"/>
            </w:tcBorders>
            <w:shd w:val="clear" w:color="auto" w:fill="F2F2F2"/>
          </w:tcPr>
          <w:p w14:paraId="536FC58B" w14:textId="77777777" w:rsidR="00672A15" w:rsidRPr="00E85C29" w:rsidRDefault="00672A15" w:rsidP="00672A15">
            <w:pPr>
              <w:ind w:left="-90"/>
              <w:rPr>
                <w:rFonts w:ascii="Times New Roman" w:hAnsi="Times New Roman" w:cs="Times New Roman"/>
                <w:bCs/>
                <w:color w:val="181717"/>
                <w:sz w:val="18"/>
                <w:szCs w:val="18"/>
              </w:rPr>
            </w:pPr>
          </w:p>
        </w:tc>
        <w:tc>
          <w:tcPr>
            <w:tcW w:w="1810" w:type="dxa"/>
            <w:gridSpan w:val="3"/>
            <w:tcBorders>
              <w:top w:val="single" w:sz="4" w:space="0" w:color="auto"/>
              <w:left w:val="single" w:sz="4" w:space="0" w:color="auto"/>
              <w:bottom w:val="single" w:sz="4" w:space="0" w:color="auto"/>
              <w:right w:val="single" w:sz="4" w:space="0" w:color="auto"/>
            </w:tcBorders>
            <w:shd w:val="clear" w:color="auto" w:fill="F2F2F2"/>
          </w:tcPr>
          <w:p w14:paraId="01FA5658"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p>
        </w:tc>
        <w:tc>
          <w:tcPr>
            <w:tcW w:w="1666" w:type="dxa"/>
            <w:gridSpan w:val="2"/>
            <w:tcBorders>
              <w:top w:val="single" w:sz="4" w:space="0" w:color="auto"/>
              <w:left w:val="single" w:sz="4" w:space="0" w:color="auto"/>
              <w:bottom w:val="single" w:sz="4" w:space="0" w:color="auto"/>
              <w:right w:val="single" w:sz="4" w:space="0" w:color="auto"/>
            </w:tcBorders>
            <w:shd w:val="clear" w:color="auto" w:fill="F2F2F2"/>
          </w:tcPr>
          <w:p w14:paraId="7BCF1035" w14:textId="77777777" w:rsidR="00672A15" w:rsidRPr="00E85C29" w:rsidRDefault="00672A15" w:rsidP="00672A15">
            <w:pPr>
              <w:ind w:left="-90"/>
              <w:rPr>
                <w:rFonts w:ascii="Times New Roman" w:hAnsi="Times New Roman" w:cs="Times New Roman"/>
                <w:bCs/>
                <w:color w:val="181717"/>
                <w:sz w:val="18"/>
                <w:szCs w:val="18"/>
                <w:vertAlign w:val="superscript"/>
              </w:rPr>
            </w:pPr>
          </w:p>
        </w:tc>
      </w:tr>
      <w:tr w:rsidR="00672A15" w:rsidRPr="00E85C29" w14:paraId="2B9575AC"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hideMark/>
          </w:tcPr>
          <w:p w14:paraId="11F1ED9C" w14:textId="77777777" w:rsidR="00672A15" w:rsidRPr="00E85C29" w:rsidRDefault="00672A15" w:rsidP="00672A15">
            <w:pPr>
              <w:ind w:left="-378" w:firstLine="378"/>
              <w:jc w:val="righ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5</w:t>
            </w:r>
          </w:p>
        </w:tc>
        <w:tc>
          <w:tcPr>
            <w:tcW w:w="4680" w:type="dxa"/>
            <w:tcBorders>
              <w:top w:val="single" w:sz="4" w:space="0" w:color="auto"/>
              <w:left w:val="single" w:sz="4" w:space="0" w:color="auto"/>
              <w:bottom w:val="single" w:sz="4" w:space="0" w:color="auto"/>
              <w:right w:val="single" w:sz="4" w:space="0" w:color="auto"/>
            </w:tcBorders>
            <w:hideMark/>
          </w:tcPr>
          <w:p w14:paraId="09353C5D" w14:textId="77777777" w:rsidR="00672A15" w:rsidRPr="00E85C29" w:rsidRDefault="00672A15" w:rsidP="00672A15">
            <w:pPr>
              <w:tabs>
                <w:tab w:val="left" w:pos="4572"/>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Provide a summary of the recommendations contained in the adapted guideline.</w:t>
            </w:r>
          </w:p>
        </w:tc>
        <w:tc>
          <w:tcPr>
            <w:tcW w:w="1204" w:type="dxa"/>
            <w:gridSpan w:val="3"/>
            <w:tcBorders>
              <w:top w:val="single" w:sz="4" w:space="0" w:color="auto"/>
              <w:left w:val="single" w:sz="4" w:space="0" w:color="auto"/>
              <w:bottom w:val="single" w:sz="4" w:space="0" w:color="auto"/>
              <w:right w:val="single" w:sz="4" w:space="0" w:color="auto"/>
            </w:tcBorders>
            <w:hideMark/>
          </w:tcPr>
          <w:p w14:paraId="5A596239"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321A0584"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2B526681" w14:textId="77777777" w:rsidR="00672A15" w:rsidRPr="00E85C29" w:rsidRDefault="00672A15" w:rsidP="00672A15">
            <w:pPr>
              <w:numPr>
                <w:ilvl w:val="0"/>
                <w:numId w:val="46"/>
              </w:numPr>
              <w:tabs>
                <w:tab w:val="left" w:pos="252"/>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10" w:type="dxa"/>
            <w:gridSpan w:val="3"/>
            <w:tcBorders>
              <w:top w:val="single" w:sz="4" w:space="0" w:color="auto"/>
              <w:left w:val="single" w:sz="4" w:space="0" w:color="auto"/>
              <w:bottom w:val="single" w:sz="4" w:space="0" w:color="auto"/>
              <w:right w:val="single" w:sz="4" w:space="0" w:color="auto"/>
            </w:tcBorders>
            <w:hideMark/>
          </w:tcPr>
          <w:p w14:paraId="13333CA1"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 xml:space="preserve">68-72 </w:t>
            </w:r>
          </w:p>
          <w:p w14:paraId="2FA9B731"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(summary recommendations)</w:t>
            </w:r>
          </w:p>
          <w:p w14:paraId="1CE5B050"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p>
          <w:p w14:paraId="32A9BAEA"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p>
          <w:p w14:paraId="34747248" w14:textId="77777777" w:rsidR="00672A15" w:rsidRPr="00E85C29" w:rsidRDefault="00672A15" w:rsidP="00672A15">
            <w:pPr>
              <w:ind w:left="127" w:firstLine="0"/>
              <w:rPr>
                <w:rFonts w:ascii="Times New Roman" w:hAnsi="Times New Roman" w:cs="Times New Roman"/>
                <w:bCs/>
                <w:color w:val="181717"/>
                <w:sz w:val="18"/>
                <w:szCs w:val="18"/>
                <w:vertAlign w:val="superscript"/>
              </w:rPr>
            </w:pPr>
          </w:p>
        </w:tc>
        <w:tc>
          <w:tcPr>
            <w:tcW w:w="1666" w:type="dxa"/>
            <w:gridSpan w:val="2"/>
            <w:tcBorders>
              <w:top w:val="single" w:sz="4" w:space="0" w:color="auto"/>
              <w:left w:val="single" w:sz="4" w:space="0" w:color="auto"/>
              <w:bottom w:val="single" w:sz="4" w:space="0" w:color="auto"/>
              <w:right w:val="single" w:sz="4" w:space="0" w:color="auto"/>
            </w:tcBorders>
          </w:tcPr>
          <w:p w14:paraId="725114BC" w14:textId="77777777" w:rsidR="00672A15" w:rsidRPr="00E85C29" w:rsidRDefault="00672A15" w:rsidP="00672A15">
            <w:pPr>
              <w:ind w:left="-90"/>
              <w:rPr>
                <w:rFonts w:ascii="Times New Roman" w:hAnsi="Times New Roman" w:cs="Times New Roman"/>
                <w:bCs/>
                <w:color w:val="181717"/>
                <w:sz w:val="18"/>
                <w:szCs w:val="18"/>
                <w:vertAlign w:val="superscript"/>
              </w:rPr>
            </w:pPr>
          </w:p>
        </w:tc>
      </w:tr>
      <w:tr w:rsidR="00672A15" w:rsidRPr="00E85C29" w14:paraId="77EACF7A"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1FD00740" w14:textId="77777777" w:rsidR="00672A15" w:rsidRPr="00E85C29" w:rsidRDefault="00672A15" w:rsidP="00672A15">
            <w:pPr>
              <w:ind w:left="-378" w:firstLine="378"/>
              <w:jc w:val="right"/>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0AB2EBD5" w14:textId="77777777" w:rsidR="00672A15" w:rsidRPr="00E85C29" w:rsidRDefault="00672A15" w:rsidP="00672A15">
            <w:pPr>
              <w:tabs>
                <w:tab w:val="left" w:pos="4572"/>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Abbreviations and acronyms</w:t>
            </w:r>
          </w:p>
        </w:tc>
        <w:tc>
          <w:tcPr>
            <w:tcW w:w="1204" w:type="dxa"/>
            <w:gridSpan w:val="3"/>
            <w:tcBorders>
              <w:top w:val="single" w:sz="4" w:space="0" w:color="auto"/>
              <w:left w:val="single" w:sz="4" w:space="0" w:color="auto"/>
              <w:bottom w:val="single" w:sz="4" w:space="0" w:color="auto"/>
              <w:right w:val="single" w:sz="4" w:space="0" w:color="auto"/>
            </w:tcBorders>
            <w:shd w:val="clear" w:color="auto" w:fill="F2F2F2"/>
          </w:tcPr>
          <w:p w14:paraId="0D0E0C18" w14:textId="77777777" w:rsidR="00672A15" w:rsidRPr="00E85C29" w:rsidRDefault="00672A15" w:rsidP="00672A15">
            <w:pPr>
              <w:ind w:left="-90"/>
              <w:rPr>
                <w:rFonts w:ascii="Times New Roman" w:hAnsi="Times New Roman" w:cs="Times New Roman"/>
                <w:bCs/>
                <w:color w:val="181717"/>
                <w:sz w:val="18"/>
                <w:szCs w:val="18"/>
              </w:rPr>
            </w:pPr>
          </w:p>
        </w:tc>
        <w:tc>
          <w:tcPr>
            <w:tcW w:w="1810" w:type="dxa"/>
            <w:gridSpan w:val="3"/>
            <w:tcBorders>
              <w:top w:val="single" w:sz="4" w:space="0" w:color="auto"/>
              <w:left w:val="single" w:sz="4" w:space="0" w:color="auto"/>
              <w:bottom w:val="single" w:sz="4" w:space="0" w:color="auto"/>
              <w:right w:val="single" w:sz="4" w:space="0" w:color="auto"/>
            </w:tcBorders>
            <w:shd w:val="clear" w:color="auto" w:fill="F2F2F2"/>
          </w:tcPr>
          <w:p w14:paraId="6EF2B3A8" w14:textId="77777777" w:rsidR="00672A15" w:rsidRPr="00E85C29" w:rsidRDefault="00672A15" w:rsidP="00672A15">
            <w:pPr>
              <w:ind w:left="-90"/>
              <w:rPr>
                <w:rFonts w:ascii="Times New Roman" w:hAnsi="Times New Roman" w:cs="Times New Roman"/>
                <w:bCs/>
                <w:color w:val="181717"/>
                <w:sz w:val="18"/>
                <w:szCs w:val="18"/>
                <w:vertAlign w:val="superscript"/>
              </w:rPr>
            </w:pPr>
          </w:p>
        </w:tc>
        <w:tc>
          <w:tcPr>
            <w:tcW w:w="1666" w:type="dxa"/>
            <w:gridSpan w:val="2"/>
            <w:tcBorders>
              <w:top w:val="single" w:sz="4" w:space="0" w:color="auto"/>
              <w:left w:val="single" w:sz="4" w:space="0" w:color="auto"/>
              <w:bottom w:val="single" w:sz="4" w:space="0" w:color="auto"/>
              <w:right w:val="single" w:sz="4" w:space="0" w:color="auto"/>
            </w:tcBorders>
            <w:shd w:val="clear" w:color="auto" w:fill="F2F2F2"/>
          </w:tcPr>
          <w:p w14:paraId="6FE3240C" w14:textId="77777777" w:rsidR="00672A15" w:rsidRPr="00E85C29" w:rsidRDefault="00672A15" w:rsidP="00672A15">
            <w:pPr>
              <w:ind w:left="-90"/>
              <w:rPr>
                <w:rFonts w:ascii="Times New Roman" w:hAnsi="Times New Roman" w:cs="Times New Roman"/>
                <w:bCs/>
                <w:color w:val="181717"/>
                <w:sz w:val="18"/>
                <w:szCs w:val="18"/>
                <w:vertAlign w:val="superscript"/>
              </w:rPr>
            </w:pPr>
          </w:p>
        </w:tc>
      </w:tr>
      <w:tr w:rsidR="00672A15" w:rsidRPr="00E85C29" w14:paraId="486AA87C"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hideMark/>
          </w:tcPr>
          <w:p w14:paraId="0626638D" w14:textId="77777777" w:rsidR="00672A15" w:rsidRPr="00E85C29" w:rsidRDefault="00672A15" w:rsidP="00672A15">
            <w:pPr>
              <w:tabs>
                <w:tab w:val="left" w:pos="8010"/>
              </w:tabs>
              <w:ind w:left="-378" w:right="-18" w:firstLine="378"/>
              <w:jc w:val="righ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6</w:t>
            </w:r>
          </w:p>
        </w:tc>
        <w:tc>
          <w:tcPr>
            <w:tcW w:w="4680" w:type="dxa"/>
            <w:tcBorders>
              <w:top w:val="single" w:sz="4" w:space="0" w:color="auto"/>
              <w:left w:val="single" w:sz="4" w:space="0" w:color="auto"/>
              <w:bottom w:val="single" w:sz="4" w:space="0" w:color="auto"/>
              <w:right w:val="single" w:sz="4" w:space="0" w:color="auto"/>
            </w:tcBorders>
            <w:hideMark/>
          </w:tcPr>
          <w:p w14:paraId="09C5BED0"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Define key terms and provide a list of abbreviations and acronyms (if applicable).</w:t>
            </w:r>
          </w:p>
        </w:tc>
        <w:tc>
          <w:tcPr>
            <w:tcW w:w="1204" w:type="dxa"/>
            <w:gridSpan w:val="3"/>
            <w:tcBorders>
              <w:top w:val="single" w:sz="4" w:space="0" w:color="auto"/>
              <w:left w:val="single" w:sz="4" w:space="0" w:color="auto"/>
              <w:bottom w:val="single" w:sz="4" w:space="0" w:color="auto"/>
              <w:right w:val="single" w:sz="4" w:space="0" w:color="auto"/>
            </w:tcBorders>
            <w:hideMark/>
          </w:tcPr>
          <w:p w14:paraId="0235F9F3"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highlight w:val="yellow"/>
              </w:rPr>
              <w:t>Yes</w:t>
            </w:r>
          </w:p>
          <w:p w14:paraId="6BC27E38"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1F712B3A"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10" w:type="dxa"/>
            <w:gridSpan w:val="3"/>
            <w:tcBorders>
              <w:top w:val="single" w:sz="4" w:space="0" w:color="auto"/>
              <w:left w:val="single" w:sz="4" w:space="0" w:color="auto"/>
              <w:bottom w:val="single" w:sz="4" w:space="0" w:color="auto"/>
              <w:right w:val="single" w:sz="4" w:space="0" w:color="auto"/>
            </w:tcBorders>
            <w:hideMark/>
          </w:tcPr>
          <w:p w14:paraId="53940472" w14:textId="77777777" w:rsidR="00672A15" w:rsidRPr="00E85C29" w:rsidRDefault="00672A15" w:rsidP="00672A15">
            <w:pPr>
              <w:tabs>
                <w:tab w:val="left" w:pos="8010"/>
              </w:tabs>
              <w:ind w:left="37" w:firstLine="0"/>
              <w:rPr>
                <w:rFonts w:ascii="Times New Roman" w:hAnsi="Times New Roman" w:cs="Times New Roman"/>
                <w:bCs/>
                <w:color w:val="181717"/>
                <w:sz w:val="18"/>
                <w:szCs w:val="18"/>
                <w:vertAlign w:val="superscript"/>
              </w:rPr>
            </w:pPr>
            <w:r w:rsidRPr="00E85C29">
              <w:rPr>
                <w:rFonts w:ascii="Times New Roman" w:hAnsi="Times New Roman" w:cs="Times New Roman"/>
                <w:bCs/>
                <w:color w:val="181717"/>
                <w:sz w:val="18"/>
                <w:szCs w:val="18"/>
                <w:vertAlign w:val="superscript"/>
              </w:rPr>
              <w:t>5-7(Abbreviations)</w:t>
            </w:r>
          </w:p>
        </w:tc>
        <w:tc>
          <w:tcPr>
            <w:tcW w:w="1666" w:type="dxa"/>
            <w:gridSpan w:val="2"/>
            <w:tcBorders>
              <w:top w:val="single" w:sz="4" w:space="0" w:color="auto"/>
              <w:left w:val="single" w:sz="4" w:space="0" w:color="auto"/>
              <w:bottom w:val="single" w:sz="4" w:space="0" w:color="auto"/>
              <w:right w:val="single" w:sz="4" w:space="0" w:color="auto"/>
            </w:tcBorders>
          </w:tcPr>
          <w:p w14:paraId="707B61FA" w14:textId="77777777" w:rsidR="00672A15" w:rsidRPr="00E85C29" w:rsidRDefault="00672A15" w:rsidP="00672A15">
            <w:pPr>
              <w:tabs>
                <w:tab w:val="left" w:pos="8010"/>
              </w:tabs>
              <w:ind w:left="-90"/>
              <w:rPr>
                <w:rFonts w:ascii="Times New Roman" w:hAnsi="Times New Roman" w:cs="Times New Roman"/>
                <w:bCs/>
                <w:color w:val="181717"/>
                <w:sz w:val="18"/>
                <w:szCs w:val="18"/>
                <w:vertAlign w:val="superscript"/>
              </w:rPr>
            </w:pPr>
          </w:p>
        </w:tc>
      </w:tr>
      <w:tr w:rsidR="00672A15" w:rsidRPr="00E85C29" w14:paraId="7D8C27F3"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3ECE6FD8" w14:textId="77777777" w:rsidR="00672A15" w:rsidRPr="00E85C29" w:rsidRDefault="00672A15" w:rsidP="00672A15">
            <w:pPr>
              <w:tabs>
                <w:tab w:val="left" w:pos="8010"/>
              </w:tabs>
              <w:ind w:left="-378" w:firstLine="378"/>
              <w:jc w:val="right"/>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10A5804C"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Contact information of the guideline adaptation group</w:t>
            </w:r>
          </w:p>
        </w:tc>
        <w:tc>
          <w:tcPr>
            <w:tcW w:w="1204" w:type="dxa"/>
            <w:gridSpan w:val="3"/>
            <w:tcBorders>
              <w:top w:val="single" w:sz="4" w:space="0" w:color="auto"/>
              <w:left w:val="single" w:sz="4" w:space="0" w:color="auto"/>
              <w:bottom w:val="single" w:sz="4" w:space="0" w:color="auto"/>
              <w:right w:val="single" w:sz="4" w:space="0" w:color="auto"/>
            </w:tcBorders>
            <w:shd w:val="clear" w:color="auto" w:fill="F2F2F2"/>
          </w:tcPr>
          <w:p w14:paraId="38379A62"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10" w:type="dxa"/>
            <w:gridSpan w:val="3"/>
            <w:tcBorders>
              <w:top w:val="single" w:sz="4" w:space="0" w:color="auto"/>
              <w:left w:val="single" w:sz="4" w:space="0" w:color="auto"/>
              <w:bottom w:val="single" w:sz="4" w:space="0" w:color="auto"/>
              <w:right w:val="single" w:sz="4" w:space="0" w:color="auto"/>
            </w:tcBorders>
            <w:shd w:val="clear" w:color="auto" w:fill="F2F2F2"/>
          </w:tcPr>
          <w:p w14:paraId="482A72F9"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666" w:type="dxa"/>
            <w:gridSpan w:val="2"/>
            <w:tcBorders>
              <w:top w:val="single" w:sz="4" w:space="0" w:color="auto"/>
              <w:left w:val="single" w:sz="4" w:space="0" w:color="auto"/>
              <w:bottom w:val="single" w:sz="4" w:space="0" w:color="auto"/>
              <w:right w:val="single" w:sz="4" w:space="0" w:color="auto"/>
            </w:tcBorders>
            <w:shd w:val="clear" w:color="auto" w:fill="F2F2F2"/>
          </w:tcPr>
          <w:p w14:paraId="1F899E57"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26A39C05"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hideMark/>
          </w:tcPr>
          <w:p w14:paraId="04E585E6" w14:textId="77777777" w:rsidR="00672A15" w:rsidRPr="00E85C29" w:rsidRDefault="00672A15" w:rsidP="00672A15">
            <w:pPr>
              <w:tabs>
                <w:tab w:val="left" w:pos="8010"/>
              </w:tabs>
              <w:ind w:left="-378" w:firstLine="378"/>
              <w:jc w:val="righ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7</w:t>
            </w:r>
          </w:p>
        </w:tc>
        <w:tc>
          <w:tcPr>
            <w:tcW w:w="4680" w:type="dxa"/>
            <w:tcBorders>
              <w:top w:val="single" w:sz="4" w:space="0" w:color="auto"/>
              <w:left w:val="single" w:sz="4" w:space="0" w:color="auto"/>
              <w:bottom w:val="single" w:sz="4" w:space="0" w:color="auto"/>
              <w:right w:val="single" w:sz="4" w:space="0" w:color="auto"/>
            </w:tcBorders>
            <w:hideMark/>
          </w:tcPr>
          <w:p w14:paraId="744E7C54"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Report the contact information of the developer of the adapted guideline.</w:t>
            </w:r>
          </w:p>
        </w:tc>
        <w:tc>
          <w:tcPr>
            <w:tcW w:w="1204" w:type="dxa"/>
            <w:gridSpan w:val="3"/>
            <w:tcBorders>
              <w:top w:val="single" w:sz="4" w:space="0" w:color="auto"/>
              <w:left w:val="single" w:sz="4" w:space="0" w:color="auto"/>
              <w:bottom w:val="single" w:sz="4" w:space="0" w:color="auto"/>
              <w:right w:val="single" w:sz="4" w:space="0" w:color="auto"/>
            </w:tcBorders>
            <w:hideMark/>
          </w:tcPr>
          <w:p w14:paraId="02049011"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04177EDF"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146AE850"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10" w:type="dxa"/>
            <w:gridSpan w:val="3"/>
            <w:tcBorders>
              <w:top w:val="single" w:sz="4" w:space="0" w:color="auto"/>
              <w:left w:val="single" w:sz="4" w:space="0" w:color="auto"/>
              <w:bottom w:val="single" w:sz="4" w:space="0" w:color="auto"/>
              <w:right w:val="single" w:sz="4" w:space="0" w:color="auto"/>
            </w:tcBorders>
          </w:tcPr>
          <w:p w14:paraId="645F117A" w14:textId="77777777" w:rsidR="00672A15" w:rsidRPr="00E85C29" w:rsidRDefault="00672A15" w:rsidP="00672A15">
            <w:pPr>
              <w:tabs>
                <w:tab w:val="left" w:pos="8010"/>
              </w:tabs>
              <w:ind w:left="127" w:hanging="53"/>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2-4</w:t>
            </w:r>
          </w:p>
          <w:p w14:paraId="2E2E70C4" w14:textId="77777777" w:rsidR="00672A15" w:rsidRPr="00E85C29" w:rsidRDefault="00672A15" w:rsidP="00672A15">
            <w:pPr>
              <w:tabs>
                <w:tab w:val="left" w:pos="8010"/>
              </w:tabs>
              <w:ind w:left="127" w:hanging="53"/>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-Corresponding Author) of CPG Article/manuscript.</w:t>
            </w:r>
          </w:p>
          <w:p w14:paraId="46A8DF87" w14:textId="77777777" w:rsidR="00672A15" w:rsidRPr="00E85C29" w:rsidRDefault="00672A15" w:rsidP="00672A15">
            <w:pPr>
              <w:tabs>
                <w:tab w:val="left" w:pos="8010"/>
              </w:tabs>
              <w:ind w:left="127" w:hanging="53"/>
              <w:rPr>
                <w:rFonts w:ascii="Times New Roman" w:hAnsi="Times New Roman" w:cs="Times New Roman"/>
                <w:bCs/>
                <w:color w:val="181717"/>
                <w:sz w:val="18"/>
                <w:szCs w:val="18"/>
              </w:rPr>
            </w:pPr>
          </w:p>
          <w:p w14:paraId="57940D17" w14:textId="77777777" w:rsidR="00672A15" w:rsidRPr="00E85C29" w:rsidRDefault="00672A15" w:rsidP="00672A15">
            <w:pPr>
              <w:tabs>
                <w:tab w:val="left" w:pos="8010"/>
              </w:tabs>
              <w:ind w:left="127" w:hanging="53"/>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-Chairman of the EPG.  </w:t>
            </w:r>
          </w:p>
        </w:tc>
        <w:tc>
          <w:tcPr>
            <w:tcW w:w="1666" w:type="dxa"/>
            <w:gridSpan w:val="2"/>
            <w:tcBorders>
              <w:top w:val="single" w:sz="4" w:space="0" w:color="auto"/>
              <w:left w:val="single" w:sz="4" w:space="0" w:color="auto"/>
              <w:bottom w:val="single" w:sz="4" w:space="0" w:color="auto"/>
              <w:right w:val="single" w:sz="4" w:space="0" w:color="auto"/>
            </w:tcBorders>
            <w:hideMark/>
          </w:tcPr>
          <w:p w14:paraId="65C71D65" w14:textId="77777777" w:rsidR="00672A15" w:rsidRPr="00E85C29" w:rsidRDefault="00672A15" w:rsidP="00672A15">
            <w:pPr>
              <w:tabs>
                <w:tab w:val="left" w:pos="8010"/>
              </w:tabs>
              <w:ind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Title Page of submission article includes</w:t>
            </w:r>
          </w:p>
          <w:p w14:paraId="22BF9711" w14:textId="77777777" w:rsidR="00672A15" w:rsidRPr="00E85C29" w:rsidRDefault="00672A15" w:rsidP="00672A15">
            <w:pPr>
              <w:tabs>
                <w:tab w:val="left" w:pos="8010"/>
              </w:tabs>
              <w:ind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Full information about </w:t>
            </w:r>
          </w:p>
          <w:p w14:paraId="2B1325D1" w14:textId="77777777" w:rsidR="00672A15" w:rsidRPr="00E85C29" w:rsidRDefault="00672A15" w:rsidP="00672A15">
            <w:pPr>
              <w:tabs>
                <w:tab w:val="left" w:pos="8010"/>
              </w:tabs>
              <w:ind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-Head of National Egyptian Guideline Committee</w:t>
            </w:r>
          </w:p>
          <w:p w14:paraId="189E9713" w14:textId="77777777" w:rsidR="00672A15" w:rsidRPr="00E85C29" w:rsidRDefault="00672A15" w:rsidP="00672A15">
            <w:pPr>
              <w:tabs>
                <w:tab w:val="left" w:pos="8010"/>
              </w:tabs>
              <w:ind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-Clinical work Group Members for SSNS   /   SRNS</w:t>
            </w:r>
          </w:p>
          <w:p w14:paraId="171666B5" w14:textId="77777777" w:rsidR="00672A15" w:rsidRPr="00E85C29" w:rsidRDefault="00672A15" w:rsidP="00672A15">
            <w:pPr>
              <w:tabs>
                <w:tab w:val="left" w:pos="8010"/>
              </w:tabs>
              <w:ind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-Methodology Group Members</w:t>
            </w:r>
          </w:p>
          <w:p w14:paraId="516EE713" w14:textId="77777777" w:rsidR="00672A15" w:rsidRPr="00E85C29" w:rsidRDefault="00672A15" w:rsidP="00672A15">
            <w:pPr>
              <w:tabs>
                <w:tab w:val="left" w:pos="8010"/>
              </w:tabs>
              <w:ind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-Reviewers local and international reviewers for validation of the adapted guideline </w:t>
            </w:r>
          </w:p>
        </w:tc>
      </w:tr>
      <w:tr w:rsidR="00672A15" w:rsidRPr="00E85C29" w14:paraId="23AF968C"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shd w:val="clear" w:color="auto" w:fill="BFBFBF"/>
          </w:tcPr>
          <w:p w14:paraId="6DA536AB" w14:textId="77777777" w:rsidR="00672A15" w:rsidRPr="00E85C29" w:rsidRDefault="00672A15" w:rsidP="00672A15">
            <w:pPr>
              <w:tabs>
                <w:tab w:val="left" w:pos="8010"/>
              </w:tabs>
              <w:ind w:left="-378" w:firstLine="378"/>
              <w:jc w:val="right"/>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BFBFBF"/>
            <w:hideMark/>
          </w:tcPr>
          <w:p w14:paraId="762F2991"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Scope</w:t>
            </w:r>
          </w:p>
        </w:tc>
        <w:tc>
          <w:tcPr>
            <w:tcW w:w="1204" w:type="dxa"/>
            <w:gridSpan w:val="3"/>
            <w:tcBorders>
              <w:top w:val="single" w:sz="4" w:space="0" w:color="auto"/>
              <w:left w:val="single" w:sz="4" w:space="0" w:color="auto"/>
              <w:bottom w:val="single" w:sz="4" w:space="0" w:color="auto"/>
              <w:right w:val="single" w:sz="4" w:space="0" w:color="auto"/>
            </w:tcBorders>
            <w:shd w:val="clear" w:color="auto" w:fill="BFBFBF"/>
          </w:tcPr>
          <w:p w14:paraId="0A5A8BCD"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10" w:type="dxa"/>
            <w:gridSpan w:val="3"/>
            <w:tcBorders>
              <w:top w:val="single" w:sz="4" w:space="0" w:color="auto"/>
              <w:left w:val="single" w:sz="4" w:space="0" w:color="auto"/>
              <w:bottom w:val="single" w:sz="4" w:space="0" w:color="auto"/>
              <w:right w:val="single" w:sz="4" w:space="0" w:color="auto"/>
            </w:tcBorders>
            <w:shd w:val="clear" w:color="auto" w:fill="BFBFBF"/>
          </w:tcPr>
          <w:p w14:paraId="4EB1EF25"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666" w:type="dxa"/>
            <w:gridSpan w:val="2"/>
            <w:tcBorders>
              <w:top w:val="single" w:sz="4" w:space="0" w:color="auto"/>
              <w:left w:val="single" w:sz="4" w:space="0" w:color="auto"/>
              <w:bottom w:val="single" w:sz="4" w:space="0" w:color="auto"/>
              <w:right w:val="single" w:sz="4" w:space="0" w:color="auto"/>
            </w:tcBorders>
            <w:shd w:val="clear" w:color="auto" w:fill="BFBFBF"/>
          </w:tcPr>
          <w:p w14:paraId="1B3036B6"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79F9D3EC"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222F35B4" w14:textId="77777777" w:rsidR="00672A15" w:rsidRPr="00E85C29" w:rsidRDefault="00672A15" w:rsidP="00672A15">
            <w:pPr>
              <w:tabs>
                <w:tab w:val="left" w:pos="8010"/>
              </w:tabs>
              <w:ind w:left="-378" w:firstLine="378"/>
              <w:jc w:val="right"/>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082C00C1"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Source guideline(s)</w:t>
            </w:r>
          </w:p>
        </w:tc>
        <w:tc>
          <w:tcPr>
            <w:tcW w:w="1204" w:type="dxa"/>
            <w:gridSpan w:val="3"/>
            <w:tcBorders>
              <w:top w:val="single" w:sz="4" w:space="0" w:color="auto"/>
              <w:left w:val="single" w:sz="4" w:space="0" w:color="auto"/>
              <w:bottom w:val="single" w:sz="4" w:space="0" w:color="auto"/>
              <w:right w:val="single" w:sz="4" w:space="0" w:color="auto"/>
            </w:tcBorders>
            <w:shd w:val="clear" w:color="auto" w:fill="F2F2F2"/>
          </w:tcPr>
          <w:p w14:paraId="1B258EBC"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10" w:type="dxa"/>
            <w:gridSpan w:val="3"/>
            <w:tcBorders>
              <w:top w:val="single" w:sz="4" w:space="0" w:color="auto"/>
              <w:left w:val="single" w:sz="4" w:space="0" w:color="auto"/>
              <w:bottom w:val="single" w:sz="4" w:space="0" w:color="auto"/>
              <w:right w:val="single" w:sz="4" w:space="0" w:color="auto"/>
            </w:tcBorders>
            <w:shd w:val="clear" w:color="auto" w:fill="F2F2F2"/>
          </w:tcPr>
          <w:p w14:paraId="0AE172A1"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666" w:type="dxa"/>
            <w:gridSpan w:val="2"/>
            <w:tcBorders>
              <w:top w:val="single" w:sz="4" w:space="0" w:color="auto"/>
              <w:left w:val="single" w:sz="4" w:space="0" w:color="auto"/>
              <w:bottom w:val="single" w:sz="4" w:space="0" w:color="auto"/>
              <w:right w:val="single" w:sz="4" w:space="0" w:color="auto"/>
            </w:tcBorders>
            <w:shd w:val="clear" w:color="auto" w:fill="F2F2F2"/>
          </w:tcPr>
          <w:p w14:paraId="05F74409"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2DB9EB6F"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shd w:val="clear" w:color="auto" w:fill="FFFFFF"/>
          </w:tcPr>
          <w:p w14:paraId="00440FF5" w14:textId="77777777" w:rsidR="00672A15" w:rsidRPr="00E85C29" w:rsidRDefault="00672A15" w:rsidP="00672A15">
            <w:pPr>
              <w:tabs>
                <w:tab w:val="left" w:pos="8010"/>
              </w:tabs>
              <w:ind w:left="-378" w:firstLine="378"/>
              <w:jc w:val="right"/>
              <w:rPr>
                <w:rFonts w:ascii="Times New Roman" w:hAnsi="Times New Roman" w:cs="Times New Roman"/>
                <w:bCs/>
                <w:color w:val="181717"/>
                <w:sz w:val="18"/>
                <w:szCs w:val="18"/>
              </w:rPr>
            </w:pPr>
          </w:p>
          <w:p w14:paraId="4E24C9FF" w14:textId="77777777" w:rsidR="00672A15" w:rsidRPr="00E85C29" w:rsidRDefault="00672A15" w:rsidP="00672A15">
            <w:pPr>
              <w:tabs>
                <w:tab w:val="left" w:pos="8010"/>
              </w:tabs>
              <w:ind w:left="-378" w:firstLine="378"/>
              <w:jc w:val="righ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8</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74662AFB"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Report the name and year of publication of the source guideline(s), provide the citation(s), and whether source authors were contacted.</w:t>
            </w:r>
          </w:p>
        </w:tc>
        <w:tc>
          <w:tcPr>
            <w:tcW w:w="1204" w:type="dxa"/>
            <w:gridSpan w:val="3"/>
            <w:tcBorders>
              <w:top w:val="single" w:sz="4" w:space="0" w:color="auto"/>
              <w:left w:val="single" w:sz="4" w:space="0" w:color="auto"/>
              <w:bottom w:val="single" w:sz="4" w:space="0" w:color="auto"/>
              <w:right w:val="single" w:sz="4" w:space="0" w:color="auto"/>
            </w:tcBorders>
            <w:hideMark/>
          </w:tcPr>
          <w:p w14:paraId="0E8BC444"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22F51988"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2FE12C0E"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10" w:type="dxa"/>
            <w:gridSpan w:val="3"/>
            <w:tcBorders>
              <w:top w:val="single" w:sz="4" w:space="0" w:color="auto"/>
              <w:left w:val="single" w:sz="4" w:space="0" w:color="auto"/>
              <w:bottom w:val="single" w:sz="4" w:space="0" w:color="auto"/>
              <w:right w:val="single" w:sz="4" w:space="0" w:color="auto"/>
            </w:tcBorders>
            <w:shd w:val="clear" w:color="auto" w:fill="FFFFFF"/>
          </w:tcPr>
          <w:p w14:paraId="6C63F105"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1 (cover page) </w:t>
            </w:r>
          </w:p>
          <w:p w14:paraId="51224826"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5- (Acknowledgement)</w:t>
            </w:r>
          </w:p>
          <w:p w14:paraId="2B36B30C"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p>
          <w:p w14:paraId="6C7F93A5"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103(documents)</w:t>
            </w:r>
          </w:p>
          <w:p w14:paraId="75501B4C"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p>
          <w:p w14:paraId="1D342447"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96-100</w:t>
            </w:r>
          </w:p>
          <w:p w14:paraId="74608065"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(Methodology steps)</w:t>
            </w:r>
          </w:p>
          <w:p w14:paraId="352AA345"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p>
          <w:p w14:paraId="3FC65C38"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107(GL permissions)</w:t>
            </w:r>
          </w:p>
        </w:tc>
        <w:tc>
          <w:tcPr>
            <w:tcW w:w="1666"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7CC9521" w14:textId="77777777" w:rsidR="00672A15" w:rsidRPr="00E85C29" w:rsidRDefault="00672A15" w:rsidP="00672A15">
            <w:pPr>
              <w:tabs>
                <w:tab w:val="left" w:pos="8010"/>
              </w:tabs>
              <w:ind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-referred to in recommendations statements 33-66</w:t>
            </w:r>
          </w:p>
          <w:p w14:paraId="3E81E316" w14:textId="77777777" w:rsidR="00672A15" w:rsidRPr="00E85C29" w:rsidRDefault="00672A15" w:rsidP="00672A15">
            <w:pPr>
              <w:tabs>
                <w:tab w:val="left" w:pos="8010"/>
              </w:tabs>
              <w:ind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Figures 81-88, and tables 89-95</w:t>
            </w:r>
          </w:p>
          <w:p w14:paraId="17F1A381" w14:textId="77777777" w:rsidR="00672A15" w:rsidRPr="00E85C29" w:rsidRDefault="00672A15" w:rsidP="00672A15">
            <w:pPr>
              <w:tabs>
                <w:tab w:val="left" w:pos="8010"/>
              </w:tabs>
              <w:ind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-Listed in methodology references p 120</w:t>
            </w:r>
          </w:p>
          <w:p w14:paraId="2C1A3D8B" w14:textId="77777777" w:rsidR="00672A15" w:rsidRPr="00E85C29" w:rsidRDefault="00672A15" w:rsidP="00672A15">
            <w:pPr>
              <w:tabs>
                <w:tab w:val="left" w:pos="8010"/>
              </w:tabs>
              <w:ind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-Source guidelines websites p 99, 103</w:t>
            </w:r>
          </w:p>
          <w:p w14:paraId="05B7C163" w14:textId="77777777" w:rsidR="00672A15" w:rsidRPr="00E85C29" w:rsidRDefault="00672A15" w:rsidP="00672A15">
            <w:pPr>
              <w:tabs>
                <w:tab w:val="left" w:pos="8010"/>
              </w:tabs>
              <w:ind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-appraisal AGREE PLUSS 104</w:t>
            </w:r>
          </w:p>
          <w:p w14:paraId="758295CE" w14:textId="77777777" w:rsidR="00672A15" w:rsidRPr="00E85C29" w:rsidRDefault="00672A15" w:rsidP="00672A15">
            <w:pPr>
              <w:tabs>
                <w:tab w:val="left" w:pos="8010"/>
              </w:tabs>
              <w:ind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lastRenderedPageBreak/>
              <w:t xml:space="preserve">-Permissions P107 </w:t>
            </w:r>
          </w:p>
        </w:tc>
      </w:tr>
      <w:tr w:rsidR="00672A15" w:rsidRPr="00E85C29" w14:paraId="08ECCD23" w14:textId="77777777" w:rsidTr="00672A15">
        <w:trPr>
          <w:gridAfter w:val="1"/>
          <w:wAfter w:w="15" w:type="dxa"/>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5089D4DE" w14:textId="77777777" w:rsidR="00672A15" w:rsidRPr="00E85C29" w:rsidRDefault="00672A15" w:rsidP="00672A15">
            <w:pPr>
              <w:tabs>
                <w:tab w:val="left" w:pos="8010"/>
              </w:tabs>
              <w:ind w:left="-378" w:firstLine="378"/>
              <w:jc w:val="right"/>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52B836CB"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Brief description of the health problem(s)</w:t>
            </w:r>
          </w:p>
        </w:tc>
        <w:tc>
          <w:tcPr>
            <w:tcW w:w="1204" w:type="dxa"/>
            <w:gridSpan w:val="3"/>
            <w:tcBorders>
              <w:top w:val="single" w:sz="4" w:space="0" w:color="auto"/>
              <w:left w:val="single" w:sz="4" w:space="0" w:color="auto"/>
              <w:bottom w:val="single" w:sz="4" w:space="0" w:color="auto"/>
              <w:right w:val="single" w:sz="4" w:space="0" w:color="auto"/>
            </w:tcBorders>
            <w:shd w:val="clear" w:color="auto" w:fill="F2F2F2"/>
          </w:tcPr>
          <w:p w14:paraId="001AE40A" w14:textId="77777777" w:rsidR="00672A15" w:rsidRPr="00E85C29" w:rsidRDefault="00672A15" w:rsidP="00672A15">
            <w:pPr>
              <w:tabs>
                <w:tab w:val="left" w:pos="252"/>
                <w:tab w:val="left" w:pos="8010"/>
              </w:tabs>
              <w:ind w:left="-90"/>
              <w:contextualSpacing/>
              <w:rPr>
                <w:rFonts w:ascii="Times New Roman" w:hAnsi="Times New Roman" w:cs="Times New Roman"/>
                <w:bCs/>
                <w:color w:val="181717"/>
                <w:sz w:val="18"/>
                <w:szCs w:val="18"/>
              </w:rPr>
            </w:pPr>
          </w:p>
        </w:tc>
        <w:tc>
          <w:tcPr>
            <w:tcW w:w="1810" w:type="dxa"/>
            <w:gridSpan w:val="3"/>
            <w:tcBorders>
              <w:top w:val="single" w:sz="4" w:space="0" w:color="auto"/>
              <w:left w:val="single" w:sz="4" w:space="0" w:color="auto"/>
              <w:bottom w:val="single" w:sz="4" w:space="0" w:color="auto"/>
              <w:right w:val="single" w:sz="4" w:space="0" w:color="auto"/>
            </w:tcBorders>
            <w:shd w:val="clear" w:color="auto" w:fill="F2F2F2"/>
          </w:tcPr>
          <w:p w14:paraId="22AB0264"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666" w:type="dxa"/>
            <w:gridSpan w:val="2"/>
            <w:tcBorders>
              <w:top w:val="single" w:sz="4" w:space="0" w:color="auto"/>
              <w:left w:val="single" w:sz="4" w:space="0" w:color="auto"/>
              <w:bottom w:val="single" w:sz="4" w:space="0" w:color="auto"/>
              <w:right w:val="single" w:sz="4" w:space="0" w:color="auto"/>
            </w:tcBorders>
            <w:shd w:val="clear" w:color="auto" w:fill="F2F2F2"/>
          </w:tcPr>
          <w:p w14:paraId="158776FF"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13C25228" w14:textId="77777777" w:rsidTr="00672A15">
        <w:trPr>
          <w:gridAfter w:val="1"/>
          <w:wAfter w:w="15" w:type="dxa"/>
          <w:trHeight w:val="890"/>
        </w:trPr>
        <w:tc>
          <w:tcPr>
            <w:tcW w:w="450" w:type="dxa"/>
            <w:tcBorders>
              <w:top w:val="single" w:sz="4" w:space="0" w:color="auto"/>
              <w:left w:val="single" w:sz="4" w:space="0" w:color="auto"/>
              <w:bottom w:val="single" w:sz="4" w:space="0" w:color="auto"/>
              <w:right w:val="single" w:sz="4" w:space="0" w:color="auto"/>
            </w:tcBorders>
            <w:shd w:val="clear" w:color="auto" w:fill="FFFFFF"/>
          </w:tcPr>
          <w:p w14:paraId="7F86698A" w14:textId="77777777" w:rsidR="00672A15" w:rsidRPr="00E85C29" w:rsidRDefault="00672A15" w:rsidP="00672A15">
            <w:pPr>
              <w:tabs>
                <w:tab w:val="left" w:pos="8010"/>
              </w:tabs>
              <w:ind w:left="-378" w:firstLine="378"/>
              <w:jc w:val="right"/>
              <w:rPr>
                <w:rFonts w:ascii="Times New Roman" w:hAnsi="Times New Roman" w:cs="Times New Roman"/>
                <w:bCs/>
                <w:color w:val="181717"/>
                <w:sz w:val="18"/>
                <w:szCs w:val="18"/>
              </w:rPr>
            </w:pPr>
          </w:p>
          <w:p w14:paraId="628BCB51" w14:textId="77777777" w:rsidR="00672A15" w:rsidRPr="00E85C29" w:rsidRDefault="00672A15" w:rsidP="00672A15">
            <w:pPr>
              <w:tabs>
                <w:tab w:val="left" w:pos="8010"/>
              </w:tabs>
              <w:ind w:left="-378" w:firstLine="378"/>
              <w:jc w:val="righ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9</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2803C9C1"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Provide the basic epidemiological information about the problem (including the associated burden), health systems relevant issues, and note any relevant differences compared to the source guideline(s).</w:t>
            </w:r>
          </w:p>
        </w:tc>
        <w:tc>
          <w:tcPr>
            <w:tcW w:w="1204" w:type="dxa"/>
            <w:gridSpan w:val="3"/>
            <w:tcBorders>
              <w:top w:val="single" w:sz="4" w:space="0" w:color="auto"/>
              <w:left w:val="single" w:sz="4" w:space="0" w:color="auto"/>
              <w:bottom w:val="single" w:sz="4" w:space="0" w:color="auto"/>
              <w:right w:val="single" w:sz="4" w:space="0" w:color="auto"/>
            </w:tcBorders>
          </w:tcPr>
          <w:p w14:paraId="345FB719" w14:textId="77777777" w:rsidR="00672A15" w:rsidRPr="00E85C29" w:rsidRDefault="00672A15" w:rsidP="00672A15">
            <w:pPr>
              <w:tabs>
                <w:tab w:val="left" w:pos="252"/>
                <w:tab w:val="left" w:pos="8010"/>
              </w:tabs>
              <w:ind w:left="-90"/>
              <w:contextualSpacing/>
              <w:rPr>
                <w:rFonts w:ascii="Times New Roman" w:hAnsi="Times New Roman" w:cs="Times New Roman"/>
                <w:bCs/>
                <w:color w:val="181717"/>
                <w:sz w:val="18"/>
                <w:szCs w:val="18"/>
              </w:rPr>
            </w:pPr>
          </w:p>
          <w:p w14:paraId="57000695"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37096D6D"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7FB7CCA1"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1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9323B1E" w14:textId="77777777" w:rsidR="00672A15" w:rsidRPr="00E85C29" w:rsidRDefault="00672A15" w:rsidP="00672A15">
            <w:pPr>
              <w:tabs>
                <w:tab w:val="left" w:pos="8010"/>
              </w:tabs>
              <w:ind w:left="-90" w:hanging="53"/>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8-20</w:t>
            </w:r>
          </w:p>
          <w:p w14:paraId="2712C6D7" w14:textId="77777777" w:rsidR="00672A15" w:rsidRPr="00E85C29" w:rsidRDefault="00672A15" w:rsidP="00672A15">
            <w:pPr>
              <w:tabs>
                <w:tab w:val="left" w:pos="8010"/>
              </w:tabs>
              <w:ind w:left="-90" w:hanging="53"/>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(introduction and background</w:t>
            </w:r>
          </w:p>
        </w:tc>
        <w:tc>
          <w:tcPr>
            <w:tcW w:w="1666"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662F0E3"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Included in </w:t>
            </w:r>
          </w:p>
          <w:p w14:paraId="6CBFF294"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Rationale of recommendations especially for adapted or added recommendations or practice points </w:t>
            </w:r>
          </w:p>
          <w:p w14:paraId="1ACA07DC"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E.g.</w:t>
            </w:r>
          </w:p>
          <w:p w14:paraId="539C5292"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Exclusion of genetic etiology with GT is crucial in our area with high rate of consanguinity </w:t>
            </w:r>
          </w:p>
          <w:p w14:paraId="2F18881A"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And use of live related donors However not always available </w:t>
            </w:r>
          </w:p>
          <w:p w14:paraId="5B2A17D9"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-Infectious disease work up is mandatory in our area especially with use of Immunosuppressive</w:t>
            </w:r>
          </w:p>
          <w:p w14:paraId="78E1C7D4"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-Lab immunology and, renal biopsy are crucial and more available than GT Therefore diagnosis workup is easier to be based on them.</w:t>
            </w:r>
          </w:p>
          <w:p w14:paraId="08BC14B8"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-Defining our high priority target group for GT as well as supporting referral to centers with genetic facilities could substitute screening of all SR patients with GT.</w:t>
            </w:r>
          </w:p>
          <w:p w14:paraId="32737E55"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-Special focus on this area is handled with examples inside discussion of the submitted article. </w:t>
            </w:r>
          </w:p>
        </w:tc>
      </w:tr>
      <w:tr w:rsidR="00672A15" w:rsidRPr="00E85C29" w14:paraId="064DC071"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2F2F2"/>
          </w:tcPr>
          <w:p w14:paraId="20D682C1"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6062DEC2"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Aim(s) and specific objectives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4C089E9A" w14:textId="77777777" w:rsidR="00672A15" w:rsidRPr="00E85C29" w:rsidRDefault="00672A15" w:rsidP="00672A15">
            <w:pPr>
              <w:tabs>
                <w:tab w:val="left" w:pos="252"/>
                <w:tab w:val="left" w:pos="8010"/>
              </w:tabs>
              <w:ind w:left="-90"/>
              <w:contextualSpacing/>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01B969E4"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4120118A"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6B7136E9"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6FDC6958"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w:t>
            </w:r>
          </w:p>
          <w:p w14:paraId="75C23AF1"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10</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375C37FF"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aim(s) of the adapted guideline and specific objectives, and note any relevant differences compared to the source guideline(s).</w:t>
            </w:r>
          </w:p>
        </w:tc>
        <w:tc>
          <w:tcPr>
            <w:tcW w:w="1170" w:type="dxa"/>
            <w:gridSpan w:val="2"/>
            <w:tcBorders>
              <w:top w:val="single" w:sz="4" w:space="0" w:color="auto"/>
              <w:left w:val="single" w:sz="4" w:space="0" w:color="auto"/>
              <w:bottom w:val="single" w:sz="4" w:space="0" w:color="auto"/>
              <w:right w:val="single" w:sz="4" w:space="0" w:color="auto"/>
            </w:tcBorders>
            <w:hideMark/>
          </w:tcPr>
          <w:p w14:paraId="67DD02A2"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24BAE841"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316CD291"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6D6CD0F" w14:textId="77777777" w:rsidR="00672A15" w:rsidRPr="00E85C29" w:rsidRDefault="00672A15" w:rsidP="00672A15">
            <w:pPr>
              <w:tabs>
                <w:tab w:val="left" w:pos="8010"/>
              </w:tabs>
              <w:ind w:left="-90" w:hanging="53"/>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23 </w:t>
            </w:r>
          </w:p>
          <w:p w14:paraId="69857DC1" w14:textId="77777777" w:rsidR="00672A15" w:rsidRPr="00E85C29" w:rsidRDefault="00672A15" w:rsidP="00672A15">
            <w:pPr>
              <w:tabs>
                <w:tab w:val="left" w:pos="8010"/>
              </w:tabs>
              <w:ind w:left="-90" w:hanging="53"/>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(Guideline objectives)</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413655FD"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--Proper initial diagnosis of SRNS in children, its classification as </w:t>
            </w:r>
          </w:p>
          <w:p w14:paraId="5C8DB4EF"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Primary idiopathic, secondary to drugs infections or auto immune disease. </w:t>
            </w:r>
          </w:p>
          <w:p w14:paraId="43630F7D"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-Treatment plan is based on lab immunology, kidney biopsy, genetic </w:t>
            </w:r>
            <w:proofErr w:type="gramStart"/>
            <w:r w:rsidRPr="00E85C29">
              <w:rPr>
                <w:rFonts w:ascii="Times New Roman" w:hAnsi="Times New Roman" w:cs="Times New Roman"/>
                <w:bCs/>
                <w:color w:val="181717"/>
                <w:sz w:val="18"/>
                <w:szCs w:val="18"/>
              </w:rPr>
              <w:t>tests(</w:t>
            </w:r>
            <w:proofErr w:type="gramEnd"/>
            <w:r w:rsidRPr="00E85C29">
              <w:rPr>
                <w:rFonts w:ascii="Times New Roman" w:hAnsi="Times New Roman" w:cs="Times New Roman"/>
                <w:bCs/>
                <w:color w:val="181717"/>
                <w:sz w:val="18"/>
                <w:szCs w:val="18"/>
              </w:rPr>
              <w:t>if possible) , severity of disease presentation .</w:t>
            </w:r>
          </w:p>
          <w:p w14:paraId="4A560002"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w:t>
            </w:r>
            <w:proofErr w:type="spellStart"/>
            <w:r w:rsidRPr="00E85C29">
              <w:rPr>
                <w:rFonts w:ascii="Times New Roman" w:hAnsi="Times New Roman" w:cs="Times New Roman"/>
                <w:bCs/>
                <w:color w:val="181717"/>
                <w:sz w:val="18"/>
                <w:szCs w:val="18"/>
              </w:rPr>
              <w:t>Imms</w:t>
            </w:r>
            <w:proofErr w:type="spellEnd"/>
            <w:r w:rsidRPr="00E85C29">
              <w:rPr>
                <w:rFonts w:ascii="Times New Roman" w:hAnsi="Times New Roman" w:cs="Times New Roman"/>
                <w:bCs/>
                <w:color w:val="181717"/>
                <w:sz w:val="18"/>
                <w:szCs w:val="18"/>
              </w:rPr>
              <w:t xml:space="preserve"> therapy for idiopathic types is EB; </w:t>
            </w:r>
          </w:p>
          <w:p w14:paraId="604B1F25"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genetic types to be referred to expert centers. </w:t>
            </w:r>
          </w:p>
          <w:p w14:paraId="3CF6C727"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lastRenderedPageBreak/>
              <w:t xml:space="preserve">-Drug and infections should be early diagnosed and aborted </w:t>
            </w:r>
          </w:p>
          <w:p w14:paraId="6242EE8B"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-auto immune causes as ANCA, LE ,IgA ,sarcoidosis to be referred to expert Ped nephrologist </w:t>
            </w:r>
          </w:p>
          <w:p w14:paraId="3CC6405C"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--management of complications of disease or therapy </w:t>
            </w:r>
          </w:p>
          <w:p w14:paraId="1C9FD88C"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-Follow-up of pts for clinical and lab monitoring.</w:t>
            </w:r>
          </w:p>
          <w:p w14:paraId="3B434582"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ESRD are referred to D/TX </w:t>
            </w:r>
          </w:p>
          <w:p w14:paraId="1ECE4D1E"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All previous objects are fully discussed in our source guideline </w:t>
            </w:r>
            <w:r w:rsidRPr="00E85C29">
              <w:rPr>
                <w:rFonts w:ascii="Times New Roman" w:hAnsi="Times New Roman" w:cs="Times New Roman"/>
                <w:bCs/>
                <w:color w:val="FF0000"/>
                <w:sz w:val="18"/>
                <w:szCs w:val="18"/>
                <w:u w:val="single"/>
              </w:rPr>
              <w:t xml:space="preserve">However </w:t>
            </w:r>
            <w:r w:rsidRPr="00E85C29">
              <w:rPr>
                <w:rFonts w:ascii="Times New Roman" w:hAnsi="Times New Roman" w:cs="Times New Roman"/>
                <w:bCs/>
                <w:color w:val="181717"/>
                <w:sz w:val="18"/>
                <w:szCs w:val="18"/>
              </w:rPr>
              <w:t xml:space="preserve">in our area we need to </w:t>
            </w:r>
            <w:proofErr w:type="spellStart"/>
            <w:r w:rsidRPr="00E85C29">
              <w:rPr>
                <w:rFonts w:ascii="Times New Roman" w:hAnsi="Times New Roman" w:cs="Times New Roman"/>
                <w:bCs/>
                <w:color w:val="181717"/>
                <w:sz w:val="18"/>
                <w:szCs w:val="18"/>
              </w:rPr>
              <w:t>add</w:t>
            </w:r>
            <w:proofErr w:type="gramStart"/>
            <w:r w:rsidRPr="00E85C29">
              <w:rPr>
                <w:rFonts w:ascii="Times New Roman" w:hAnsi="Times New Roman" w:cs="Times New Roman"/>
                <w:bCs/>
                <w:color w:val="181717"/>
                <w:sz w:val="18"/>
                <w:szCs w:val="18"/>
              </w:rPr>
              <w:t>:SRNS</w:t>
            </w:r>
            <w:proofErr w:type="spellEnd"/>
            <w:proofErr w:type="gramEnd"/>
            <w:r w:rsidRPr="00E85C29">
              <w:rPr>
                <w:rFonts w:ascii="Times New Roman" w:hAnsi="Times New Roman" w:cs="Times New Roman"/>
                <w:bCs/>
                <w:color w:val="181717"/>
                <w:sz w:val="18"/>
                <w:szCs w:val="18"/>
              </w:rPr>
              <w:t xml:space="preserve"> recommendations are totally addressed to pediatric nephrologists. And to be handled in secondary and tertiary care settings.  </w:t>
            </w:r>
          </w:p>
        </w:tc>
      </w:tr>
      <w:tr w:rsidR="00672A15" w:rsidRPr="00E85C29" w14:paraId="33C62CB0"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2F2F2"/>
          </w:tcPr>
          <w:p w14:paraId="71547FA1"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51B12E69"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Target population(s)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154E53C7" w14:textId="77777777" w:rsidR="00672A15" w:rsidRPr="00E85C29" w:rsidRDefault="00672A15" w:rsidP="00672A15">
            <w:pPr>
              <w:tabs>
                <w:tab w:val="left" w:pos="252"/>
                <w:tab w:val="left" w:pos="8010"/>
              </w:tabs>
              <w:ind w:left="-90"/>
              <w:contextualSpacing/>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78F0C6C4"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4806465D"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590FB99E"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tcPr>
          <w:p w14:paraId="54AD19AD"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p w14:paraId="0FBEF577"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11</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2BDB941F"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target population(s) and subgroup(s) (if applicable) to which the recommendation(s) is addressed in the adapted guideline, and note any relevant differences compared to the source guideline(s).</w:t>
            </w:r>
          </w:p>
        </w:tc>
        <w:tc>
          <w:tcPr>
            <w:tcW w:w="1170" w:type="dxa"/>
            <w:gridSpan w:val="2"/>
            <w:tcBorders>
              <w:top w:val="single" w:sz="4" w:space="0" w:color="auto"/>
              <w:left w:val="single" w:sz="4" w:space="0" w:color="auto"/>
              <w:bottom w:val="single" w:sz="4" w:space="0" w:color="auto"/>
              <w:right w:val="single" w:sz="4" w:space="0" w:color="auto"/>
            </w:tcBorders>
          </w:tcPr>
          <w:p w14:paraId="21CE4474" w14:textId="77777777" w:rsidR="00672A15" w:rsidRPr="00E85C29" w:rsidRDefault="00672A15" w:rsidP="00672A15">
            <w:pPr>
              <w:tabs>
                <w:tab w:val="left" w:pos="252"/>
                <w:tab w:val="left" w:pos="8010"/>
              </w:tabs>
              <w:ind w:left="-90"/>
              <w:contextualSpacing/>
              <w:rPr>
                <w:rFonts w:ascii="Times New Roman" w:hAnsi="Times New Roman" w:cs="Times New Roman"/>
                <w:bCs/>
                <w:color w:val="181717"/>
                <w:sz w:val="18"/>
                <w:szCs w:val="18"/>
              </w:rPr>
            </w:pPr>
          </w:p>
          <w:p w14:paraId="0124CBCB"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7BAAE051"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656C7EC2"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E47BD1C"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23</w:t>
            </w:r>
          </w:p>
          <w:p w14:paraId="712E8C79"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(Scope, purpose,</w:t>
            </w:r>
          </w:p>
          <w:p w14:paraId="21CFEBBB"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PIPOH)</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40931C75"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Subgroups of target population needed also subgrouping of clinical work group to be devoted for each   recommendations topic :</w:t>
            </w:r>
          </w:p>
          <w:p w14:paraId="66B77ED5"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*Genetic team allocated for recommendation for Hereditary SRNS.</w:t>
            </w:r>
          </w:p>
          <w:p w14:paraId="2889926A"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*Lupus group </w:t>
            </w:r>
          </w:p>
          <w:p w14:paraId="40C2A89A"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w:t>
            </w:r>
            <w:proofErr w:type="spellStart"/>
            <w:r w:rsidRPr="00E85C29">
              <w:rPr>
                <w:rFonts w:ascii="Times New Roman" w:hAnsi="Times New Roman" w:cs="Times New Roman"/>
                <w:bCs/>
                <w:color w:val="181717"/>
                <w:sz w:val="18"/>
                <w:szCs w:val="18"/>
              </w:rPr>
              <w:t>IgAN</w:t>
            </w:r>
            <w:proofErr w:type="spellEnd"/>
            <w:r w:rsidRPr="00E85C29">
              <w:rPr>
                <w:rFonts w:ascii="Times New Roman" w:hAnsi="Times New Roman" w:cs="Times New Roman"/>
                <w:bCs/>
                <w:color w:val="181717"/>
                <w:sz w:val="18"/>
                <w:szCs w:val="18"/>
              </w:rPr>
              <w:t xml:space="preserve"> </w:t>
            </w:r>
          </w:p>
          <w:p w14:paraId="06CAE95A"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*-ANCA-Vasculitis,</w:t>
            </w:r>
          </w:p>
          <w:p w14:paraId="3166C729"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*Infection related.</w:t>
            </w:r>
          </w:p>
          <w:p w14:paraId="4EF342D7"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*membranoproliferative /C3GN,</w:t>
            </w:r>
          </w:p>
          <w:p w14:paraId="65580EDD"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*Mem group </w:t>
            </w:r>
          </w:p>
          <w:p w14:paraId="7E3F2F8A"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ESRF group </w:t>
            </w:r>
          </w:p>
        </w:tc>
      </w:tr>
      <w:tr w:rsidR="00672A15" w:rsidRPr="00E85C29" w14:paraId="0E10C380"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2F2F2"/>
          </w:tcPr>
          <w:p w14:paraId="4B50BF3C"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73C53CA8"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End-users and settings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0B4ED64"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Assessment </w:t>
            </w:r>
          </w:p>
        </w:tc>
        <w:tc>
          <w:tcPr>
            <w:tcW w:w="180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0418FA"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Pages </w:t>
            </w:r>
          </w:p>
        </w:tc>
        <w:tc>
          <w:tcPr>
            <w:tcW w:w="1725"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003F0E35"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Notes</w:t>
            </w:r>
          </w:p>
        </w:tc>
      </w:tr>
      <w:tr w:rsidR="00672A15" w:rsidRPr="00E85C29" w14:paraId="45590D1C" w14:textId="77777777" w:rsidTr="00672A15">
        <w:trPr>
          <w:trHeight w:val="638"/>
        </w:trPr>
        <w:tc>
          <w:tcPr>
            <w:tcW w:w="450" w:type="dxa"/>
            <w:tcBorders>
              <w:top w:val="single" w:sz="4" w:space="0" w:color="auto"/>
              <w:left w:val="single" w:sz="4" w:space="0" w:color="auto"/>
              <w:bottom w:val="single" w:sz="4" w:space="0" w:color="auto"/>
              <w:right w:val="single" w:sz="4" w:space="0" w:color="auto"/>
            </w:tcBorders>
            <w:shd w:val="clear" w:color="auto" w:fill="FFFFFF"/>
          </w:tcPr>
          <w:p w14:paraId="3428BA7A"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p w14:paraId="1986AC47"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12</w:t>
            </w:r>
          </w:p>
          <w:p w14:paraId="5E8BD032"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34BEF50B" w14:textId="77777777" w:rsidR="00672A15" w:rsidRPr="00E85C29" w:rsidRDefault="00672A15" w:rsidP="00672A15">
            <w:pPr>
              <w:tabs>
                <w:tab w:val="left" w:pos="4572"/>
                <w:tab w:val="left" w:pos="8010"/>
              </w:tabs>
              <w:ind w:left="-90" w:right="162" w:firstLine="7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intended target users of the adapted guideline, and note any relevant differences compared to the source guideline(s).</w:t>
            </w:r>
          </w:p>
        </w:tc>
        <w:tc>
          <w:tcPr>
            <w:tcW w:w="1170" w:type="dxa"/>
            <w:gridSpan w:val="2"/>
            <w:tcBorders>
              <w:top w:val="single" w:sz="4" w:space="0" w:color="auto"/>
              <w:left w:val="single" w:sz="4" w:space="0" w:color="auto"/>
              <w:bottom w:val="single" w:sz="4" w:space="0" w:color="auto"/>
              <w:right w:val="single" w:sz="4" w:space="0" w:color="auto"/>
            </w:tcBorders>
            <w:hideMark/>
          </w:tcPr>
          <w:p w14:paraId="1CCB6989"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429C6BA2"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05DA0EE8"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p w14:paraId="197A80B9" w14:textId="77777777" w:rsidR="00672A15" w:rsidRPr="00E85C29" w:rsidRDefault="00672A15" w:rsidP="00672A15">
            <w:pPr>
              <w:tabs>
                <w:tab w:val="left" w:pos="252"/>
                <w:tab w:val="left" w:pos="8010"/>
              </w:tabs>
              <w:ind w:left="-90" w:right="-15" w:firstLine="0"/>
              <w:contextualSpacing/>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BA8F3A8"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23</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6B981B37" w14:textId="77777777" w:rsidR="00672A15" w:rsidRPr="00E85C29" w:rsidRDefault="00672A15" w:rsidP="00672A15">
            <w:pPr>
              <w:tabs>
                <w:tab w:val="left" w:pos="8010"/>
              </w:tabs>
              <w:ind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PIPOH MODEL </w:t>
            </w:r>
          </w:p>
        </w:tc>
      </w:tr>
      <w:tr w:rsidR="00672A15" w:rsidRPr="00E85C29" w14:paraId="66BB48B5"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0458B607"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13</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5A4BEFA0" w14:textId="77777777" w:rsidR="00672A15" w:rsidRPr="00E85C29" w:rsidRDefault="00672A15" w:rsidP="00672A15">
            <w:pPr>
              <w:tabs>
                <w:tab w:val="left" w:pos="4572"/>
                <w:tab w:val="left" w:pos="8010"/>
              </w:tabs>
              <w:ind w:left="-90" w:right="162" w:firstLine="7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setting(s) for which the adapted guideline is intended, and note any relevant differences compared to the source guideline(s).</w:t>
            </w:r>
          </w:p>
        </w:tc>
        <w:tc>
          <w:tcPr>
            <w:tcW w:w="1170" w:type="dxa"/>
            <w:gridSpan w:val="2"/>
            <w:tcBorders>
              <w:top w:val="single" w:sz="4" w:space="0" w:color="auto"/>
              <w:left w:val="single" w:sz="4" w:space="0" w:color="auto"/>
              <w:bottom w:val="single" w:sz="4" w:space="0" w:color="auto"/>
              <w:right w:val="single" w:sz="4" w:space="0" w:color="auto"/>
            </w:tcBorders>
            <w:hideMark/>
          </w:tcPr>
          <w:p w14:paraId="2E34B919"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 xml:space="preserve"> Yes</w:t>
            </w:r>
          </w:p>
          <w:p w14:paraId="37ADC41B"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2049195A"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2F5E477F"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23 </w:t>
            </w:r>
          </w:p>
          <w:p w14:paraId="4EE996A6"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Scope, purpose, PIPOH)</w:t>
            </w:r>
          </w:p>
          <w:p w14:paraId="72452B07"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p>
          <w:p w14:paraId="6290ABBE"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75 (Implementation consideration) </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63199022"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PIPOH  MODEL </w:t>
            </w:r>
          </w:p>
        </w:tc>
      </w:tr>
      <w:tr w:rsidR="00672A15" w:rsidRPr="00E85C29" w14:paraId="1D669C79"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BFBFBF"/>
          </w:tcPr>
          <w:p w14:paraId="39E13839" w14:textId="77777777" w:rsidR="00672A15" w:rsidRPr="00E85C29" w:rsidRDefault="00672A15" w:rsidP="00672A15">
            <w:pPr>
              <w:tabs>
                <w:tab w:val="left" w:pos="8010"/>
              </w:tabs>
              <w:ind w:left="-90" w:right="-28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BFBFBF"/>
            <w:hideMark/>
          </w:tcPr>
          <w:p w14:paraId="1036AED6" w14:textId="77777777" w:rsidR="00672A15" w:rsidRPr="00E85C29" w:rsidRDefault="00672A15" w:rsidP="00672A15">
            <w:pPr>
              <w:tabs>
                <w:tab w:val="left" w:pos="4572"/>
                <w:tab w:val="left" w:pos="8010"/>
              </w:tabs>
              <w:ind w:left="-90" w:right="162"/>
              <w:rPr>
                <w:rFonts w:ascii="Times New Roman" w:hAnsi="Times New Roman" w:cs="Times New Roman"/>
                <w:bCs/>
                <w:sz w:val="18"/>
                <w:szCs w:val="18"/>
              </w:rPr>
            </w:pPr>
            <w:r w:rsidRPr="00E85C29">
              <w:rPr>
                <w:rFonts w:ascii="Times New Roman" w:hAnsi="Times New Roman" w:cs="Times New Roman"/>
                <w:bCs/>
                <w:sz w:val="18"/>
                <w:szCs w:val="18"/>
              </w:rPr>
              <w:t>Rigor of development</w:t>
            </w:r>
          </w:p>
        </w:tc>
        <w:tc>
          <w:tcPr>
            <w:tcW w:w="1170" w:type="dxa"/>
            <w:gridSpan w:val="2"/>
            <w:tcBorders>
              <w:top w:val="single" w:sz="4" w:space="0" w:color="auto"/>
              <w:left w:val="single" w:sz="4" w:space="0" w:color="auto"/>
              <w:bottom w:val="single" w:sz="4" w:space="0" w:color="auto"/>
              <w:right w:val="single" w:sz="4" w:space="0" w:color="auto"/>
            </w:tcBorders>
            <w:shd w:val="clear" w:color="auto" w:fill="BFBFBF"/>
          </w:tcPr>
          <w:p w14:paraId="1CDE1033" w14:textId="77777777" w:rsidR="00672A15" w:rsidRPr="00E85C29" w:rsidRDefault="00672A15" w:rsidP="00672A15">
            <w:pPr>
              <w:tabs>
                <w:tab w:val="left" w:pos="8010"/>
              </w:tabs>
              <w:ind w:left="-90" w:right="-288"/>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BFBFBF"/>
          </w:tcPr>
          <w:p w14:paraId="0E2040CF" w14:textId="77777777" w:rsidR="00672A15" w:rsidRPr="00E85C29" w:rsidRDefault="00672A15" w:rsidP="00672A15">
            <w:pPr>
              <w:tabs>
                <w:tab w:val="left" w:pos="8010"/>
              </w:tabs>
              <w:ind w:left="-90" w:right="-288"/>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BFBFBF"/>
          </w:tcPr>
          <w:p w14:paraId="0662F53B" w14:textId="77777777" w:rsidR="00672A15" w:rsidRPr="00E85C29" w:rsidRDefault="00672A15" w:rsidP="00672A15">
            <w:pPr>
              <w:tabs>
                <w:tab w:val="left" w:pos="8010"/>
              </w:tabs>
              <w:ind w:left="-90" w:right="-288"/>
              <w:rPr>
                <w:rFonts w:ascii="Times New Roman" w:hAnsi="Times New Roman" w:cs="Times New Roman"/>
                <w:bCs/>
                <w:color w:val="181717"/>
                <w:sz w:val="18"/>
                <w:szCs w:val="18"/>
              </w:rPr>
            </w:pPr>
          </w:p>
        </w:tc>
      </w:tr>
      <w:tr w:rsidR="00672A15" w:rsidRPr="00E85C29" w14:paraId="797AE422"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2F2F2"/>
          </w:tcPr>
          <w:p w14:paraId="048D7EBD" w14:textId="77777777" w:rsidR="00672A15" w:rsidRPr="00E85C29" w:rsidRDefault="00672A15" w:rsidP="00672A15">
            <w:pPr>
              <w:tabs>
                <w:tab w:val="left" w:pos="8010"/>
              </w:tabs>
              <w:ind w:left="-90" w:right="-28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4343D5A7"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Guideline adaptation group</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1C683BF7" w14:textId="77777777" w:rsidR="00672A15" w:rsidRPr="00E85C29" w:rsidRDefault="00672A15" w:rsidP="00672A15">
            <w:pPr>
              <w:tabs>
                <w:tab w:val="left" w:pos="8010"/>
              </w:tabs>
              <w:ind w:left="-90" w:right="-288"/>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65D13377" w14:textId="77777777" w:rsidR="00672A15" w:rsidRPr="00E85C29" w:rsidRDefault="00672A15" w:rsidP="00672A15">
            <w:pPr>
              <w:tabs>
                <w:tab w:val="left" w:pos="8010"/>
              </w:tabs>
              <w:ind w:left="-90" w:right="-288"/>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25B05A09" w14:textId="77777777" w:rsidR="00672A15" w:rsidRPr="00E85C29" w:rsidRDefault="00672A15" w:rsidP="00672A15">
            <w:pPr>
              <w:tabs>
                <w:tab w:val="left" w:pos="8010"/>
              </w:tabs>
              <w:ind w:left="-90" w:right="-288"/>
              <w:rPr>
                <w:rFonts w:ascii="Times New Roman" w:hAnsi="Times New Roman" w:cs="Times New Roman"/>
                <w:bCs/>
                <w:color w:val="181717"/>
                <w:sz w:val="18"/>
                <w:szCs w:val="18"/>
              </w:rPr>
            </w:pPr>
          </w:p>
        </w:tc>
      </w:tr>
      <w:tr w:rsidR="00672A15" w:rsidRPr="00E85C29" w14:paraId="795D958B"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7A8ED686"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14</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54C8BB5B" w14:textId="77777777" w:rsidR="00672A15" w:rsidRPr="00E85C29" w:rsidRDefault="00672A15" w:rsidP="00672A15">
            <w:pPr>
              <w:tabs>
                <w:tab w:val="left" w:pos="4572"/>
                <w:tab w:val="left" w:pos="8010"/>
              </w:tabs>
              <w:ind w:right="162" w:hanging="18"/>
              <w:rPr>
                <w:rFonts w:ascii="Times New Roman" w:hAnsi="Times New Roman" w:cs="Times New Roman"/>
                <w:bCs/>
                <w:sz w:val="18"/>
                <w:szCs w:val="18"/>
              </w:rPr>
            </w:pPr>
            <w:r w:rsidRPr="00E85C29">
              <w:rPr>
                <w:rFonts w:ascii="Times New Roman" w:hAnsi="Times New Roman" w:cs="Times New Roman"/>
                <w:bCs/>
                <w:color w:val="181717"/>
                <w:sz w:val="18"/>
                <w:szCs w:val="18"/>
              </w:rPr>
              <w:t>List all contributors to the guideline adaptation process and describe their selection process and responsibilities.</w:t>
            </w:r>
          </w:p>
        </w:tc>
        <w:tc>
          <w:tcPr>
            <w:tcW w:w="1170" w:type="dxa"/>
            <w:gridSpan w:val="2"/>
            <w:tcBorders>
              <w:top w:val="single" w:sz="4" w:space="0" w:color="auto"/>
              <w:left w:val="single" w:sz="4" w:space="0" w:color="auto"/>
              <w:bottom w:val="single" w:sz="4" w:space="0" w:color="auto"/>
              <w:right w:val="single" w:sz="4" w:space="0" w:color="auto"/>
            </w:tcBorders>
            <w:hideMark/>
          </w:tcPr>
          <w:p w14:paraId="33C86275"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2975F886"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2DCBF43D"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04658D8C"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2-4 (Authorship group and Editorial Board) included:</w:t>
            </w:r>
          </w:p>
          <w:p w14:paraId="46F3EEFA"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Guideline adaptation clinical and methodology work </w:t>
            </w:r>
            <w:r w:rsidRPr="00E85C29">
              <w:rPr>
                <w:rFonts w:ascii="Times New Roman" w:hAnsi="Times New Roman" w:cs="Times New Roman"/>
                <w:bCs/>
                <w:color w:val="181717"/>
                <w:sz w:val="18"/>
                <w:szCs w:val="18"/>
              </w:rPr>
              <w:lastRenderedPageBreak/>
              <w:t xml:space="preserve">group and external review group including authors of the Article manuscript. </w:t>
            </w:r>
          </w:p>
          <w:p w14:paraId="1723D2BA"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5457DE3E"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lastRenderedPageBreak/>
              <w:t xml:space="preserve">Submission </w:t>
            </w:r>
          </w:p>
          <w:p w14:paraId="49F5E4F6"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Title page </w:t>
            </w:r>
          </w:p>
        </w:tc>
      </w:tr>
      <w:tr w:rsidR="00672A15" w:rsidRPr="00E85C29" w14:paraId="6EC945BC"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tcPr>
          <w:p w14:paraId="163EF015"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078D0F67"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Adaptation framework/methodology</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4994979E"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648960E3"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0556D22A"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7BF44335" w14:textId="77777777" w:rsidTr="00672A15">
        <w:trPr>
          <w:trHeight w:val="1547"/>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3A852B24"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15</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21D4E902" w14:textId="77777777" w:rsidR="00672A15" w:rsidRPr="00E85C29" w:rsidRDefault="00672A15" w:rsidP="00672A15">
            <w:pPr>
              <w:tabs>
                <w:tab w:val="left" w:pos="4572"/>
                <w:tab w:val="left" w:pos="8010"/>
              </w:tabs>
              <w:ind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Report which framework or methodology was used in the guideline adaptation process.</w:t>
            </w:r>
          </w:p>
        </w:tc>
        <w:tc>
          <w:tcPr>
            <w:tcW w:w="1170" w:type="dxa"/>
            <w:gridSpan w:val="2"/>
            <w:tcBorders>
              <w:top w:val="single" w:sz="4" w:space="0" w:color="auto"/>
              <w:left w:val="single" w:sz="4" w:space="0" w:color="auto"/>
              <w:bottom w:val="single" w:sz="4" w:space="0" w:color="auto"/>
              <w:right w:val="single" w:sz="4" w:space="0" w:color="auto"/>
            </w:tcBorders>
            <w:hideMark/>
          </w:tcPr>
          <w:p w14:paraId="7FFBBEE6"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77D78133"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21848747"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74466B1B"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9 (Adapted ADAPTE Method </w:t>
            </w:r>
          </w:p>
          <w:p w14:paraId="4C87F37A"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9 (Guideline Status)</w:t>
            </w:r>
          </w:p>
          <w:p w14:paraId="16947527"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74 Adaptation Process.</w:t>
            </w:r>
          </w:p>
          <w:p w14:paraId="585F06E0"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96-100(fig and steps of CPG adaptation.</w:t>
            </w:r>
          </w:p>
          <w:p w14:paraId="50979192" w14:textId="77777777" w:rsidR="00672A15" w:rsidRPr="00E85C29" w:rsidRDefault="00672A15" w:rsidP="00672A15">
            <w:pPr>
              <w:tabs>
                <w:tab w:val="left" w:pos="8010"/>
              </w:tabs>
              <w:ind w:left="-90" w:firstLine="3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120 (references) </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61B871D8" w14:textId="77777777" w:rsidR="00672A15" w:rsidRPr="00E85C29" w:rsidRDefault="00672A15" w:rsidP="00672A15">
            <w:pPr>
              <w:tabs>
                <w:tab w:val="left" w:pos="8010"/>
              </w:tabs>
              <w:ind w:left="-90" w:firstLine="27"/>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Methodology of submission article in appendix of article </w:t>
            </w:r>
          </w:p>
        </w:tc>
      </w:tr>
      <w:tr w:rsidR="00672A15" w:rsidRPr="00E85C29" w14:paraId="4C05A760"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2F2F2"/>
          </w:tcPr>
          <w:p w14:paraId="64C33CFE"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3107B61D"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Source guideline(s)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0FE24836"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76F8F2A4"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4781722B"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3828BC62"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tcPr>
          <w:p w14:paraId="0FF2D9DB"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p w14:paraId="729C6113"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16</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744510C8"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how the specific source guideline(s) was (were) selected.</w:t>
            </w:r>
          </w:p>
        </w:tc>
        <w:tc>
          <w:tcPr>
            <w:tcW w:w="1170" w:type="dxa"/>
            <w:gridSpan w:val="2"/>
            <w:tcBorders>
              <w:top w:val="single" w:sz="4" w:space="0" w:color="auto"/>
              <w:left w:val="single" w:sz="4" w:space="0" w:color="auto"/>
              <w:bottom w:val="single" w:sz="4" w:space="0" w:color="auto"/>
              <w:right w:val="single" w:sz="4" w:space="0" w:color="auto"/>
            </w:tcBorders>
            <w:hideMark/>
          </w:tcPr>
          <w:p w14:paraId="18A1C4AA"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110278EA"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26E5639B"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492AE66F"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p>
          <w:p w14:paraId="0DD701D9"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23 (Scope, Purpose, PIPOH)</w:t>
            </w:r>
          </w:p>
          <w:p w14:paraId="0C6EAD4A"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p>
          <w:p w14:paraId="0CFA9FFD" w14:textId="77777777" w:rsidR="00672A15" w:rsidRPr="00E85C29" w:rsidRDefault="00672A15" w:rsidP="00672A15">
            <w:pPr>
              <w:tabs>
                <w:tab w:val="left" w:pos="8010"/>
              </w:tabs>
              <w:ind w:left="37"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96-100 (inclusion and exclusion criteria, appraisal)  </w:t>
            </w:r>
          </w:p>
          <w:p w14:paraId="05D877EB" w14:textId="77777777" w:rsidR="00672A15" w:rsidRPr="00E85C29" w:rsidRDefault="00672A15" w:rsidP="00672A15">
            <w:pPr>
              <w:tabs>
                <w:tab w:val="left" w:pos="8010"/>
              </w:tabs>
              <w:ind w:left="-90"/>
              <w:rPr>
                <w:rFonts w:ascii="Times New Roman" w:hAnsi="Times New Roman" w:cs="Times New Roman"/>
                <w:bCs/>
                <w:color w:val="181717"/>
                <w:sz w:val="18"/>
                <w:szCs w:val="18"/>
              </w:rPr>
            </w:pPr>
          </w:p>
          <w:p w14:paraId="5C7D1F07" w14:textId="77777777" w:rsidR="00672A15" w:rsidRPr="00E85C29" w:rsidRDefault="00672A15" w:rsidP="00672A15">
            <w:pPr>
              <w:tabs>
                <w:tab w:val="left" w:pos="8010"/>
              </w:tabs>
              <w:ind w:left="-90"/>
              <w:rPr>
                <w:rFonts w:ascii="Times New Roman" w:hAnsi="Times New Roman" w:cs="Times New Roman"/>
                <w:bCs/>
                <w:color w:val="181717"/>
                <w:sz w:val="18"/>
                <w:szCs w:val="18"/>
              </w:rPr>
            </w:pPr>
          </w:p>
          <w:p w14:paraId="471C3346" w14:textId="77777777" w:rsidR="00672A15" w:rsidRPr="00E85C29" w:rsidRDefault="00672A15" w:rsidP="00672A15">
            <w:pPr>
              <w:tabs>
                <w:tab w:val="left" w:pos="8010"/>
              </w:tabs>
              <w:ind w:left="-90"/>
              <w:rPr>
                <w:rFonts w:ascii="Times New Roman" w:hAnsi="Times New Roman" w:cs="Times New Roman"/>
                <w:bCs/>
                <w:color w:val="181717"/>
                <w:sz w:val="18"/>
                <w:szCs w:val="18"/>
              </w:rPr>
            </w:pPr>
          </w:p>
          <w:p w14:paraId="1FE7D534" w14:textId="77777777" w:rsidR="00672A15" w:rsidRPr="00E85C29" w:rsidRDefault="00672A15" w:rsidP="00672A15">
            <w:pPr>
              <w:tabs>
                <w:tab w:val="left" w:pos="8010"/>
              </w:tabs>
              <w:ind w:left="-90"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104 (AGREE 11 assessments </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1BEAFE64" w14:textId="77777777" w:rsidR="00672A15" w:rsidRPr="00E85C29" w:rsidRDefault="00672A15" w:rsidP="00672A15">
            <w:pPr>
              <w:tabs>
                <w:tab w:val="left" w:pos="8010"/>
              </w:tabs>
              <w:ind w:left="-90" w:firstLine="27"/>
              <w:jc w:val="lef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Selection criteria in appendix (methodology documents</w:t>
            </w:r>
          </w:p>
          <w:p w14:paraId="212DF548" w14:textId="77777777" w:rsidR="00672A15" w:rsidRPr="00E85C29" w:rsidRDefault="00672A15" w:rsidP="00672A15">
            <w:pPr>
              <w:tabs>
                <w:tab w:val="left" w:pos="8010"/>
              </w:tabs>
              <w:ind w:left="-90" w:firstLine="27"/>
              <w:jc w:val="lef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AGREE PLUSS Critical appraisal </w:t>
            </w:r>
          </w:p>
          <w:p w14:paraId="7B279269" w14:textId="77777777" w:rsidR="00672A15" w:rsidRPr="00E85C29" w:rsidRDefault="00672A15" w:rsidP="00672A15">
            <w:pPr>
              <w:tabs>
                <w:tab w:val="left" w:pos="8010"/>
              </w:tabs>
              <w:ind w:left="-90" w:firstLine="0"/>
              <w:jc w:val="left"/>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Documents in CPG &amp; article appendix.</w:t>
            </w:r>
          </w:p>
        </w:tc>
      </w:tr>
      <w:tr w:rsidR="00672A15" w:rsidRPr="00E85C29" w14:paraId="4E7ED219"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2F2F2"/>
          </w:tcPr>
          <w:p w14:paraId="0DCFC75C"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771FBA08"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Key questions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1730CC28"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4614C8C3"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2666BD74"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71FD920C"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724EE371"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w:t>
            </w:r>
          </w:p>
          <w:p w14:paraId="57786880"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17</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414DD97B" w14:textId="77777777" w:rsidR="00672A15" w:rsidRPr="00E85C29" w:rsidRDefault="00672A15" w:rsidP="00672A15">
            <w:pPr>
              <w:tabs>
                <w:tab w:val="left" w:pos="4572"/>
                <w:tab w:val="left" w:pos="8010"/>
              </w:tabs>
              <w:ind w:left="-90"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State the key questions of the adapted guideline using a structured format, such as PICO (population, intervention, comparator, and outcome), or another format as appropriate</w:t>
            </w:r>
          </w:p>
        </w:tc>
        <w:tc>
          <w:tcPr>
            <w:tcW w:w="1170" w:type="dxa"/>
            <w:gridSpan w:val="2"/>
            <w:tcBorders>
              <w:top w:val="single" w:sz="4" w:space="0" w:color="auto"/>
              <w:left w:val="single" w:sz="4" w:space="0" w:color="auto"/>
              <w:bottom w:val="single" w:sz="4" w:space="0" w:color="auto"/>
              <w:right w:val="single" w:sz="4" w:space="0" w:color="auto"/>
            </w:tcBorders>
            <w:hideMark/>
          </w:tcPr>
          <w:p w14:paraId="629D1B7F"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4034D2D8"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45897E09"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46B509BE" w14:textId="77777777" w:rsidR="00672A15" w:rsidRPr="00E85C29" w:rsidRDefault="00672A15" w:rsidP="00672A15">
            <w:pPr>
              <w:tabs>
                <w:tab w:val="left" w:pos="8010"/>
              </w:tabs>
              <w:ind w:left="-90"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23 (Scope, purpose, PIPOH)</w:t>
            </w:r>
          </w:p>
          <w:p w14:paraId="2A439C23" w14:textId="77777777" w:rsidR="00672A15" w:rsidRPr="00E85C29" w:rsidRDefault="00672A15" w:rsidP="00672A15">
            <w:pPr>
              <w:tabs>
                <w:tab w:val="left" w:pos="8010"/>
              </w:tabs>
              <w:ind w:left="-90"/>
              <w:rPr>
                <w:rFonts w:ascii="Times New Roman" w:hAnsi="Times New Roman" w:cs="Times New Roman"/>
                <w:bCs/>
                <w:color w:val="181717"/>
                <w:sz w:val="18"/>
                <w:szCs w:val="18"/>
              </w:rPr>
            </w:pPr>
          </w:p>
          <w:p w14:paraId="7EC9A395"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tcPr>
          <w:p w14:paraId="1895862A" w14:textId="77777777" w:rsidR="00672A15" w:rsidRPr="00E85C29" w:rsidRDefault="00672A15" w:rsidP="00672A15">
            <w:pPr>
              <w:tabs>
                <w:tab w:val="left" w:pos="8010"/>
              </w:tabs>
              <w:ind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Quest p22</w:t>
            </w:r>
          </w:p>
          <w:p w14:paraId="3B48B6A0" w14:textId="77777777" w:rsidR="00672A15" w:rsidRPr="00E85C29" w:rsidRDefault="00672A15" w:rsidP="00672A15">
            <w:pPr>
              <w:tabs>
                <w:tab w:val="left" w:pos="8010"/>
              </w:tabs>
              <w:ind w:left="-90"/>
              <w:rPr>
                <w:rFonts w:ascii="Times New Roman" w:hAnsi="Times New Roman" w:cs="Times New Roman"/>
                <w:bCs/>
                <w:color w:val="181717"/>
                <w:sz w:val="18"/>
                <w:szCs w:val="18"/>
              </w:rPr>
            </w:pPr>
          </w:p>
          <w:p w14:paraId="6F92E8E5" w14:textId="77777777" w:rsidR="00672A15" w:rsidRPr="00E85C29" w:rsidRDefault="00672A15" w:rsidP="00672A15">
            <w:pPr>
              <w:tabs>
                <w:tab w:val="left" w:pos="8010"/>
              </w:tabs>
              <w:ind w:left="-90"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PIPOH Format p 22</w:t>
            </w:r>
          </w:p>
        </w:tc>
      </w:tr>
      <w:tr w:rsidR="00672A15" w:rsidRPr="00E85C29" w14:paraId="27323827" w14:textId="77777777" w:rsidTr="00672A15">
        <w:trPr>
          <w:trHeight w:val="512"/>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27D8D61D"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18</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449AE4D6" w14:textId="77777777" w:rsidR="00672A15" w:rsidRPr="00E85C29" w:rsidRDefault="00672A15" w:rsidP="00672A15">
            <w:pPr>
              <w:tabs>
                <w:tab w:val="left" w:pos="4302"/>
                <w:tab w:val="left" w:pos="4572"/>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how the key questions were developed/modified, and/or prioritized.</w:t>
            </w:r>
          </w:p>
        </w:tc>
        <w:tc>
          <w:tcPr>
            <w:tcW w:w="1170" w:type="dxa"/>
            <w:gridSpan w:val="2"/>
            <w:tcBorders>
              <w:top w:val="single" w:sz="4" w:space="0" w:color="auto"/>
              <w:left w:val="single" w:sz="4" w:space="0" w:color="auto"/>
              <w:bottom w:val="single" w:sz="4" w:space="0" w:color="auto"/>
              <w:right w:val="single" w:sz="4" w:space="0" w:color="auto"/>
            </w:tcBorders>
            <w:hideMark/>
          </w:tcPr>
          <w:p w14:paraId="0549B878" w14:textId="77777777" w:rsidR="00672A15" w:rsidRPr="00E85C29" w:rsidRDefault="00672A15" w:rsidP="00672A15">
            <w:pPr>
              <w:numPr>
                <w:ilvl w:val="0"/>
                <w:numId w:val="46"/>
              </w:numPr>
              <w:tabs>
                <w:tab w:val="left" w:pos="252"/>
                <w:tab w:val="left" w:pos="4302"/>
              </w:tabs>
              <w:spacing w:line="254" w:lineRule="auto"/>
              <w:ind w:left="72" w:right="-15" w:hanging="18"/>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78367515" w14:textId="77777777" w:rsidR="00672A15" w:rsidRPr="00E85C29" w:rsidRDefault="00672A15" w:rsidP="00672A15">
            <w:pPr>
              <w:numPr>
                <w:ilvl w:val="0"/>
                <w:numId w:val="46"/>
              </w:numPr>
              <w:tabs>
                <w:tab w:val="left" w:pos="252"/>
                <w:tab w:val="left" w:pos="4302"/>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5C36AE3F" w14:textId="77777777" w:rsidR="00672A15" w:rsidRPr="00E85C29" w:rsidRDefault="00672A15" w:rsidP="00672A15">
            <w:pPr>
              <w:numPr>
                <w:ilvl w:val="0"/>
                <w:numId w:val="46"/>
              </w:numPr>
              <w:tabs>
                <w:tab w:val="left" w:pos="252"/>
                <w:tab w:val="left" w:pos="4302"/>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38C79E66"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23(Scope,</w:t>
            </w:r>
          </w:p>
          <w:p w14:paraId="5D147E07"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Purpose, PIPOH)</w:t>
            </w:r>
          </w:p>
          <w:p w14:paraId="7633BD9D"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p>
          <w:p w14:paraId="39FE1F87"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96-100(Health questions)</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650C62AB"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Methodology adaptation steps in appendix steps of article</w:t>
            </w:r>
          </w:p>
        </w:tc>
      </w:tr>
      <w:tr w:rsidR="00672A15" w:rsidRPr="00E85C29" w14:paraId="4EE9259D" w14:textId="77777777" w:rsidTr="00672A15">
        <w:trPr>
          <w:trHeight w:val="233"/>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4CA0F793"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5646A036" w14:textId="77777777" w:rsidR="00672A15" w:rsidRPr="00E85C29" w:rsidRDefault="00672A15" w:rsidP="00672A15">
            <w:pPr>
              <w:tabs>
                <w:tab w:val="left" w:pos="4302"/>
                <w:tab w:val="left" w:pos="4572"/>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Source recommendation(s)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6E7D2157"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5174EBC2"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0D8553B6"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p>
        </w:tc>
      </w:tr>
      <w:tr w:rsidR="00672A15" w:rsidRPr="00E85C29" w14:paraId="41E84BBF" w14:textId="77777777" w:rsidTr="00672A15">
        <w:trPr>
          <w:trHeight w:val="89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6154D039"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w:t>
            </w:r>
          </w:p>
          <w:p w14:paraId="0DC512E5"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19</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5C729C27" w14:textId="77777777" w:rsidR="00672A15" w:rsidRPr="00E85C29" w:rsidRDefault="00672A15" w:rsidP="00672A15">
            <w:pPr>
              <w:tabs>
                <w:tab w:val="left" w:pos="4302"/>
                <w:tab w:val="left" w:pos="4572"/>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how the recommendation(s) from the source guideline(s) was (were) assessed with respect to the evidence considered for the different criteria, the judgments and considerations made by the original panel.</w:t>
            </w:r>
          </w:p>
        </w:tc>
        <w:tc>
          <w:tcPr>
            <w:tcW w:w="1170" w:type="dxa"/>
            <w:gridSpan w:val="2"/>
            <w:tcBorders>
              <w:top w:val="single" w:sz="4" w:space="0" w:color="auto"/>
              <w:left w:val="single" w:sz="4" w:space="0" w:color="auto"/>
              <w:bottom w:val="single" w:sz="4" w:space="0" w:color="auto"/>
              <w:right w:val="single" w:sz="4" w:space="0" w:color="auto"/>
            </w:tcBorders>
            <w:hideMark/>
          </w:tcPr>
          <w:p w14:paraId="33DD7084" w14:textId="77777777" w:rsidR="00672A15" w:rsidRPr="00E85C29" w:rsidRDefault="00672A15" w:rsidP="00672A15">
            <w:pPr>
              <w:numPr>
                <w:ilvl w:val="0"/>
                <w:numId w:val="46"/>
              </w:numPr>
              <w:tabs>
                <w:tab w:val="left" w:pos="252"/>
                <w:tab w:val="left" w:pos="4302"/>
              </w:tabs>
              <w:spacing w:line="254" w:lineRule="auto"/>
              <w:ind w:left="72" w:right="-15" w:hanging="18"/>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51324474" w14:textId="77777777" w:rsidR="00672A15" w:rsidRPr="00E85C29" w:rsidRDefault="00672A15" w:rsidP="00672A15">
            <w:pPr>
              <w:numPr>
                <w:ilvl w:val="0"/>
                <w:numId w:val="46"/>
              </w:numPr>
              <w:tabs>
                <w:tab w:val="left" w:pos="252"/>
                <w:tab w:val="left" w:pos="4302"/>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10790171" w14:textId="77777777" w:rsidR="00672A15" w:rsidRPr="00E85C29" w:rsidRDefault="00672A15" w:rsidP="00672A15">
            <w:pPr>
              <w:numPr>
                <w:ilvl w:val="0"/>
                <w:numId w:val="46"/>
              </w:numPr>
              <w:tabs>
                <w:tab w:val="left" w:pos="252"/>
                <w:tab w:val="left" w:pos="4302"/>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D3903BA"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96-100</w:t>
            </w:r>
          </w:p>
          <w:p w14:paraId="5F50A879"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(Methodology steps and figures)</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345C02C0"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-Online search for source GL references and their evidence grading charts.</w:t>
            </w:r>
          </w:p>
          <w:p w14:paraId="48E23C97"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-Systematic review search </w:t>
            </w:r>
          </w:p>
          <w:p w14:paraId="2A3B5994" w14:textId="77777777" w:rsidR="00672A15" w:rsidRPr="00E85C29" w:rsidRDefault="00672A15" w:rsidP="00672A15">
            <w:pPr>
              <w:tabs>
                <w:tab w:val="left" w:pos="4302"/>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study design pyramid for evidence grading </w:t>
            </w:r>
          </w:p>
        </w:tc>
      </w:tr>
      <w:tr w:rsidR="00672A15" w:rsidRPr="00E85C29" w14:paraId="5A0C20A1" w14:textId="77777777" w:rsidTr="00672A15">
        <w:trPr>
          <w:trHeight w:val="233"/>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07AEB515"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5465A02C"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Evidence synthesis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59BEA501"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01CCFC39"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2FF4B68E"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103CF8DF"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tcPr>
          <w:p w14:paraId="1E4CB66E"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p w14:paraId="7FFF49B0"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20</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7FBAD9D2"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Indicate whether the adapted recommendation(s) is/are based on existing evidence from the source guideline(s), and/or additional evidence</w:t>
            </w:r>
          </w:p>
        </w:tc>
        <w:tc>
          <w:tcPr>
            <w:tcW w:w="1170" w:type="dxa"/>
            <w:gridSpan w:val="2"/>
            <w:tcBorders>
              <w:top w:val="single" w:sz="4" w:space="0" w:color="auto"/>
              <w:left w:val="single" w:sz="4" w:space="0" w:color="auto"/>
              <w:bottom w:val="single" w:sz="4" w:space="0" w:color="auto"/>
              <w:right w:val="single" w:sz="4" w:space="0" w:color="auto"/>
            </w:tcBorders>
            <w:hideMark/>
          </w:tcPr>
          <w:p w14:paraId="3E435B47"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391194BA"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7283668E"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6023E43"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96-100(Search in Methodology steps) </w:t>
            </w:r>
          </w:p>
          <w:p w14:paraId="0F1B60BE"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Online search for source GL references</w:t>
            </w:r>
          </w:p>
          <w:p w14:paraId="285B08AE"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and their evidence grading charts (104-106)</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4768C2C4"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-Recommendations from source GL with their relevant evidence were</w:t>
            </w:r>
          </w:p>
          <w:p w14:paraId="1904C4F4"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accepted </w:t>
            </w:r>
          </w:p>
          <w:p w14:paraId="67047FC2"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96-100. </w:t>
            </w:r>
          </w:p>
          <w:p w14:paraId="32A61B61"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-Other sources for adapted modified statements or good practice points considering evidence grade and level. </w:t>
            </w:r>
          </w:p>
          <w:p w14:paraId="29753347"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References are listed in reference list p 109 </w:t>
            </w:r>
          </w:p>
        </w:tc>
      </w:tr>
      <w:tr w:rsidR="00672A15" w:rsidRPr="00E85C29" w14:paraId="32C9405B"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0E2440D5"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21</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1FD7D93D"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If new research evidence was used, describe how it was identified and assessed.</w:t>
            </w:r>
          </w:p>
        </w:tc>
        <w:tc>
          <w:tcPr>
            <w:tcW w:w="1170" w:type="dxa"/>
            <w:gridSpan w:val="2"/>
            <w:tcBorders>
              <w:top w:val="single" w:sz="4" w:space="0" w:color="auto"/>
              <w:left w:val="single" w:sz="4" w:space="0" w:color="auto"/>
              <w:bottom w:val="single" w:sz="4" w:space="0" w:color="auto"/>
              <w:right w:val="single" w:sz="4" w:space="0" w:color="auto"/>
            </w:tcBorders>
            <w:hideMark/>
          </w:tcPr>
          <w:p w14:paraId="36B5B2EE"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739E3005"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16A52EAC"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59FC43E4"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tcPr>
          <w:p w14:paraId="3DC55FA4"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-Search in systematic reviews.</w:t>
            </w:r>
          </w:p>
          <w:p w14:paraId="57F2D9F0"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lastRenderedPageBreak/>
              <w:t xml:space="preserve">-High quality EB guidelines on the web e.g., Asian guidelines 2022.   </w:t>
            </w:r>
          </w:p>
          <w:p w14:paraId="1A9FB158"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-Literature publications  </w:t>
            </w:r>
          </w:p>
          <w:p w14:paraId="7B6338AF"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All are Included in reference list and are freely downloadable from their official sites clearly stated at the end in reference list </w:t>
            </w:r>
          </w:p>
          <w:p w14:paraId="288288DD"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r>
      <w:tr w:rsidR="00672A15" w:rsidRPr="00E85C29" w14:paraId="59257A15" w14:textId="77777777" w:rsidTr="00672A15">
        <w:trPr>
          <w:trHeight w:val="440"/>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6DB6B421"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1529445C"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Assessment of the certainty of the body of evidence and strength of recommendation</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6B304653"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3606D43E"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3F090C31"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r>
      <w:tr w:rsidR="00672A15" w:rsidRPr="00E85C29" w14:paraId="129C84CE"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0DC96002"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w:t>
            </w:r>
          </w:p>
          <w:p w14:paraId="0174E12E"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w:t>
            </w:r>
          </w:p>
          <w:p w14:paraId="7BEF5AE1"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22</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287E5A49"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approach used to assess the certainty/quality of the body/</w:t>
            </w:r>
            <w:proofErr w:type="spellStart"/>
            <w:r w:rsidRPr="00E85C29">
              <w:rPr>
                <w:rFonts w:ascii="Times New Roman" w:hAnsi="Times New Roman" w:cs="Times New Roman"/>
                <w:bCs/>
                <w:color w:val="181717"/>
                <w:sz w:val="18"/>
                <w:szCs w:val="18"/>
              </w:rPr>
              <w:t>ies</w:t>
            </w:r>
            <w:proofErr w:type="spellEnd"/>
            <w:r w:rsidRPr="00E85C29">
              <w:rPr>
                <w:rFonts w:ascii="Times New Roman" w:hAnsi="Times New Roman" w:cs="Times New Roman"/>
                <w:bCs/>
                <w:color w:val="181717"/>
                <w:sz w:val="18"/>
                <w:szCs w:val="18"/>
              </w:rPr>
              <w:t xml:space="preserve"> of evidence and the strength of recommendations in the adapted guideline and note any differences (if applicable) compared to the source guideline(s).</w:t>
            </w:r>
          </w:p>
        </w:tc>
        <w:tc>
          <w:tcPr>
            <w:tcW w:w="1170" w:type="dxa"/>
            <w:gridSpan w:val="2"/>
            <w:tcBorders>
              <w:top w:val="single" w:sz="4" w:space="0" w:color="auto"/>
              <w:left w:val="single" w:sz="4" w:space="0" w:color="auto"/>
              <w:bottom w:val="single" w:sz="4" w:space="0" w:color="auto"/>
              <w:right w:val="single" w:sz="4" w:space="0" w:color="auto"/>
            </w:tcBorders>
            <w:hideMark/>
          </w:tcPr>
          <w:p w14:paraId="125A5ACB"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highlight w:val="yellow"/>
              </w:rPr>
              <w:t>Yes</w:t>
            </w:r>
          </w:p>
          <w:p w14:paraId="2F59E108"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261ACE18"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D612E8E"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75 (Adaptation process)</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4443F47F"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-Three source guidelines recommendations may be different in some diagnosis or treatment statements areas.</w:t>
            </w:r>
          </w:p>
          <w:p w14:paraId="7E07902A"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-EPG selection for which to choose was based on certainty, evidence strength, availability, local limiting factors, </w:t>
            </w:r>
            <w:proofErr w:type="gramStart"/>
            <w:r w:rsidRPr="00E85C29">
              <w:rPr>
                <w:rFonts w:ascii="Times New Roman" w:hAnsi="Times New Roman" w:cs="Times New Roman"/>
                <w:bCs/>
                <w:color w:val="181717"/>
                <w:sz w:val="18"/>
                <w:szCs w:val="18"/>
              </w:rPr>
              <w:t>applicability ,etc</w:t>
            </w:r>
            <w:proofErr w:type="gramEnd"/>
            <w:r w:rsidRPr="00E85C29">
              <w:rPr>
                <w:rFonts w:ascii="Times New Roman" w:hAnsi="Times New Roman" w:cs="Times New Roman"/>
                <w:bCs/>
                <w:color w:val="181717"/>
                <w:sz w:val="18"/>
                <w:szCs w:val="18"/>
              </w:rPr>
              <w:t xml:space="preserve">. </w:t>
            </w:r>
          </w:p>
          <w:p w14:paraId="033287E8"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We decided not to conduct further assessment of the certainty of the body of evidence and the strength of recommendation and relied on the high standardized domain score of domains 3 (rigor of development) of the AGREE 11 appraisal and the evidence-base of the three source CPGs and whenever relevant their grading of recommendations: Assessment,</w:t>
            </w:r>
          </w:p>
          <w:p w14:paraId="44949171"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Development, and Evaluation (GRADE) evidence profiles.</w:t>
            </w:r>
          </w:p>
        </w:tc>
      </w:tr>
      <w:tr w:rsidR="00672A15" w:rsidRPr="00E85C29" w14:paraId="0C1B6687"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2F2F2"/>
          </w:tcPr>
          <w:p w14:paraId="199F9AC5"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1B01396E"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Decision-making processes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1904FDD7"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6F8AE284"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3E20D1BF"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37CD6828"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1239103A"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w:t>
            </w:r>
          </w:p>
          <w:p w14:paraId="323049FA" w14:textId="77777777" w:rsidR="00672A15" w:rsidRPr="00E85C29" w:rsidRDefault="00672A15" w:rsidP="00672A15">
            <w:pPr>
              <w:tabs>
                <w:tab w:val="left" w:pos="8010"/>
              </w:tabs>
              <w:ind w:left="-90" w:right="-10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23</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0192CB8C"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processes used by the guideline adaptation group to make decisions, particularly the formulation of recommendations.</w:t>
            </w:r>
          </w:p>
        </w:tc>
        <w:tc>
          <w:tcPr>
            <w:tcW w:w="1170" w:type="dxa"/>
            <w:gridSpan w:val="2"/>
            <w:tcBorders>
              <w:top w:val="single" w:sz="4" w:space="0" w:color="auto"/>
              <w:left w:val="single" w:sz="4" w:space="0" w:color="auto"/>
              <w:bottom w:val="single" w:sz="4" w:space="0" w:color="auto"/>
              <w:right w:val="single" w:sz="4" w:space="0" w:color="auto"/>
            </w:tcBorders>
            <w:hideMark/>
          </w:tcPr>
          <w:p w14:paraId="77977786"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08D13C55"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5E043011"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61B4D5F0"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tcPr>
          <w:p w14:paraId="71804940"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p w14:paraId="6187201F"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*We </w:t>
            </w:r>
            <w:r w:rsidRPr="00E85C29">
              <w:rPr>
                <w:rFonts w:ascii="Times New Roman" w:hAnsi="Times New Roman" w:cs="Times New Roman"/>
                <w:bCs/>
                <w:color w:val="181717"/>
                <w:sz w:val="18"/>
                <w:szCs w:val="18"/>
                <w:u w:val="single"/>
              </w:rPr>
              <w:t>Adopt</w:t>
            </w:r>
            <w:r w:rsidRPr="00E85C29">
              <w:rPr>
                <w:rFonts w:ascii="Times New Roman" w:hAnsi="Times New Roman" w:cs="Times New Roman"/>
                <w:bCs/>
                <w:color w:val="181717"/>
                <w:sz w:val="18"/>
                <w:szCs w:val="18"/>
              </w:rPr>
              <w:t xml:space="preserve"> statements approved by the three CPGs that match disease profile in the Egyptian Community and health care context.</w:t>
            </w:r>
          </w:p>
          <w:p w14:paraId="17E8397A"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*We </w:t>
            </w:r>
            <w:r w:rsidRPr="00E85C29">
              <w:rPr>
                <w:rFonts w:ascii="Times New Roman" w:hAnsi="Times New Roman" w:cs="Times New Roman"/>
                <w:bCs/>
                <w:color w:val="181717"/>
                <w:sz w:val="18"/>
                <w:szCs w:val="18"/>
                <w:u w:val="single"/>
              </w:rPr>
              <w:t xml:space="preserve">adapted </w:t>
            </w:r>
            <w:r w:rsidRPr="00E85C29">
              <w:rPr>
                <w:rFonts w:ascii="Times New Roman" w:hAnsi="Times New Roman" w:cs="Times New Roman"/>
                <w:bCs/>
                <w:color w:val="181717"/>
                <w:sz w:val="18"/>
                <w:szCs w:val="18"/>
              </w:rPr>
              <w:t xml:space="preserve">few to match disease </w:t>
            </w:r>
            <w:r w:rsidRPr="00E85C29">
              <w:rPr>
                <w:rFonts w:ascii="Times New Roman" w:hAnsi="Times New Roman" w:cs="Times New Roman"/>
                <w:bCs/>
                <w:color w:val="181717"/>
                <w:sz w:val="18"/>
                <w:szCs w:val="18"/>
              </w:rPr>
              <w:lastRenderedPageBreak/>
              <w:t>profile in our community e.g., high-rate consanguinity, infections.</w:t>
            </w:r>
          </w:p>
          <w:p w14:paraId="42F1CC98"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-Available facilities and expertise </w:t>
            </w:r>
          </w:p>
          <w:p w14:paraId="5142C3CD"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Drug costs </w:t>
            </w:r>
          </w:p>
          <w:p w14:paraId="095E6E7C"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-patient compliance </w:t>
            </w:r>
          </w:p>
          <w:p w14:paraId="06C14AD1"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-Local Health system settings </w:t>
            </w:r>
          </w:p>
          <w:p w14:paraId="405FD724"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-Medical insurance system.</w:t>
            </w:r>
          </w:p>
        </w:tc>
      </w:tr>
      <w:tr w:rsidR="00672A15" w:rsidRPr="00E85C29" w14:paraId="4C703D7D"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BFBFBF"/>
          </w:tcPr>
          <w:p w14:paraId="5E218578" w14:textId="77777777" w:rsidR="00672A15" w:rsidRPr="00E85C29" w:rsidRDefault="00672A15" w:rsidP="00672A15">
            <w:pPr>
              <w:tabs>
                <w:tab w:val="left" w:pos="8010"/>
              </w:tabs>
              <w:ind w:left="-90" w:right="-10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BFBFBF"/>
            <w:hideMark/>
          </w:tcPr>
          <w:p w14:paraId="470A3C9D" w14:textId="77777777" w:rsidR="00672A15" w:rsidRPr="00E85C29" w:rsidRDefault="00672A15" w:rsidP="00672A15">
            <w:pPr>
              <w:tabs>
                <w:tab w:val="left" w:pos="4572"/>
                <w:tab w:val="left" w:pos="8010"/>
              </w:tabs>
              <w:ind w:left="-90" w:right="162"/>
              <w:rPr>
                <w:rFonts w:ascii="Times New Roman" w:hAnsi="Times New Roman" w:cs="Times New Roman"/>
                <w:bCs/>
                <w:sz w:val="18"/>
                <w:szCs w:val="18"/>
              </w:rPr>
            </w:pPr>
            <w:r w:rsidRPr="00E85C29">
              <w:rPr>
                <w:rFonts w:ascii="Times New Roman" w:hAnsi="Times New Roman" w:cs="Times New Roman"/>
                <w:bCs/>
                <w:sz w:val="18"/>
                <w:szCs w:val="18"/>
              </w:rPr>
              <w:t>Recommendations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EC41BB7" w14:textId="77777777" w:rsidR="00672A15" w:rsidRPr="00E85C29" w:rsidRDefault="00672A15" w:rsidP="00672A15">
            <w:pPr>
              <w:tabs>
                <w:tab w:val="left" w:pos="8010"/>
              </w:tabs>
              <w:ind w:left="-90"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Assessment </w:t>
            </w:r>
          </w:p>
        </w:tc>
        <w:tc>
          <w:tcPr>
            <w:tcW w:w="180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74681CA9"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Pages </w:t>
            </w:r>
          </w:p>
        </w:tc>
        <w:tc>
          <w:tcPr>
            <w:tcW w:w="1725"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59206FDC"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Notes</w:t>
            </w:r>
          </w:p>
        </w:tc>
      </w:tr>
      <w:tr w:rsidR="00672A15" w:rsidRPr="00E85C29" w14:paraId="66B3C242" w14:textId="77777777" w:rsidTr="00672A15">
        <w:tc>
          <w:tcPr>
            <w:tcW w:w="450" w:type="dxa"/>
            <w:tcBorders>
              <w:top w:val="single" w:sz="4" w:space="0" w:color="auto"/>
              <w:left w:val="single" w:sz="4" w:space="0" w:color="auto"/>
              <w:bottom w:val="single" w:sz="4" w:space="0" w:color="auto"/>
              <w:right w:val="single" w:sz="4" w:space="0" w:color="auto"/>
            </w:tcBorders>
            <w:shd w:val="clear" w:color="auto" w:fill="F2F2F2"/>
          </w:tcPr>
          <w:p w14:paraId="08F3B3D6" w14:textId="77777777" w:rsidR="00672A15" w:rsidRPr="00E85C29" w:rsidRDefault="00672A15" w:rsidP="00672A15">
            <w:pPr>
              <w:tabs>
                <w:tab w:val="left" w:pos="8010"/>
              </w:tabs>
              <w:ind w:left="-90" w:right="-10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0846E0E7" w14:textId="77777777" w:rsidR="00672A15" w:rsidRPr="00E85C29" w:rsidRDefault="00672A15" w:rsidP="00672A15">
            <w:pPr>
              <w:tabs>
                <w:tab w:val="left" w:pos="4572"/>
                <w:tab w:val="left" w:pos="8010"/>
              </w:tabs>
              <w:ind w:left="-90" w:right="162"/>
              <w:rPr>
                <w:rFonts w:ascii="Times New Roman" w:hAnsi="Times New Roman" w:cs="Times New Roman"/>
                <w:bCs/>
                <w:sz w:val="18"/>
                <w:szCs w:val="18"/>
              </w:rPr>
            </w:pPr>
            <w:r w:rsidRPr="00E85C29">
              <w:rPr>
                <w:rFonts w:ascii="Times New Roman" w:hAnsi="Times New Roman" w:cs="Times New Roman"/>
                <w:bCs/>
                <w:sz w:val="18"/>
                <w:szCs w:val="18"/>
              </w:rPr>
              <w:t>Recommendations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D9D9D9"/>
          </w:tcPr>
          <w:p w14:paraId="222EAE53"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D9D9D9"/>
          </w:tcPr>
          <w:p w14:paraId="73E266AA"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D9D9D9"/>
          </w:tcPr>
          <w:p w14:paraId="4F8970A8"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55A6233D"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19304707" w14:textId="77777777" w:rsidR="00672A15" w:rsidRPr="00E85C29" w:rsidRDefault="00672A15" w:rsidP="00672A15">
            <w:pPr>
              <w:tabs>
                <w:tab w:val="left" w:pos="8010"/>
              </w:tabs>
              <w:ind w:left="-90" w:right="-108"/>
              <w:rPr>
                <w:rFonts w:ascii="Times New Roman" w:hAnsi="Times New Roman" w:cs="Times New Roman"/>
                <w:bCs/>
                <w:sz w:val="18"/>
                <w:szCs w:val="18"/>
              </w:rPr>
            </w:pPr>
            <w:r w:rsidRPr="00E85C29">
              <w:rPr>
                <w:rFonts w:ascii="Times New Roman" w:hAnsi="Times New Roman" w:cs="Times New Roman"/>
                <w:bCs/>
                <w:sz w:val="18"/>
                <w:szCs w:val="18"/>
              </w:rPr>
              <w:t xml:space="preserve"> 24</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6C21A458" w14:textId="77777777" w:rsidR="00672A15" w:rsidRPr="00E85C29" w:rsidRDefault="00672A15" w:rsidP="00672A15">
            <w:pPr>
              <w:tabs>
                <w:tab w:val="left" w:pos="72"/>
                <w:tab w:val="left" w:pos="4572"/>
                <w:tab w:val="left" w:pos="8010"/>
              </w:tabs>
              <w:ind w:left="-90" w:right="162"/>
              <w:rPr>
                <w:rFonts w:ascii="Times New Roman" w:hAnsi="Times New Roman" w:cs="Times New Roman"/>
                <w:bCs/>
                <w:sz w:val="18"/>
                <w:szCs w:val="18"/>
              </w:rPr>
            </w:pPr>
            <w:r w:rsidRPr="00E85C29">
              <w:rPr>
                <w:rFonts w:ascii="Times New Roman" w:hAnsi="Times New Roman" w:cs="Times New Roman"/>
                <w:bCs/>
                <w:color w:val="181717"/>
                <w:sz w:val="18"/>
                <w:szCs w:val="18"/>
              </w:rPr>
              <w:t xml:space="preserve">Report recommendations and indicate whether they were adapted, adopted, or </w:t>
            </w:r>
            <w:r w:rsidRPr="00E85C29">
              <w:rPr>
                <w:rFonts w:ascii="Times New Roman" w:hAnsi="Times New Roman" w:cs="Times New Roman"/>
                <w:bCs/>
                <w:i/>
                <w:color w:val="181717"/>
                <w:sz w:val="18"/>
                <w:szCs w:val="18"/>
              </w:rPr>
              <w:t>de novo</w:t>
            </w:r>
            <w:r w:rsidRPr="00E85C29">
              <w:rPr>
                <w:rFonts w:ascii="Times New Roman" w:hAnsi="Times New Roman" w:cs="Times New Roman"/>
                <w:bCs/>
                <w:color w:val="181717"/>
                <w:sz w:val="18"/>
                <w:szCs w:val="18"/>
              </w:rPr>
              <w:t>.</w:t>
            </w:r>
          </w:p>
        </w:tc>
        <w:tc>
          <w:tcPr>
            <w:tcW w:w="1170" w:type="dxa"/>
            <w:gridSpan w:val="2"/>
            <w:tcBorders>
              <w:top w:val="single" w:sz="4" w:space="0" w:color="auto"/>
              <w:left w:val="single" w:sz="4" w:space="0" w:color="auto"/>
              <w:bottom w:val="single" w:sz="4" w:space="0" w:color="auto"/>
              <w:right w:val="single" w:sz="4" w:space="0" w:color="auto"/>
            </w:tcBorders>
            <w:hideMark/>
          </w:tcPr>
          <w:p w14:paraId="61AAA4C6"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6A8033D7"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5351BF3B"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2222B81"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33-66</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73EBAB02"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-Adopted from three source CPGs</w:t>
            </w:r>
          </w:p>
          <w:p w14:paraId="330C5FF2"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-Added other recommendations and practice points.</w:t>
            </w:r>
          </w:p>
          <w:p w14:paraId="7CC986D3"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-Some recommendation statements were modified with cited evidence or good practice points.</w:t>
            </w:r>
          </w:p>
          <w:p w14:paraId="5A464A88"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-See article discussion </w:t>
            </w:r>
          </w:p>
        </w:tc>
      </w:tr>
      <w:tr w:rsidR="00672A15" w:rsidRPr="00E85C29" w14:paraId="51FBE72B"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61A2C136" w14:textId="77777777" w:rsidR="00672A15" w:rsidRPr="00E85C29" w:rsidRDefault="00672A15" w:rsidP="00672A15">
            <w:pPr>
              <w:tabs>
                <w:tab w:val="left" w:pos="8010"/>
              </w:tabs>
              <w:ind w:left="-90" w:right="-108"/>
              <w:rPr>
                <w:rFonts w:ascii="Times New Roman" w:hAnsi="Times New Roman" w:cs="Times New Roman"/>
                <w:bCs/>
                <w:sz w:val="18"/>
                <w:szCs w:val="18"/>
              </w:rPr>
            </w:pPr>
            <w:r w:rsidRPr="00E85C29">
              <w:rPr>
                <w:rFonts w:ascii="Times New Roman" w:hAnsi="Times New Roman" w:cs="Times New Roman"/>
                <w:bCs/>
                <w:sz w:val="18"/>
                <w:szCs w:val="18"/>
              </w:rPr>
              <w:t xml:space="preserve"> 25</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3BDB1D98" w14:textId="77777777" w:rsidR="00672A15" w:rsidRPr="00E85C29" w:rsidRDefault="00672A15" w:rsidP="00672A15">
            <w:pPr>
              <w:tabs>
                <w:tab w:val="left" w:pos="72"/>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Indicate the direction and strength of the recommendations and the certainty/quality of the supporting evidence and note any differences compared to the source recommendations(s) (if applicable).</w:t>
            </w:r>
          </w:p>
        </w:tc>
        <w:tc>
          <w:tcPr>
            <w:tcW w:w="1170" w:type="dxa"/>
            <w:gridSpan w:val="2"/>
            <w:tcBorders>
              <w:top w:val="single" w:sz="4" w:space="0" w:color="auto"/>
              <w:left w:val="single" w:sz="4" w:space="0" w:color="auto"/>
              <w:bottom w:val="single" w:sz="4" w:space="0" w:color="auto"/>
              <w:right w:val="single" w:sz="4" w:space="0" w:color="auto"/>
            </w:tcBorders>
            <w:hideMark/>
          </w:tcPr>
          <w:p w14:paraId="600B160D"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2459D5A7"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256634D9"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D061FC1"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33-66 </w:t>
            </w:r>
          </w:p>
          <w:p w14:paraId="4EFD0E6C"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(Recommendations)</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5D1F20DF"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-See article discussion </w:t>
            </w:r>
          </w:p>
          <w:p w14:paraId="0E3CEA79" w14:textId="77777777" w:rsidR="00672A15" w:rsidRPr="00E85C29" w:rsidRDefault="00672A15" w:rsidP="00672A15">
            <w:pPr>
              <w:tabs>
                <w:tab w:val="left" w:pos="8010"/>
              </w:tabs>
              <w:ind w:left="-9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-Rationale of recommendations at guideline recommendation </w:t>
            </w:r>
          </w:p>
        </w:tc>
      </w:tr>
      <w:tr w:rsidR="00672A15" w:rsidRPr="00E85C29" w14:paraId="6D55542C"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47E033D6" w14:textId="77777777" w:rsidR="00672A15" w:rsidRPr="00E85C29" w:rsidRDefault="00672A15" w:rsidP="00672A15">
            <w:pPr>
              <w:tabs>
                <w:tab w:val="left" w:pos="8010"/>
              </w:tabs>
              <w:ind w:left="-90" w:right="-108"/>
              <w:rPr>
                <w:rFonts w:ascii="Times New Roman" w:hAnsi="Times New Roman" w:cs="Times New Roman"/>
                <w:bCs/>
                <w:sz w:val="18"/>
                <w:szCs w:val="18"/>
              </w:rPr>
            </w:pPr>
            <w:r w:rsidRPr="00E85C29">
              <w:rPr>
                <w:rFonts w:ascii="Times New Roman" w:hAnsi="Times New Roman" w:cs="Times New Roman"/>
                <w:bCs/>
                <w:sz w:val="18"/>
                <w:szCs w:val="18"/>
              </w:rPr>
              <w:t xml:space="preserve"> 26</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7F318310" w14:textId="77777777" w:rsidR="00672A15" w:rsidRPr="00E85C29" w:rsidRDefault="00672A15" w:rsidP="00672A15">
            <w:pPr>
              <w:tabs>
                <w:tab w:val="left" w:pos="72"/>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Present separate recommendations for important subgroups if the evidence suggests important differences in factors influencing recommendations and note any differences compared to the source recommendations(s) (if applicable).</w:t>
            </w:r>
          </w:p>
        </w:tc>
        <w:tc>
          <w:tcPr>
            <w:tcW w:w="1170" w:type="dxa"/>
            <w:gridSpan w:val="2"/>
            <w:tcBorders>
              <w:top w:val="single" w:sz="4" w:space="0" w:color="auto"/>
              <w:left w:val="single" w:sz="4" w:space="0" w:color="auto"/>
              <w:bottom w:val="single" w:sz="4" w:space="0" w:color="auto"/>
              <w:right w:val="single" w:sz="4" w:space="0" w:color="auto"/>
            </w:tcBorders>
            <w:hideMark/>
          </w:tcPr>
          <w:p w14:paraId="297DF35A"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5FED84F5"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36128CDC"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0B2B64F"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33-66</w:t>
            </w:r>
          </w:p>
          <w:p w14:paraId="630894C4"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(Recommendations. )</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5B401984"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w:t>
            </w:r>
            <w:proofErr w:type="spellStart"/>
            <w:r w:rsidRPr="00E85C29">
              <w:rPr>
                <w:rFonts w:ascii="Times New Roman" w:hAnsi="Times New Roman" w:cs="Times New Roman"/>
                <w:bCs/>
                <w:color w:val="181717"/>
                <w:sz w:val="18"/>
                <w:szCs w:val="18"/>
              </w:rPr>
              <w:t>Seearticle</w:t>
            </w:r>
            <w:proofErr w:type="spellEnd"/>
            <w:r w:rsidRPr="00E85C29">
              <w:rPr>
                <w:rFonts w:ascii="Times New Roman" w:hAnsi="Times New Roman" w:cs="Times New Roman"/>
                <w:bCs/>
                <w:color w:val="181717"/>
                <w:sz w:val="18"/>
                <w:szCs w:val="18"/>
              </w:rPr>
              <w:t xml:space="preserve"> discussion </w:t>
            </w:r>
          </w:p>
          <w:p w14:paraId="451FBAFD"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-Rationale of recommendations</w:t>
            </w:r>
          </w:p>
        </w:tc>
      </w:tr>
      <w:tr w:rsidR="00672A15" w:rsidRPr="00E85C29" w14:paraId="2CCDCC53"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7D8B1B22" w14:textId="77777777" w:rsidR="00672A15" w:rsidRPr="00E85C29" w:rsidRDefault="00672A15" w:rsidP="00672A15">
            <w:pPr>
              <w:tabs>
                <w:tab w:val="left" w:pos="8010"/>
              </w:tabs>
              <w:ind w:left="-90" w:right="-10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5C9CF0FE"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Rationale/explanation for recommendations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0BD6340B"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33972F76"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4A0494D0"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r>
      <w:tr w:rsidR="00672A15" w:rsidRPr="00E85C29" w14:paraId="1BF7277C"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6E24610B" w14:textId="77777777" w:rsidR="00672A15" w:rsidRPr="00E85C29" w:rsidRDefault="00672A15" w:rsidP="00672A15">
            <w:pPr>
              <w:tabs>
                <w:tab w:val="left" w:pos="8010"/>
              </w:tabs>
              <w:ind w:left="-90" w:right="-108"/>
              <w:rPr>
                <w:rFonts w:ascii="Times New Roman" w:hAnsi="Times New Roman" w:cs="Times New Roman"/>
                <w:bCs/>
                <w:sz w:val="18"/>
                <w:szCs w:val="18"/>
              </w:rPr>
            </w:pPr>
            <w:r w:rsidRPr="00E85C29">
              <w:rPr>
                <w:rFonts w:ascii="Times New Roman" w:hAnsi="Times New Roman" w:cs="Times New Roman"/>
                <w:bCs/>
                <w:sz w:val="18"/>
                <w:szCs w:val="18"/>
              </w:rPr>
              <w:t xml:space="preserve"> 27</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04ABDB7C"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criteria/factors that were considered to formulate the recommendations or note any relevant differences compared to the source guideline(s) (if applicable).</w:t>
            </w:r>
          </w:p>
        </w:tc>
        <w:tc>
          <w:tcPr>
            <w:tcW w:w="1170" w:type="dxa"/>
            <w:gridSpan w:val="2"/>
            <w:tcBorders>
              <w:top w:val="single" w:sz="4" w:space="0" w:color="auto"/>
              <w:left w:val="single" w:sz="4" w:space="0" w:color="auto"/>
              <w:bottom w:val="single" w:sz="4" w:space="0" w:color="auto"/>
              <w:right w:val="single" w:sz="4" w:space="0" w:color="auto"/>
            </w:tcBorders>
            <w:hideMark/>
          </w:tcPr>
          <w:p w14:paraId="500FDA85"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0B3EFC2F"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0A5D3EB7"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363BA954"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33-66</w:t>
            </w:r>
          </w:p>
          <w:p w14:paraId="29DBD3DC"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(Recommendations )</w:t>
            </w:r>
          </w:p>
          <w:p w14:paraId="715B5850"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5857FA82"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-Rationale of all recommendations is discussing such factors with each statement, to support stakeholder decision towards </w:t>
            </w:r>
          </w:p>
          <w:p w14:paraId="42323A66"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Certain issue. </w:t>
            </w:r>
          </w:p>
        </w:tc>
      </w:tr>
      <w:tr w:rsidR="00672A15" w:rsidRPr="00E85C29" w14:paraId="3000875E" w14:textId="77777777" w:rsidTr="00672A15">
        <w:trPr>
          <w:trHeight w:val="197"/>
        </w:trPr>
        <w:tc>
          <w:tcPr>
            <w:tcW w:w="450" w:type="dxa"/>
            <w:tcBorders>
              <w:top w:val="single" w:sz="4" w:space="0" w:color="auto"/>
              <w:left w:val="single" w:sz="4" w:space="0" w:color="auto"/>
              <w:bottom w:val="single" w:sz="4" w:space="0" w:color="auto"/>
              <w:right w:val="single" w:sz="4" w:space="0" w:color="auto"/>
            </w:tcBorders>
            <w:shd w:val="clear" w:color="auto" w:fill="BFBFBF"/>
          </w:tcPr>
          <w:p w14:paraId="73B27E02" w14:textId="77777777" w:rsidR="00672A15" w:rsidRPr="00E85C29" w:rsidRDefault="00672A15" w:rsidP="00672A15">
            <w:pPr>
              <w:tabs>
                <w:tab w:val="left" w:pos="8010"/>
              </w:tabs>
              <w:ind w:left="-90" w:right="-10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BFBFBF"/>
            <w:hideMark/>
          </w:tcPr>
          <w:p w14:paraId="21991B40"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sz w:val="18"/>
                <w:szCs w:val="18"/>
              </w:rPr>
              <w:t>External review and quality assurance</w:t>
            </w:r>
          </w:p>
        </w:tc>
        <w:tc>
          <w:tcPr>
            <w:tcW w:w="1170" w:type="dxa"/>
            <w:gridSpan w:val="2"/>
            <w:tcBorders>
              <w:top w:val="single" w:sz="4" w:space="0" w:color="auto"/>
              <w:left w:val="single" w:sz="4" w:space="0" w:color="auto"/>
              <w:bottom w:val="single" w:sz="4" w:space="0" w:color="auto"/>
              <w:right w:val="single" w:sz="4" w:space="0" w:color="auto"/>
            </w:tcBorders>
            <w:shd w:val="clear" w:color="auto" w:fill="BFBFBF"/>
          </w:tcPr>
          <w:p w14:paraId="09B717EE"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BFBFBF"/>
          </w:tcPr>
          <w:p w14:paraId="501DC958"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BFBFBF"/>
          </w:tcPr>
          <w:p w14:paraId="21C2248A"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17AF2917" w14:textId="77777777" w:rsidTr="00672A15">
        <w:trPr>
          <w:trHeight w:val="152"/>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1F55F4B2" w14:textId="77777777" w:rsidR="00672A15" w:rsidRPr="00E85C29" w:rsidRDefault="00672A15" w:rsidP="00672A15">
            <w:pPr>
              <w:tabs>
                <w:tab w:val="left" w:pos="8010"/>
              </w:tabs>
              <w:ind w:left="-90" w:right="-10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3F991872"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sz w:val="18"/>
                <w:szCs w:val="18"/>
              </w:rPr>
              <w:t>External review</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6F4BA7B3"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446D7982"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36DB5741"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7E69B6E4"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35C80DFB" w14:textId="77777777" w:rsidR="00672A15" w:rsidRPr="00E85C29" w:rsidRDefault="00672A15" w:rsidP="00672A15">
            <w:pPr>
              <w:tabs>
                <w:tab w:val="left" w:pos="8010"/>
              </w:tabs>
              <w:ind w:left="-90" w:right="-108"/>
              <w:rPr>
                <w:rFonts w:ascii="Times New Roman" w:hAnsi="Times New Roman" w:cs="Times New Roman"/>
                <w:bCs/>
                <w:sz w:val="18"/>
                <w:szCs w:val="18"/>
              </w:rPr>
            </w:pPr>
            <w:r w:rsidRPr="00E85C29">
              <w:rPr>
                <w:rFonts w:ascii="Times New Roman" w:hAnsi="Times New Roman" w:cs="Times New Roman"/>
                <w:bCs/>
                <w:sz w:val="18"/>
                <w:szCs w:val="18"/>
              </w:rPr>
              <w:t xml:space="preserve"> 28</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56CD199E"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Indicate whether the adapted guideline underwent an independent external review. If yes, describe the process.</w:t>
            </w:r>
          </w:p>
        </w:tc>
        <w:tc>
          <w:tcPr>
            <w:tcW w:w="1170" w:type="dxa"/>
            <w:gridSpan w:val="2"/>
            <w:tcBorders>
              <w:top w:val="single" w:sz="4" w:space="0" w:color="auto"/>
              <w:left w:val="single" w:sz="4" w:space="0" w:color="auto"/>
              <w:bottom w:val="single" w:sz="4" w:space="0" w:color="auto"/>
              <w:right w:val="single" w:sz="4" w:space="0" w:color="auto"/>
            </w:tcBorders>
            <w:hideMark/>
          </w:tcPr>
          <w:p w14:paraId="155CAE86"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1FA00247"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58842F17"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620F6244"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339AD8A"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Local and international reviewers shared validation of the draft. KDIGO assigned </w:t>
            </w:r>
            <w:proofErr w:type="spellStart"/>
            <w:r w:rsidRPr="00E85C29">
              <w:rPr>
                <w:rFonts w:ascii="Times New Roman" w:hAnsi="Times New Roman" w:cs="Times New Roman"/>
                <w:bCs/>
                <w:color w:val="181717"/>
                <w:sz w:val="18"/>
                <w:szCs w:val="18"/>
              </w:rPr>
              <w:t>Dr</w:t>
            </w:r>
            <w:proofErr w:type="spellEnd"/>
            <w:r w:rsidRPr="00E85C29">
              <w:rPr>
                <w:rFonts w:ascii="Times New Roman" w:hAnsi="Times New Roman" w:cs="Times New Roman"/>
                <w:bCs/>
                <w:color w:val="181717"/>
                <w:sz w:val="18"/>
                <w:szCs w:val="18"/>
              </w:rPr>
              <w:t xml:space="preserve"> </w:t>
            </w:r>
            <w:proofErr w:type="spellStart"/>
            <w:proofErr w:type="gramStart"/>
            <w:r w:rsidRPr="00E85C29">
              <w:rPr>
                <w:rFonts w:ascii="Times New Roman" w:hAnsi="Times New Roman" w:cs="Times New Roman"/>
                <w:bCs/>
                <w:color w:val="181717"/>
                <w:sz w:val="18"/>
                <w:szCs w:val="18"/>
              </w:rPr>
              <w:t>Fedirica</w:t>
            </w:r>
            <w:proofErr w:type="spellEnd"/>
            <w:r w:rsidRPr="00E85C29">
              <w:rPr>
                <w:rFonts w:ascii="Times New Roman" w:hAnsi="Times New Roman" w:cs="Times New Roman"/>
                <w:bCs/>
                <w:color w:val="181717"/>
                <w:sz w:val="18"/>
                <w:szCs w:val="18"/>
              </w:rPr>
              <w:t xml:space="preserve">  </w:t>
            </w:r>
            <w:proofErr w:type="spellStart"/>
            <w:r w:rsidRPr="00E85C29">
              <w:rPr>
                <w:rFonts w:ascii="Times New Roman" w:hAnsi="Times New Roman" w:cs="Times New Roman"/>
                <w:bCs/>
                <w:color w:val="181717"/>
                <w:sz w:val="18"/>
                <w:szCs w:val="18"/>
              </w:rPr>
              <w:t>zotta</w:t>
            </w:r>
            <w:proofErr w:type="spellEnd"/>
            <w:proofErr w:type="gramEnd"/>
            <w:r w:rsidRPr="00E85C29">
              <w:rPr>
                <w:rFonts w:ascii="Times New Roman" w:hAnsi="Times New Roman" w:cs="Times New Roman"/>
                <w:bCs/>
                <w:color w:val="181717"/>
                <w:sz w:val="18"/>
                <w:szCs w:val="18"/>
              </w:rPr>
              <w:t xml:space="preserve"> from Italy  . 3 local professors of PN representing different universities who are known as    international figures   in PN. </w:t>
            </w:r>
          </w:p>
          <w:p w14:paraId="56C32AA6"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-Disclosure documents are included in guideline appendix </w:t>
            </w:r>
          </w:p>
          <w:p w14:paraId="1847FFE5"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lastRenderedPageBreak/>
              <w:t xml:space="preserve">-Interactive virtual meetings for focus group discussion of their comments </w:t>
            </w:r>
          </w:p>
          <w:p w14:paraId="1D30B9A7"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-Final draft of the adapted CPG included all reviewed comments.   Dr Zotta revised two times and approved the final draft. </w:t>
            </w:r>
          </w:p>
          <w:p w14:paraId="714EFDC1"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-All documents for online zoom meetings are available at EPG secretarial office. </w:t>
            </w:r>
          </w:p>
        </w:tc>
      </w:tr>
      <w:tr w:rsidR="00672A15" w:rsidRPr="00E85C29" w14:paraId="7CAE08B8"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389A4AAE" w14:textId="77777777" w:rsidR="00672A15" w:rsidRPr="00E85C29" w:rsidRDefault="00672A15" w:rsidP="00672A15">
            <w:pPr>
              <w:tabs>
                <w:tab w:val="left" w:pos="8010"/>
              </w:tabs>
              <w:ind w:left="-90" w:right="-10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122FC6D0"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Organizational approval</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4DEAC59F"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42AC371C"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63CAF88C"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r>
      <w:tr w:rsidR="00672A15" w:rsidRPr="00E85C29" w14:paraId="4C3A9B49"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3B917055" w14:textId="77777777" w:rsidR="00672A15" w:rsidRPr="00E85C29" w:rsidRDefault="00672A15" w:rsidP="00672A15">
            <w:pPr>
              <w:tabs>
                <w:tab w:val="left" w:pos="8010"/>
              </w:tabs>
              <w:ind w:left="-90" w:right="-108"/>
              <w:rPr>
                <w:rFonts w:ascii="Times New Roman" w:hAnsi="Times New Roman" w:cs="Times New Roman"/>
                <w:bCs/>
                <w:sz w:val="18"/>
                <w:szCs w:val="18"/>
              </w:rPr>
            </w:pPr>
            <w:r w:rsidRPr="00E85C29">
              <w:rPr>
                <w:rFonts w:ascii="Times New Roman" w:hAnsi="Times New Roman" w:cs="Times New Roman"/>
                <w:bCs/>
                <w:sz w:val="18"/>
                <w:szCs w:val="18"/>
              </w:rPr>
              <w:t xml:space="preserve"> 29</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558F3F86"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Indicate whether the adapted guideline obtained organizational approval. If yes, describe the process.</w:t>
            </w:r>
          </w:p>
        </w:tc>
        <w:tc>
          <w:tcPr>
            <w:tcW w:w="1170" w:type="dxa"/>
            <w:gridSpan w:val="2"/>
            <w:tcBorders>
              <w:top w:val="single" w:sz="4" w:space="0" w:color="auto"/>
              <w:left w:val="single" w:sz="4" w:space="0" w:color="auto"/>
              <w:bottom w:val="single" w:sz="4" w:space="0" w:color="auto"/>
              <w:right w:val="single" w:sz="4" w:space="0" w:color="auto"/>
            </w:tcBorders>
            <w:hideMark/>
          </w:tcPr>
          <w:p w14:paraId="7384DEEE"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Yes</w:t>
            </w:r>
          </w:p>
          <w:p w14:paraId="4B6935D7"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No</w:t>
            </w:r>
          </w:p>
          <w:p w14:paraId="1E4349CE"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16732F5E"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tcPr>
          <w:p w14:paraId="5BECE038"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Apart from our National objectives to improve pt. care. we look for regional dissemination in Africa. our partnership with IPNA and KDIGO and hopefully readers of your journal will make dissemination of recommendations more </w:t>
            </w:r>
          </w:p>
          <w:p w14:paraId="2962B197"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rewarding.</w:t>
            </w:r>
          </w:p>
          <w:p w14:paraId="4A43C140"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-Adapted CPGs using high quality source CPGs are very promising for low or limited resources countries like Egypt. </w:t>
            </w:r>
          </w:p>
          <w:p w14:paraId="24599476"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We obtained official approvals and permissions from our source CPGs developer organizations to adapt their CPG to the Egyptian healthcare context via email </w:t>
            </w:r>
            <w:proofErr w:type="gramStart"/>
            <w:r w:rsidRPr="00E85C29">
              <w:rPr>
                <w:rFonts w:ascii="Times New Roman" w:hAnsi="Times New Roman" w:cs="Times New Roman"/>
                <w:bCs/>
                <w:color w:val="181717"/>
                <w:sz w:val="18"/>
                <w:szCs w:val="18"/>
              </w:rPr>
              <w:t>communications .</w:t>
            </w:r>
            <w:proofErr w:type="gramEnd"/>
            <w:r w:rsidRPr="00E85C29">
              <w:rPr>
                <w:rFonts w:ascii="Times New Roman" w:hAnsi="Times New Roman" w:cs="Times New Roman"/>
                <w:bCs/>
                <w:color w:val="181717"/>
                <w:sz w:val="18"/>
                <w:szCs w:val="18"/>
              </w:rPr>
              <w:t xml:space="preserve"> </w:t>
            </w:r>
          </w:p>
          <w:p w14:paraId="1BA12F0A"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p w14:paraId="119640A4"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p>
        </w:tc>
      </w:tr>
      <w:tr w:rsidR="00672A15" w:rsidRPr="00E85C29" w14:paraId="50C05242"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BFBFBF"/>
          </w:tcPr>
          <w:p w14:paraId="7F6412D6" w14:textId="77777777" w:rsidR="00672A15" w:rsidRPr="00E85C29" w:rsidRDefault="00672A15" w:rsidP="00672A15">
            <w:pPr>
              <w:tabs>
                <w:tab w:val="left" w:pos="8010"/>
              </w:tabs>
              <w:ind w:left="-90" w:right="-28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BFBFBF"/>
            <w:hideMark/>
          </w:tcPr>
          <w:p w14:paraId="3D339B58"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sz w:val="18"/>
                <w:szCs w:val="18"/>
              </w:rPr>
              <w:t>Funding, declaration, and management of interest</w:t>
            </w:r>
          </w:p>
        </w:tc>
        <w:tc>
          <w:tcPr>
            <w:tcW w:w="1170" w:type="dxa"/>
            <w:gridSpan w:val="2"/>
            <w:tcBorders>
              <w:top w:val="single" w:sz="4" w:space="0" w:color="auto"/>
              <w:left w:val="single" w:sz="4" w:space="0" w:color="auto"/>
              <w:bottom w:val="single" w:sz="4" w:space="0" w:color="auto"/>
              <w:right w:val="single" w:sz="4" w:space="0" w:color="auto"/>
            </w:tcBorders>
            <w:shd w:val="clear" w:color="auto" w:fill="BFBFBF"/>
          </w:tcPr>
          <w:p w14:paraId="7FDB65B1"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BFBFBF"/>
          </w:tcPr>
          <w:p w14:paraId="1ED938A1"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BFBFBF"/>
          </w:tcPr>
          <w:p w14:paraId="0E5E3FC0"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09E5555F" w14:textId="77777777" w:rsidTr="00672A15">
        <w:trPr>
          <w:trHeight w:val="70"/>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7D209FF0" w14:textId="77777777" w:rsidR="00672A15" w:rsidRPr="00E85C29" w:rsidRDefault="00672A15" w:rsidP="00672A15">
            <w:pPr>
              <w:tabs>
                <w:tab w:val="left" w:pos="8010"/>
              </w:tabs>
              <w:ind w:left="-90" w:right="-28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67A4C4F4" w14:textId="77777777" w:rsidR="00672A15" w:rsidRPr="00E85C29" w:rsidRDefault="00672A15" w:rsidP="00672A15">
            <w:pPr>
              <w:tabs>
                <w:tab w:val="left" w:pos="4572"/>
                <w:tab w:val="left" w:pos="8010"/>
              </w:tabs>
              <w:ind w:left="-90" w:right="162"/>
              <w:rPr>
                <w:rFonts w:ascii="Times New Roman" w:hAnsi="Times New Roman" w:cs="Times New Roman"/>
                <w:bCs/>
                <w:sz w:val="18"/>
                <w:szCs w:val="18"/>
              </w:rPr>
            </w:pPr>
            <w:r w:rsidRPr="00E85C29">
              <w:rPr>
                <w:rFonts w:ascii="Times New Roman" w:hAnsi="Times New Roman" w:cs="Times New Roman"/>
                <w:bCs/>
                <w:sz w:val="18"/>
                <w:szCs w:val="18"/>
              </w:rPr>
              <w:t>Funding source(s) and funder role(s)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3724ADC4"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152B0BFA"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2F772C25"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2057D039"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3E08CD64" w14:textId="77777777" w:rsidR="00672A15" w:rsidRPr="00E85C29" w:rsidRDefault="00672A15" w:rsidP="00672A15">
            <w:pPr>
              <w:tabs>
                <w:tab w:val="left" w:pos="8010"/>
              </w:tabs>
              <w:ind w:left="-90" w:right="-288"/>
              <w:rPr>
                <w:rFonts w:ascii="Times New Roman" w:hAnsi="Times New Roman" w:cs="Times New Roman"/>
                <w:bCs/>
                <w:sz w:val="18"/>
                <w:szCs w:val="18"/>
              </w:rPr>
            </w:pPr>
            <w:r w:rsidRPr="00E85C29">
              <w:rPr>
                <w:rFonts w:ascii="Times New Roman" w:hAnsi="Times New Roman" w:cs="Times New Roman"/>
                <w:bCs/>
                <w:sz w:val="18"/>
                <w:szCs w:val="18"/>
              </w:rPr>
              <w:t xml:space="preserve"> 30</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72BC51C9" w14:textId="77777777" w:rsidR="00672A15" w:rsidRPr="00E85C29" w:rsidRDefault="00672A15" w:rsidP="00672A15">
            <w:pPr>
              <w:tabs>
                <w:tab w:val="left" w:pos="4572"/>
                <w:tab w:val="left" w:pos="8010"/>
              </w:tabs>
              <w:ind w:left="72" w:right="162" w:hanging="18"/>
              <w:rPr>
                <w:rFonts w:ascii="Times New Roman" w:hAnsi="Times New Roman" w:cs="Times New Roman"/>
                <w:bCs/>
                <w:sz w:val="18"/>
                <w:szCs w:val="18"/>
              </w:rPr>
            </w:pPr>
            <w:r w:rsidRPr="00E85C29">
              <w:rPr>
                <w:rFonts w:ascii="Times New Roman" w:hAnsi="Times New Roman" w:cs="Times New Roman"/>
                <w:bCs/>
                <w:color w:val="181717"/>
                <w:sz w:val="18"/>
                <w:szCs w:val="18"/>
              </w:rPr>
              <w:t>Report all sources of funding for the adapted guideline and source guideline(s), and the role of the funders.</w:t>
            </w:r>
          </w:p>
        </w:tc>
        <w:tc>
          <w:tcPr>
            <w:tcW w:w="1170" w:type="dxa"/>
            <w:gridSpan w:val="2"/>
            <w:tcBorders>
              <w:top w:val="single" w:sz="4" w:space="0" w:color="auto"/>
              <w:left w:val="single" w:sz="4" w:space="0" w:color="auto"/>
              <w:bottom w:val="single" w:sz="4" w:space="0" w:color="auto"/>
              <w:right w:val="single" w:sz="4" w:space="0" w:color="auto"/>
            </w:tcBorders>
            <w:hideMark/>
          </w:tcPr>
          <w:p w14:paraId="3D9A91C4"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Yes</w:t>
            </w:r>
          </w:p>
          <w:p w14:paraId="6DD6EEE2"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No</w:t>
            </w:r>
          </w:p>
          <w:p w14:paraId="69973668"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90F199B"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108</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35649BF"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no funding was associated with this National CPG Adaptation project and all contributors were volunteers.  </w:t>
            </w:r>
          </w:p>
        </w:tc>
      </w:tr>
      <w:tr w:rsidR="00672A15" w:rsidRPr="00E85C29" w14:paraId="6B571D12"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63DBD825" w14:textId="77777777" w:rsidR="00672A15" w:rsidRPr="00E85C29" w:rsidRDefault="00672A15" w:rsidP="00672A15">
            <w:pPr>
              <w:tabs>
                <w:tab w:val="left" w:pos="8010"/>
              </w:tabs>
              <w:ind w:left="-90" w:right="-28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0400018D"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Declaration and management of interests</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0F48263D"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5DEFA57C"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4DAC7025"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r>
      <w:tr w:rsidR="00672A15" w:rsidRPr="00E85C29" w14:paraId="70F470B9"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08032F62" w14:textId="77777777" w:rsidR="00672A15" w:rsidRPr="00E85C29" w:rsidRDefault="00672A15" w:rsidP="00672A15">
            <w:pPr>
              <w:tabs>
                <w:tab w:val="left" w:pos="8010"/>
              </w:tabs>
              <w:ind w:left="-90" w:right="-288"/>
              <w:rPr>
                <w:rFonts w:ascii="Times New Roman" w:hAnsi="Times New Roman" w:cs="Times New Roman"/>
                <w:bCs/>
                <w:sz w:val="18"/>
                <w:szCs w:val="18"/>
              </w:rPr>
            </w:pPr>
            <w:r w:rsidRPr="00E85C29">
              <w:rPr>
                <w:rFonts w:ascii="Times New Roman" w:hAnsi="Times New Roman" w:cs="Times New Roman"/>
                <w:bCs/>
                <w:sz w:val="18"/>
                <w:szCs w:val="18"/>
              </w:rPr>
              <w:t xml:space="preserve"> 31</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7D3D6F2E"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Report all conflicts of interest of the adapted and the source guideline(s) panels, and how they were evaluated and managed.</w:t>
            </w:r>
          </w:p>
        </w:tc>
        <w:tc>
          <w:tcPr>
            <w:tcW w:w="1170" w:type="dxa"/>
            <w:gridSpan w:val="2"/>
            <w:tcBorders>
              <w:top w:val="single" w:sz="4" w:space="0" w:color="auto"/>
              <w:left w:val="single" w:sz="4" w:space="0" w:color="auto"/>
              <w:bottom w:val="single" w:sz="4" w:space="0" w:color="auto"/>
              <w:right w:val="single" w:sz="4" w:space="0" w:color="auto"/>
            </w:tcBorders>
            <w:hideMark/>
          </w:tcPr>
          <w:p w14:paraId="38DF3AD6"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Yes</w:t>
            </w:r>
          </w:p>
          <w:p w14:paraId="66E0F8C9"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No</w:t>
            </w:r>
          </w:p>
          <w:p w14:paraId="5FB51713"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1432EDC"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108 (Disclosure documents)</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49698A88"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 conflicts of interests for either adapted or source guidelines groups.</w:t>
            </w:r>
          </w:p>
        </w:tc>
      </w:tr>
      <w:tr w:rsidR="00672A15" w:rsidRPr="00E85C29" w14:paraId="76CF7A92"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BFBFBF"/>
          </w:tcPr>
          <w:p w14:paraId="6C9569EE" w14:textId="77777777" w:rsidR="00672A15" w:rsidRPr="00E85C29" w:rsidRDefault="00672A15" w:rsidP="00672A15">
            <w:pPr>
              <w:tabs>
                <w:tab w:val="left" w:pos="8010"/>
              </w:tabs>
              <w:ind w:left="-90" w:right="-28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BFBFBF"/>
            <w:hideMark/>
          </w:tcPr>
          <w:p w14:paraId="3B0DD210"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Other information</w:t>
            </w:r>
          </w:p>
        </w:tc>
        <w:tc>
          <w:tcPr>
            <w:tcW w:w="1170" w:type="dxa"/>
            <w:gridSpan w:val="2"/>
            <w:tcBorders>
              <w:top w:val="single" w:sz="4" w:space="0" w:color="auto"/>
              <w:left w:val="single" w:sz="4" w:space="0" w:color="auto"/>
              <w:bottom w:val="single" w:sz="4" w:space="0" w:color="auto"/>
              <w:right w:val="single" w:sz="4" w:space="0" w:color="auto"/>
            </w:tcBorders>
            <w:shd w:val="clear" w:color="auto" w:fill="BFBFBF"/>
          </w:tcPr>
          <w:p w14:paraId="1C407A5E"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BFBFBF"/>
          </w:tcPr>
          <w:p w14:paraId="70A337B8"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BFBFBF"/>
          </w:tcPr>
          <w:p w14:paraId="409D8A4D"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r>
      <w:tr w:rsidR="00672A15" w:rsidRPr="00E85C29" w14:paraId="09B78265"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109E21A3" w14:textId="77777777" w:rsidR="00672A15" w:rsidRPr="00E85C29" w:rsidRDefault="00672A15" w:rsidP="00672A15">
            <w:pPr>
              <w:tabs>
                <w:tab w:val="left" w:pos="8010"/>
              </w:tabs>
              <w:ind w:left="-90" w:right="-28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1D7D2197"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Implementation</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647E5A3F"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5E590C29"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1934629B"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tc>
      </w:tr>
      <w:tr w:rsidR="00672A15" w:rsidRPr="00E85C29" w14:paraId="63005DB1" w14:textId="77777777" w:rsidTr="00672A15">
        <w:trPr>
          <w:trHeight w:val="179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60120500" w14:textId="77777777" w:rsidR="00672A15" w:rsidRPr="00E85C29" w:rsidRDefault="00672A15" w:rsidP="00672A15">
            <w:pPr>
              <w:tabs>
                <w:tab w:val="left" w:pos="8010"/>
              </w:tabs>
              <w:ind w:left="-90" w:right="-288"/>
              <w:rPr>
                <w:rFonts w:ascii="Times New Roman" w:hAnsi="Times New Roman" w:cs="Times New Roman"/>
                <w:bCs/>
                <w:sz w:val="18"/>
                <w:szCs w:val="18"/>
              </w:rPr>
            </w:pPr>
            <w:r w:rsidRPr="00E85C29">
              <w:rPr>
                <w:rFonts w:ascii="Times New Roman" w:hAnsi="Times New Roman" w:cs="Times New Roman"/>
                <w:bCs/>
                <w:sz w:val="18"/>
                <w:szCs w:val="18"/>
              </w:rPr>
              <w:lastRenderedPageBreak/>
              <w:t xml:space="preserve"> 32</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2E56C690" w14:textId="77777777" w:rsidR="00672A15" w:rsidRPr="00E85C29" w:rsidRDefault="00672A15" w:rsidP="00672A15">
            <w:pPr>
              <w:tabs>
                <w:tab w:val="left" w:pos="4572"/>
                <w:tab w:val="left" w:pos="8010"/>
              </w:tabs>
              <w:ind w:left="72" w:right="16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potential barriers and strategies for implementing the recommendations (if applicable).</w:t>
            </w:r>
          </w:p>
        </w:tc>
        <w:tc>
          <w:tcPr>
            <w:tcW w:w="1170" w:type="dxa"/>
            <w:gridSpan w:val="2"/>
            <w:tcBorders>
              <w:top w:val="single" w:sz="4" w:space="0" w:color="auto"/>
              <w:left w:val="single" w:sz="4" w:space="0" w:color="auto"/>
              <w:bottom w:val="single" w:sz="4" w:space="0" w:color="auto"/>
              <w:right w:val="single" w:sz="4" w:space="0" w:color="auto"/>
            </w:tcBorders>
            <w:hideMark/>
          </w:tcPr>
          <w:p w14:paraId="520C5BED"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3F2F763A"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1AD774D3" w14:textId="77777777" w:rsidR="00672A15" w:rsidRPr="00E85C29" w:rsidRDefault="00672A15" w:rsidP="00672A15">
            <w:pPr>
              <w:numPr>
                <w:ilvl w:val="0"/>
                <w:numId w:val="46"/>
              </w:numPr>
              <w:tabs>
                <w:tab w:val="left" w:pos="252"/>
                <w:tab w:val="left" w:pos="8010"/>
              </w:tabs>
              <w:spacing w:line="254" w:lineRule="auto"/>
              <w:ind w:left="72" w:right="-15" w:hanging="18"/>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tcPr>
          <w:p w14:paraId="56A98FC1"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75-78 (implementation consideration)</w:t>
            </w:r>
          </w:p>
          <w:p w14:paraId="41FCB56E"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p w14:paraId="16C92065"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p w14:paraId="3CEC7797"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p>
          <w:p w14:paraId="56B4BED6"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100-103</w:t>
            </w:r>
          </w:p>
          <w:p w14:paraId="6F09EF8E"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(Implementation plan where to refer ?)</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tcPr>
          <w:p w14:paraId="6B38164A"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703C44">
              <w:rPr>
                <w:rFonts w:ascii="Times New Roman" w:hAnsi="Times New Roman" w:cs="Times New Roman"/>
                <w:bCs/>
                <w:color w:val="181717"/>
                <w:sz w:val="18"/>
                <w:szCs w:val="18"/>
                <w:highlight w:val="yellow"/>
              </w:rPr>
              <w:t>Potential Barriers</w:t>
            </w:r>
            <w:r w:rsidRPr="00E85C29">
              <w:rPr>
                <w:rFonts w:ascii="Times New Roman" w:hAnsi="Times New Roman" w:cs="Times New Roman"/>
                <w:bCs/>
                <w:color w:val="181717"/>
                <w:sz w:val="18"/>
                <w:szCs w:val="18"/>
              </w:rPr>
              <w:t xml:space="preserve"> include:</w:t>
            </w:r>
          </w:p>
          <w:p w14:paraId="61BC10E3"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-Limited resources </w:t>
            </w:r>
          </w:p>
          <w:p w14:paraId="06E0C5FC"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-High-cost therapy </w:t>
            </w:r>
          </w:p>
          <w:p w14:paraId="78180F23"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-poor medical insurance </w:t>
            </w:r>
          </w:p>
          <w:p w14:paraId="4E09B391"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-Poor facilities and expertise in many areas especially rural areas.</w:t>
            </w:r>
          </w:p>
          <w:p w14:paraId="653A9345"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Referral to expert secondary and tertiary care settings is lagging in countryside rural areas. </w:t>
            </w:r>
          </w:p>
          <w:p w14:paraId="1330B6DB"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-Referral to pediatric nephrologist, Lab immunology, genetic tests are not always available.</w:t>
            </w:r>
          </w:p>
          <w:p w14:paraId="4EE39B8A"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-poor infrastructure that hampers delivery of medicine to remote parts of the country.</w:t>
            </w:r>
          </w:p>
          <w:p w14:paraId="0CD2EEE1" w14:textId="77777777" w:rsidR="00672A15" w:rsidRPr="00E85C29" w:rsidRDefault="00672A15" w:rsidP="00703C44">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cultural factors with patient and doctor reluctance t</w:t>
            </w:r>
            <w:r w:rsidR="00703C44">
              <w:rPr>
                <w:rFonts w:ascii="Times New Roman" w:hAnsi="Times New Roman" w:cs="Times New Roman"/>
                <w:bCs/>
                <w:color w:val="181717"/>
                <w:sz w:val="18"/>
                <w:szCs w:val="18"/>
              </w:rPr>
              <w:t>o use guidelines in some areas,</w:t>
            </w:r>
          </w:p>
          <w:p w14:paraId="1322D6E1"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FF0000"/>
                <w:sz w:val="18"/>
                <w:szCs w:val="18"/>
              </w:rPr>
              <w:t>Therefore</w:t>
            </w:r>
            <w:r w:rsidRPr="00E85C29">
              <w:rPr>
                <w:rFonts w:ascii="Times New Roman" w:hAnsi="Times New Roman" w:cs="Times New Roman"/>
                <w:bCs/>
                <w:color w:val="181717"/>
                <w:sz w:val="18"/>
                <w:szCs w:val="18"/>
              </w:rPr>
              <w:t xml:space="preserve"> </w:t>
            </w:r>
          </w:p>
          <w:p w14:paraId="3A9A1E80"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Guideline Implementation strategy have been included in the draft p76,77,78 </w:t>
            </w:r>
          </w:p>
          <w:p w14:paraId="4590E725" w14:textId="77777777" w:rsidR="00672A15" w:rsidRPr="00E85C29" w:rsidRDefault="00672A15" w:rsidP="00672A15">
            <w:pPr>
              <w:tabs>
                <w:tab w:val="left" w:pos="8010"/>
              </w:tabs>
              <w:ind w:left="72" w:hanging="18"/>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Documents for sites of referral p 100-103 </w:t>
            </w:r>
          </w:p>
        </w:tc>
      </w:tr>
      <w:tr w:rsidR="00672A15" w:rsidRPr="00E85C29" w14:paraId="3CFFBAED"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201734AE" w14:textId="77777777" w:rsidR="00672A15" w:rsidRPr="00E85C29" w:rsidRDefault="00672A15" w:rsidP="00672A15">
            <w:pPr>
              <w:tabs>
                <w:tab w:val="left" w:pos="8010"/>
              </w:tabs>
              <w:ind w:left="-90" w:right="-28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354CC7D6"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Update</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5D9B214D"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23596888"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380BEFEA"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407908D1"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39B2E48C" w14:textId="77777777" w:rsidR="00672A15" w:rsidRPr="00E85C29" w:rsidRDefault="00672A15" w:rsidP="00672A15">
            <w:pPr>
              <w:tabs>
                <w:tab w:val="left" w:pos="8010"/>
              </w:tabs>
              <w:ind w:left="-90" w:right="-288"/>
              <w:rPr>
                <w:rFonts w:ascii="Times New Roman" w:hAnsi="Times New Roman" w:cs="Times New Roman"/>
                <w:bCs/>
                <w:sz w:val="18"/>
                <w:szCs w:val="18"/>
              </w:rPr>
            </w:pPr>
            <w:r w:rsidRPr="00E85C29">
              <w:rPr>
                <w:rFonts w:ascii="Times New Roman" w:hAnsi="Times New Roman" w:cs="Times New Roman"/>
                <w:bCs/>
                <w:sz w:val="18"/>
                <w:szCs w:val="18"/>
              </w:rPr>
              <w:t xml:space="preserve"> 33</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1EF6AF85"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Briefly describe the strategy for updating the adapted guideline (if applicable).</w:t>
            </w:r>
          </w:p>
        </w:tc>
        <w:tc>
          <w:tcPr>
            <w:tcW w:w="1170" w:type="dxa"/>
            <w:gridSpan w:val="2"/>
            <w:tcBorders>
              <w:top w:val="single" w:sz="4" w:space="0" w:color="auto"/>
              <w:left w:val="single" w:sz="4" w:space="0" w:color="auto"/>
              <w:bottom w:val="single" w:sz="4" w:space="0" w:color="auto"/>
              <w:right w:val="single" w:sz="4" w:space="0" w:color="auto"/>
            </w:tcBorders>
            <w:hideMark/>
          </w:tcPr>
          <w:p w14:paraId="78B840ED"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4F9FCC77"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4073E18C" w14:textId="77777777" w:rsidR="00672A15" w:rsidRPr="00E85C29" w:rsidRDefault="00672A15" w:rsidP="00672A15">
            <w:pPr>
              <w:numPr>
                <w:ilvl w:val="0"/>
                <w:numId w:val="46"/>
              </w:numPr>
              <w:tabs>
                <w:tab w:val="left" w:pos="252"/>
                <w:tab w:val="left" w:pos="8010"/>
              </w:tabs>
              <w:spacing w:line="254" w:lineRule="auto"/>
              <w:ind w:left="-90"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8A09C6A"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74 (Update plan) after 3 years of publication </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49D5F36"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Adapted CPG is planned for update </w:t>
            </w:r>
          </w:p>
          <w:p w14:paraId="245A3FC9"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after three years of publication.</w:t>
            </w:r>
          </w:p>
          <w:p w14:paraId="354DB918"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(Published 2022) </w:t>
            </w:r>
          </w:p>
          <w:p w14:paraId="01C2949B"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(Update 2025), after checking for updates in source CPGs, except if any breakthrough EB recommendations is published before that date.</w:t>
            </w:r>
          </w:p>
          <w:p w14:paraId="20CBAB58"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 *Consultation of expert opinion on the changes needed will be based on newest evidence, publications, clinical audit, and feedback from local health settings in PIPOH model p 74 </w:t>
            </w:r>
          </w:p>
        </w:tc>
      </w:tr>
      <w:tr w:rsidR="00672A15" w:rsidRPr="00E85C29" w14:paraId="08F3A8E2"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2F2F2"/>
          </w:tcPr>
          <w:p w14:paraId="7E540D18" w14:textId="77777777" w:rsidR="00672A15" w:rsidRPr="00E85C29" w:rsidRDefault="00672A15" w:rsidP="00672A15">
            <w:pPr>
              <w:tabs>
                <w:tab w:val="left" w:pos="8010"/>
              </w:tabs>
              <w:ind w:left="-90" w:right="-288"/>
              <w:rPr>
                <w:rFonts w:ascii="Times New Roman" w:hAnsi="Times New Roman" w:cs="Times New Roman"/>
                <w:bCs/>
                <w:sz w:val="18"/>
                <w:szCs w:val="18"/>
              </w:rPr>
            </w:pPr>
          </w:p>
        </w:tc>
        <w:tc>
          <w:tcPr>
            <w:tcW w:w="4680" w:type="dxa"/>
            <w:tcBorders>
              <w:top w:val="single" w:sz="4" w:space="0" w:color="auto"/>
              <w:left w:val="single" w:sz="4" w:space="0" w:color="auto"/>
              <w:bottom w:val="single" w:sz="4" w:space="0" w:color="auto"/>
              <w:right w:val="single" w:sz="4" w:space="0" w:color="auto"/>
            </w:tcBorders>
            <w:shd w:val="clear" w:color="auto" w:fill="F2F2F2"/>
            <w:hideMark/>
          </w:tcPr>
          <w:p w14:paraId="79874362" w14:textId="77777777" w:rsidR="00672A15" w:rsidRPr="00E85C29" w:rsidRDefault="00672A15" w:rsidP="00672A15">
            <w:pPr>
              <w:tabs>
                <w:tab w:val="left" w:pos="4572"/>
                <w:tab w:val="left" w:pos="8010"/>
              </w:tabs>
              <w:ind w:left="-90" w:right="162"/>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Limitations and suggestions for further research</w:t>
            </w:r>
          </w:p>
        </w:tc>
        <w:tc>
          <w:tcPr>
            <w:tcW w:w="1170" w:type="dxa"/>
            <w:gridSpan w:val="2"/>
            <w:tcBorders>
              <w:top w:val="single" w:sz="4" w:space="0" w:color="auto"/>
              <w:left w:val="single" w:sz="4" w:space="0" w:color="auto"/>
              <w:bottom w:val="single" w:sz="4" w:space="0" w:color="auto"/>
              <w:right w:val="single" w:sz="4" w:space="0" w:color="auto"/>
            </w:tcBorders>
            <w:shd w:val="clear" w:color="auto" w:fill="F2F2F2"/>
          </w:tcPr>
          <w:p w14:paraId="5530F592"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F2F2F2"/>
          </w:tcPr>
          <w:p w14:paraId="5249BC54"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c>
          <w:tcPr>
            <w:tcW w:w="1725" w:type="dxa"/>
            <w:gridSpan w:val="4"/>
            <w:tcBorders>
              <w:top w:val="single" w:sz="4" w:space="0" w:color="auto"/>
              <w:left w:val="single" w:sz="4" w:space="0" w:color="auto"/>
              <w:bottom w:val="single" w:sz="4" w:space="0" w:color="auto"/>
              <w:right w:val="single" w:sz="4" w:space="0" w:color="auto"/>
            </w:tcBorders>
            <w:shd w:val="clear" w:color="auto" w:fill="F2F2F2"/>
          </w:tcPr>
          <w:p w14:paraId="71CAB7A2" w14:textId="77777777" w:rsidR="00672A15" w:rsidRPr="00E85C29" w:rsidRDefault="00672A15" w:rsidP="00672A15">
            <w:pPr>
              <w:tabs>
                <w:tab w:val="left" w:pos="8010"/>
              </w:tabs>
              <w:ind w:left="-90"/>
              <w:rPr>
                <w:rFonts w:ascii="Times New Roman" w:hAnsi="Times New Roman" w:cs="Times New Roman"/>
                <w:bCs/>
                <w:color w:val="181717"/>
                <w:sz w:val="18"/>
                <w:szCs w:val="18"/>
              </w:rPr>
            </w:pPr>
          </w:p>
        </w:tc>
      </w:tr>
      <w:tr w:rsidR="00672A15" w:rsidRPr="00E85C29" w14:paraId="7D52D270" w14:textId="77777777" w:rsidTr="00672A15">
        <w:trPr>
          <w:trHeight w:val="170"/>
        </w:trPr>
        <w:tc>
          <w:tcPr>
            <w:tcW w:w="450" w:type="dxa"/>
            <w:tcBorders>
              <w:top w:val="single" w:sz="4" w:space="0" w:color="auto"/>
              <w:left w:val="single" w:sz="4" w:space="0" w:color="auto"/>
              <w:bottom w:val="single" w:sz="4" w:space="0" w:color="auto"/>
              <w:right w:val="single" w:sz="4" w:space="0" w:color="auto"/>
            </w:tcBorders>
            <w:shd w:val="clear" w:color="auto" w:fill="FFFFFF"/>
            <w:hideMark/>
          </w:tcPr>
          <w:p w14:paraId="06A2904A" w14:textId="77777777" w:rsidR="00672A15" w:rsidRPr="00E85C29" w:rsidRDefault="00672A15" w:rsidP="00672A15">
            <w:pPr>
              <w:tabs>
                <w:tab w:val="left" w:pos="8010"/>
              </w:tabs>
              <w:ind w:left="-90" w:right="-288"/>
              <w:rPr>
                <w:rFonts w:ascii="Times New Roman" w:hAnsi="Times New Roman" w:cs="Times New Roman"/>
                <w:bCs/>
                <w:sz w:val="18"/>
                <w:szCs w:val="18"/>
              </w:rPr>
            </w:pPr>
            <w:r w:rsidRPr="00E85C29">
              <w:rPr>
                <w:rFonts w:ascii="Times New Roman" w:hAnsi="Times New Roman" w:cs="Times New Roman"/>
                <w:bCs/>
                <w:sz w:val="18"/>
                <w:szCs w:val="18"/>
              </w:rPr>
              <w:t xml:space="preserve"> 34</w:t>
            </w:r>
          </w:p>
        </w:tc>
        <w:tc>
          <w:tcPr>
            <w:tcW w:w="4680" w:type="dxa"/>
            <w:tcBorders>
              <w:top w:val="single" w:sz="4" w:space="0" w:color="auto"/>
              <w:left w:val="single" w:sz="4" w:space="0" w:color="auto"/>
              <w:bottom w:val="single" w:sz="4" w:space="0" w:color="auto"/>
              <w:right w:val="single" w:sz="4" w:space="0" w:color="auto"/>
            </w:tcBorders>
            <w:shd w:val="clear" w:color="auto" w:fill="FFFFFF"/>
            <w:hideMark/>
          </w:tcPr>
          <w:p w14:paraId="2586247A" w14:textId="77777777" w:rsidR="00672A15" w:rsidRPr="00E85C29" w:rsidRDefault="00672A15" w:rsidP="00672A15">
            <w:pPr>
              <w:tabs>
                <w:tab w:val="left" w:pos="4572"/>
                <w:tab w:val="left" w:pos="8010"/>
              </w:tabs>
              <w:ind w:left="72" w:right="16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Describe the challenges of the adaptation process,                                    the limitations of the evidence, and provide suggestions for future research.</w:t>
            </w:r>
          </w:p>
        </w:tc>
        <w:tc>
          <w:tcPr>
            <w:tcW w:w="1170" w:type="dxa"/>
            <w:gridSpan w:val="2"/>
            <w:tcBorders>
              <w:top w:val="single" w:sz="4" w:space="0" w:color="auto"/>
              <w:left w:val="single" w:sz="4" w:space="0" w:color="auto"/>
              <w:bottom w:val="single" w:sz="4" w:space="0" w:color="auto"/>
              <w:right w:val="single" w:sz="4" w:space="0" w:color="auto"/>
            </w:tcBorders>
            <w:hideMark/>
          </w:tcPr>
          <w:p w14:paraId="26321BA3"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highlight w:val="yellow"/>
              </w:rPr>
            </w:pPr>
            <w:r w:rsidRPr="00E85C29">
              <w:rPr>
                <w:rFonts w:ascii="Times New Roman" w:hAnsi="Times New Roman" w:cs="Times New Roman"/>
                <w:bCs/>
                <w:color w:val="181717"/>
                <w:sz w:val="18"/>
                <w:szCs w:val="18"/>
                <w:highlight w:val="yellow"/>
              </w:rPr>
              <w:t>Yes</w:t>
            </w:r>
          </w:p>
          <w:p w14:paraId="6B5B0258"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No</w:t>
            </w:r>
          </w:p>
          <w:p w14:paraId="1D75EAC6" w14:textId="77777777" w:rsidR="00672A15" w:rsidRPr="00E85C29" w:rsidRDefault="00672A15" w:rsidP="00672A15">
            <w:pPr>
              <w:numPr>
                <w:ilvl w:val="0"/>
                <w:numId w:val="46"/>
              </w:numPr>
              <w:tabs>
                <w:tab w:val="left" w:pos="252"/>
                <w:tab w:val="left" w:pos="8010"/>
              </w:tabs>
              <w:spacing w:line="254" w:lineRule="auto"/>
              <w:ind w:left="72" w:right="-15" w:firstLine="0"/>
              <w:contextualSpacing/>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Unclear</w:t>
            </w:r>
          </w:p>
        </w:tc>
        <w:tc>
          <w:tcPr>
            <w:tcW w:w="180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FBC6AB2"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73(Implementation Challenges)</w:t>
            </w:r>
          </w:p>
        </w:tc>
        <w:tc>
          <w:tcPr>
            <w:tcW w:w="172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A56146C"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703C44">
              <w:rPr>
                <w:rFonts w:ascii="Times New Roman" w:hAnsi="Times New Roman" w:cs="Times New Roman"/>
                <w:bCs/>
                <w:color w:val="181717"/>
                <w:sz w:val="18"/>
                <w:szCs w:val="18"/>
                <w:highlight w:val="yellow"/>
              </w:rPr>
              <w:t>Potential challenges</w:t>
            </w:r>
            <w:r w:rsidRPr="00E85C29">
              <w:rPr>
                <w:rFonts w:ascii="Times New Roman" w:hAnsi="Times New Roman" w:cs="Times New Roman"/>
                <w:bCs/>
                <w:color w:val="181717"/>
                <w:sz w:val="18"/>
                <w:szCs w:val="18"/>
              </w:rPr>
              <w:t xml:space="preserve"> include: </w:t>
            </w:r>
          </w:p>
          <w:p w14:paraId="235A19F9"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lastRenderedPageBreak/>
              <w:t xml:space="preserve">-Search in literature for Clinical questions answers with evidenced statements related to PIPOH model. </w:t>
            </w:r>
          </w:p>
          <w:p w14:paraId="52A33BC6"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-Check of evidence grading in our source guideline when needed</w:t>
            </w:r>
          </w:p>
          <w:p w14:paraId="5B38FE5C"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-panel decision clinical and methodology considered </w:t>
            </w:r>
          </w:p>
          <w:p w14:paraId="3482EAB0"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Editing and formulating process.</w:t>
            </w:r>
          </w:p>
          <w:p w14:paraId="1D721E8F"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Reviewing and peer reviewing, inter active discussions.</w:t>
            </w:r>
          </w:p>
          <w:p w14:paraId="3E0B0567"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-Final drafting considering all reviewers remarks </w:t>
            </w:r>
          </w:p>
          <w:p w14:paraId="47DB15C3"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All these items are included in guideline appendix, or National Guideline Committee registered, zoom recorded]</w:t>
            </w:r>
          </w:p>
          <w:p w14:paraId="3ADEAF69"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-KDIGO12/21 Update </w:t>
            </w:r>
          </w:p>
          <w:p w14:paraId="0BFC1342"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Required full orientation of Work Group for areas of update for comparison with KDIGO 21. ,,,,,,,,,,,,,,,,,,,,,,</w:t>
            </w:r>
          </w:p>
          <w:p w14:paraId="607B82B9" w14:textId="77777777" w:rsidR="00672A15" w:rsidRPr="00E85C29" w:rsidRDefault="00672A15" w:rsidP="00672A15">
            <w:pPr>
              <w:tabs>
                <w:tab w:val="left" w:pos="8010"/>
              </w:tabs>
              <w:ind w:left="72" w:firstLine="0"/>
              <w:rPr>
                <w:rFonts w:ascii="Times New Roman" w:hAnsi="Times New Roman" w:cs="Times New Roman"/>
                <w:bCs/>
                <w:color w:val="181717"/>
                <w:sz w:val="18"/>
                <w:szCs w:val="18"/>
              </w:rPr>
            </w:pPr>
            <w:r w:rsidRPr="00E85C29">
              <w:rPr>
                <w:rFonts w:ascii="Times New Roman" w:hAnsi="Times New Roman" w:cs="Times New Roman"/>
                <w:bCs/>
                <w:color w:val="181717"/>
                <w:sz w:val="18"/>
                <w:szCs w:val="18"/>
              </w:rPr>
              <w:t xml:space="preserve">Suggestions for future research p 73 was Discussed by each group members as assigned for his area of interest in the work group. </w:t>
            </w:r>
          </w:p>
        </w:tc>
      </w:tr>
    </w:tbl>
    <w:p w14:paraId="6D600DB8" w14:textId="77777777" w:rsidR="00672A15" w:rsidRPr="00E85C29" w:rsidRDefault="00672A15" w:rsidP="00672A15">
      <w:pPr>
        <w:tabs>
          <w:tab w:val="left" w:pos="8010"/>
        </w:tabs>
        <w:ind w:left="-90" w:firstLine="0"/>
        <w:rPr>
          <w:rFonts w:ascii="Times New Roman" w:eastAsia="Times New Roman" w:hAnsi="Times New Roman" w:cs="Times New Roman"/>
          <w:bCs/>
          <w:color w:val="0070C0"/>
          <w:sz w:val="20"/>
          <w:szCs w:val="20"/>
        </w:rPr>
      </w:pPr>
      <w:r w:rsidRPr="00E85C29">
        <w:rPr>
          <w:rFonts w:ascii="Times New Roman" w:eastAsia="Times New Roman" w:hAnsi="Times New Roman" w:cs="Times New Roman"/>
          <w:bCs/>
          <w:color w:val="0070C0"/>
          <w:sz w:val="18"/>
          <w:szCs w:val="18"/>
        </w:rPr>
        <w:lastRenderedPageBreak/>
        <w:t xml:space="preserve">           </w:t>
      </w:r>
      <w:r w:rsidRPr="00E85C29">
        <w:rPr>
          <w:rFonts w:ascii="Times New Roman" w:eastAsia="Times New Roman" w:hAnsi="Times New Roman" w:cs="Times New Roman"/>
          <w:bCs/>
          <w:color w:val="0070C0"/>
          <w:sz w:val="20"/>
          <w:szCs w:val="20"/>
        </w:rPr>
        <w:t>Annals of Internal Medicine. March 2022, Vol. 175 No. 5. Doi: 10.7326/M21-4352    http://www.annals.org/</w:t>
      </w:r>
    </w:p>
    <w:p w14:paraId="18FB2F93" w14:textId="77777777" w:rsidR="00672A15" w:rsidRPr="00E85C29" w:rsidRDefault="00672A15" w:rsidP="00672A15">
      <w:pPr>
        <w:tabs>
          <w:tab w:val="left" w:pos="8010"/>
        </w:tabs>
        <w:autoSpaceDE w:val="0"/>
        <w:autoSpaceDN w:val="0"/>
        <w:adjustRightInd w:val="0"/>
        <w:ind w:left="-90" w:firstLine="0"/>
        <w:rPr>
          <w:rFonts w:ascii="Times New Roman" w:eastAsia="Times New Roman" w:hAnsi="Times New Roman" w:cs="Times New Roman"/>
          <w:bCs/>
          <w:sz w:val="24"/>
          <w:szCs w:val="24"/>
        </w:rPr>
      </w:pPr>
      <w:r w:rsidRPr="00E85C29">
        <w:rPr>
          <w:rFonts w:ascii="Times New Roman" w:eastAsia="Times New Roman" w:hAnsi="Times New Roman" w:cs="Times New Roman"/>
          <w:bCs/>
          <w:sz w:val="24"/>
          <w:szCs w:val="24"/>
        </w:rPr>
        <w:t xml:space="preserve"> </w:t>
      </w:r>
    </w:p>
    <w:p w14:paraId="775CEB3F" w14:textId="77777777" w:rsidR="00672A15" w:rsidRPr="00E85C29" w:rsidRDefault="00672A15" w:rsidP="00672A15">
      <w:pPr>
        <w:tabs>
          <w:tab w:val="left" w:pos="8010"/>
        </w:tabs>
        <w:ind w:left="-90" w:firstLine="0"/>
        <w:rPr>
          <w:rFonts w:ascii="Times New Roman" w:eastAsia="Times New Roman" w:hAnsi="Times New Roman" w:cs="Times New Roman"/>
          <w:bCs/>
          <w:sz w:val="24"/>
          <w:szCs w:val="24"/>
        </w:rPr>
      </w:pPr>
      <w:r w:rsidRPr="00E85C29">
        <w:rPr>
          <w:rFonts w:ascii="Times New Roman" w:eastAsia="Times New Roman" w:hAnsi="Times New Roman" w:cs="Times New Roman"/>
          <w:bCs/>
          <w:color w:val="0070C0"/>
          <w:sz w:val="24"/>
          <w:szCs w:val="24"/>
        </w:rPr>
        <w:t xml:space="preserve">                                                                                                            </w:t>
      </w:r>
    </w:p>
    <w:p w14:paraId="42B9CFB7" w14:textId="77777777" w:rsidR="00672A15" w:rsidRPr="00E85C29" w:rsidRDefault="00672A15" w:rsidP="00672A15">
      <w:pPr>
        <w:ind w:left="450" w:firstLine="0"/>
        <w:rPr>
          <w:rFonts w:ascii="Times New Roman" w:eastAsia="Times New Roman" w:hAnsi="Times New Roman" w:cs="Times New Roman"/>
          <w:b/>
          <w:color w:val="181717"/>
          <w:sz w:val="24"/>
          <w:szCs w:val="24"/>
        </w:rPr>
      </w:pPr>
      <w:r w:rsidRPr="00E85C29">
        <w:rPr>
          <w:rFonts w:ascii="Times New Roman" w:eastAsia="Times New Roman" w:hAnsi="Times New Roman" w:cs="Times New Roman"/>
          <w:b/>
          <w:color w:val="181717"/>
          <w:sz w:val="24"/>
          <w:szCs w:val="24"/>
        </w:rPr>
        <w:t xml:space="preserve">Methodology </w:t>
      </w:r>
      <w:proofErr w:type="gramStart"/>
      <w:r w:rsidRPr="00E85C29">
        <w:rPr>
          <w:rFonts w:ascii="Times New Roman" w:eastAsia="Times New Roman" w:hAnsi="Times New Roman" w:cs="Times New Roman"/>
          <w:b/>
          <w:color w:val="181717"/>
          <w:sz w:val="24"/>
          <w:szCs w:val="24"/>
        </w:rPr>
        <w:t>Reference  for</w:t>
      </w:r>
      <w:proofErr w:type="gramEnd"/>
      <w:r w:rsidRPr="00E85C29">
        <w:rPr>
          <w:rFonts w:ascii="Times New Roman" w:eastAsia="Times New Roman" w:hAnsi="Times New Roman" w:cs="Times New Roman"/>
          <w:b/>
          <w:color w:val="181717"/>
          <w:sz w:val="24"/>
          <w:szCs w:val="24"/>
        </w:rPr>
        <w:t xml:space="preserve"> RIGHT-Ad@ </w:t>
      </w:r>
      <w:proofErr w:type="spellStart"/>
      <w:r w:rsidRPr="00E85C29">
        <w:rPr>
          <w:rFonts w:ascii="Times New Roman" w:eastAsia="Times New Roman" w:hAnsi="Times New Roman" w:cs="Times New Roman"/>
          <w:b/>
          <w:color w:val="181717"/>
          <w:sz w:val="24"/>
          <w:szCs w:val="24"/>
        </w:rPr>
        <w:t>pt</w:t>
      </w:r>
      <w:proofErr w:type="spellEnd"/>
      <w:r w:rsidRPr="00E85C29">
        <w:rPr>
          <w:rFonts w:ascii="Times New Roman" w:eastAsia="Times New Roman" w:hAnsi="Times New Roman" w:cs="Times New Roman"/>
          <w:b/>
          <w:color w:val="181717"/>
          <w:sz w:val="24"/>
          <w:szCs w:val="24"/>
        </w:rPr>
        <w:t xml:space="preserve"> checklist </w:t>
      </w:r>
    </w:p>
    <w:p w14:paraId="6D6274D2" w14:textId="77777777" w:rsidR="00672A15" w:rsidRPr="00E85C29" w:rsidRDefault="00672A15" w:rsidP="00672A15">
      <w:pPr>
        <w:ind w:left="450" w:firstLine="0"/>
        <w:rPr>
          <w:rFonts w:ascii="Times New Roman" w:eastAsia="Times New Roman" w:hAnsi="Times New Roman" w:cs="Times New Roman"/>
          <w:bCs/>
          <w:color w:val="0070C0"/>
          <w:sz w:val="24"/>
          <w:szCs w:val="24"/>
        </w:rPr>
      </w:pPr>
      <w:r w:rsidRPr="00E85C29">
        <w:rPr>
          <w:rFonts w:ascii="Times New Roman" w:eastAsia="Times New Roman" w:hAnsi="Times New Roman" w:cs="Times New Roman"/>
          <w:bCs/>
          <w:sz w:val="24"/>
          <w:szCs w:val="24"/>
        </w:rPr>
        <w:t xml:space="preserve">Yang Song; Pablo Alonso-Coello; Monica Ballesteros; Francoise </w:t>
      </w:r>
      <w:proofErr w:type="spellStart"/>
      <w:r w:rsidRPr="00E85C29">
        <w:rPr>
          <w:rFonts w:ascii="Times New Roman" w:eastAsia="Times New Roman" w:hAnsi="Times New Roman" w:cs="Times New Roman"/>
          <w:bCs/>
          <w:sz w:val="24"/>
          <w:szCs w:val="24"/>
        </w:rPr>
        <w:t>Cluzeau;Robin</w:t>
      </w:r>
      <w:proofErr w:type="spellEnd"/>
      <w:r w:rsidRPr="00E85C29">
        <w:rPr>
          <w:rFonts w:ascii="Times New Roman" w:eastAsia="Times New Roman" w:hAnsi="Times New Roman" w:cs="Times New Roman"/>
          <w:bCs/>
          <w:sz w:val="24"/>
          <w:szCs w:val="24"/>
        </w:rPr>
        <w:t xml:space="preserve"> W.M. </w:t>
      </w:r>
      <w:proofErr w:type="spellStart"/>
      <w:r w:rsidRPr="00E85C29">
        <w:rPr>
          <w:rFonts w:ascii="Times New Roman" w:eastAsia="Times New Roman" w:hAnsi="Times New Roman" w:cs="Times New Roman"/>
          <w:bCs/>
          <w:sz w:val="24"/>
          <w:szCs w:val="24"/>
        </w:rPr>
        <w:t>Vernooij</w:t>
      </w:r>
      <w:proofErr w:type="spellEnd"/>
      <w:r w:rsidRPr="00E85C29">
        <w:rPr>
          <w:rFonts w:ascii="Times New Roman" w:eastAsia="Times New Roman" w:hAnsi="Times New Roman" w:cs="Times New Roman"/>
          <w:bCs/>
          <w:sz w:val="24"/>
          <w:szCs w:val="24"/>
        </w:rPr>
        <w:t xml:space="preserve">; </w:t>
      </w:r>
      <w:proofErr w:type="spellStart"/>
      <w:r w:rsidRPr="00E85C29">
        <w:rPr>
          <w:rFonts w:ascii="Times New Roman" w:eastAsia="Times New Roman" w:hAnsi="Times New Roman" w:cs="Times New Roman"/>
          <w:bCs/>
          <w:sz w:val="24"/>
          <w:szCs w:val="24"/>
        </w:rPr>
        <w:t>Thurayya</w:t>
      </w:r>
      <w:proofErr w:type="spellEnd"/>
      <w:r w:rsidRPr="00E85C29">
        <w:rPr>
          <w:rFonts w:ascii="Times New Roman" w:eastAsia="Times New Roman" w:hAnsi="Times New Roman" w:cs="Times New Roman"/>
          <w:bCs/>
          <w:sz w:val="24"/>
          <w:szCs w:val="24"/>
        </w:rPr>
        <w:t xml:space="preserve"> </w:t>
      </w:r>
      <w:proofErr w:type="spellStart"/>
      <w:r w:rsidRPr="00E85C29">
        <w:rPr>
          <w:rFonts w:ascii="Times New Roman" w:eastAsia="Times New Roman" w:hAnsi="Times New Roman" w:cs="Times New Roman"/>
          <w:bCs/>
          <w:sz w:val="24"/>
          <w:szCs w:val="24"/>
        </w:rPr>
        <w:t>Arayssi</w:t>
      </w:r>
      <w:proofErr w:type="spellEnd"/>
      <w:r w:rsidRPr="00E85C29">
        <w:rPr>
          <w:rFonts w:ascii="Times New Roman" w:eastAsia="Times New Roman" w:hAnsi="Times New Roman" w:cs="Times New Roman"/>
          <w:bCs/>
          <w:sz w:val="24"/>
          <w:szCs w:val="24"/>
        </w:rPr>
        <w:t xml:space="preserve">; </w:t>
      </w:r>
      <w:proofErr w:type="spellStart"/>
      <w:r w:rsidRPr="00E85C29">
        <w:rPr>
          <w:rFonts w:ascii="Times New Roman" w:eastAsia="Times New Roman" w:hAnsi="Times New Roman" w:cs="Times New Roman"/>
          <w:bCs/>
          <w:sz w:val="24"/>
          <w:szCs w:val="24"/>
        </w:rPr>
        <w:t>Soumyadeep</w:t>
      </w:r>
      <w:proofErr w:type="spellEnd"/>
      <w:r w:rsidRPr="00E85C29">
        <w:rPr>
          <w:rFonts w:ascii="Times New Roman" w:eastAsia="Times New Roman" w:hAnsi="Times New Roman" w:cs="Times New Roman"/>
          <w:bCs/>
          <w:sz w:val="24"/>
          <w:szCs w:val="24"/>
        </w:rPr>
        <w:t xml:space="preserve"> </w:t>
      </w:r>
      <w:proofErr w:type="spellStart"/>
      <w:r w:rsidRPr="00E85C29">
        <w:rPr>
          <w:rFonts w:ascii="Times New Roman" w:eastAsia="Times New Roman" w:hAnsi="Times New Roman" w:cs="Times New Roman"/>
          <w:bCs/>
          <w:sz w:val="24"/>
          <w:szCs w:val="24"/>
        </w:rPr>
        <w:t>Bhaumik</w:t>
      </w:r>
      <w:proofErr w:type="spellEnd"/>
      <w:r w:rsidRPr="00E85C29">
        <w:rPr>
          <w:rFonts w:ascii="Times New Roman" w:eastAsia="Times New Roman" w:hAnsi="Times New Roman" w:cs="Times New Roman"/>
          <w:bCs/>
          <w:sz w:val="24"/>
          <w:szCs w:val="24"/>
        </w:rPr>
        <w:t xml:space="preserve">; </w:t>
      </w:r>
      <w:proofErr w:type="spellStart"/>
      <w:r w:rsidRPr="00E85C29">
        <w:rPr>
          <w:rFonts w:ascii="Times New Roman" w:eastAsia="Times New Roman" w:hAnsi="Times New Roman" w:cs="Times New Roman"/>
          <w:bCs/>
          <w:sz w:val="24"/>
          <w:szCs w:val="24"/>
        </w:rPr>
        <w:t>Yaolong</w:t>
      </w:r>
      <w:proofErr w:type="spellEnd"/>
      <w:r w:rsidRPr="00E85C29">
        <w:rPr>
          <w:rFonts w:ascii="Times New Roman" w:eastAsia="Times New Roman" w:hAnsi="Times New Roman" w:cs="Times New Roman"/>
          <w:bCs/>
          <w:sz w:val="24"/>
          <w:szCs w:val="24"/>
        </w:rPr>
        <w:t xml:space="preserve"> Chen, </w:t>
      </w:r>
      <w:proofErr w:type="spellStart"/>
      <w:r w:rsidRPr="00E85C29">
        <w:rPr>
          <w:rFonts w:ascii="Times New Roman" w:eastAsia="Times New Roman" w:hAnsi="Times New Roman" w:cs="Times New Roman"/>
          <w:bCs/>
          <w:sz w:val="24"/>
          <w:szCs w:val="24"/>
        </w:rPr>
        <w:t>MMed</w:t>
      </w:r>
      <w:proofErr w:type="spellEnd"/>
      <w:r w:rsidRPr="00E85C29">
        <w:rPr>
          <w:rFonts w:ascii="Times New Roman" w:eastAsia="Times New Roman" w:hAnsi="Times New Roman" w:cs="Times New Roman"/>
          <w:bCs/>
          <w:sz w:val="24"/>
          <w:szCs w:val="24"/>
        </w:rPr>
        <w:t xml:space="preserve">; Davina </w:t>
      </w:r>
      <w:proofErr w:type="spellStart"/>
      <w:r w:rsidRPr="00E85C29">
        <w:rPr>
          <w:rFonts w:ascii="Times New Roman" w:eastAsia="Times New Roman" w:hAnsi="Times New Roman" w:cs="Times New Roman"/>
          <w:bCs/>
          <w:sz w:val="24"/>
          <w:szCs w:val="24"/>
        </w:rPr>
        <w:t>Ghersi</w:t>
      </w:r>
      <w:proofErr w:type="spellEnd"/>
      <w:r w:rsidRPr="00E85C29">
        <w:rPr>
          <w:rFonts w:ascii="Times New Roman" w:eastAsia="Times New Roman" w:hAnsi="Times New Roman" w:cs="Times New Roman"/>
          <w:bCs/>
          <w:sz w:val="24"/>
          <w:szCs w:val="24"/>
        </w:rPr>
        <w:t xml:space="preserve">; Etienne V. Langlois; Paulina Fuentes Padilla; Holger J. </w:t>
      </w:r>
      <w:proofErr w:type="spellStart"/>
      <w:r w:rsidRPr="00E85C29">
        <w:rPr>
          <w:rFonts w:ascii="Times New Roman" w:eastAsia="Times New Roman" w:hAnsi="Times New Roman" w:cs="Times New Roman"/>
          <w:bCs/>
          <w:sz w:val="24"/>
          <w:szCs w:val="24"/>
        </w:rPr>
        <w:t>Schünemann</w:t>
      </w:r>
      <w:proofErr w:type="spellEnd"/>
      <w:r w:rsidRPr="00E85C29">
        <w:rPr>
          <w:rFonts w:ascii="Times New Roman" w:eastAsia="Times New Roman" w:hAnsi="Times New Roman" w:cs="Times New Roman"/>
          <w:bCs/>
          <w:sz w:val="24"/>
          <w:szCs w:val="24"/>
        </w:rPr>
        <w:t xml:space="preserve">; </w:t>
      </w:r>
      <w:proofErr w:type="spellStart"/>
      <w:r w:rsidRPr="00E85C29">
        <w:rPr>
          <w:rFonts w:ascii="Times New Roman" w:eastAsia="Times New Roman" w:hAnsi="Times New Roman" w:cs="Times New Roman"/>
          <w:bCs/>
          <w:sz w:val="24"/>
          <w:szCs w:val="24"/>
        </w:rPr>
        <w:t>Elie</w:t>
      </w:r>
      <w:proofErr w:type="spellEnd"/>
      <w:r w:rsidRPr="00E85C29">
        <w:rPr>
          <w:rFonts w:ascii="Times New Roman" w:eastAsia="Times New Roman" w:hAnsi="Times New Roman" w:cs="Times New Roman"/>
          <w:bCs/>
          <w:sz w:val="24"/>
          <w:szCs w:val="24"/>
        </w:rPr>
        <w:t xml:space="preserve"> A. </w:t>
      </w:r>
      <w:proofErr w:type="spellStart"/>
      <w:r w:rsidRPr="00E85C29">
        <w:rPr>
          <w:rFonts w:ascii="Times New Roman" w:eastAsia="Times New Roman" w:hAnsi="Times New Roman" w:cs="Times New Roman"/>
          <w:bCs/>
          <w:sz w:val="24"/>
          <w:szCs w:val="24"/>
        </w:rPr>
        <w:t>Akl</w:t>
      </w:r>
      <w:proofErr w:type="spellEnd"/>
      <w:r w:rsidRPr="00E85C29">
        <w:rPr>
          <w:rFonts w:ascii="Times New Roman" w:eastAsia="Times New Roman" w:hAnsi="Times New Roman" w:cs="Times New Roman"/>
          <w:bCs/>
          <w:sz w:val="24"/>
          <w:szCs w:val="24"/>
        </w:rPr>
        <w:t xml:space="preserve">; Laura </w:t>
      </w:r>
      <w:proofErr w:type="spellStart"/>
      <w:r w:rsidRPr="00E85C29">
        <w:rPr>
          <w:rFonts w:ascii="Times New Roman" w:eastAsia="Times New Roman" w:hAnsi="Times New Roman" w:cs="Times New Roman"/>
          <w:bCs/>
          <w:sz w:val="24"/>
          <w:szCs w:val="24"/>
        </w:rPr>
        <w:t>Martínez</w:t>
      </w:r>
      <w:proofErr w:type="spellEnd"/>
      <w:r w:rsidRPr="00E85C29">
        <w:rPr>
          <w:rFonts w:ascii="Times New Roman" w:eastAsia="Times New Roman" w:hAnsi="Times New Roman" w:cs="Times New Roman"/>
          <w:bCs/>
          <w:sz w:val="24"/>
          <w:szCs w:val="24"/>
        </w:rPr>
        <w:t xml:space="preserve"> </w:t>
      </w:r>
      <w:proofErr w:type="spellStart"/>
      <w:r w:rsidRPr="00E85C29">
        <w:rPr>
          <w:rFonts w:ascii="Times New Roman" w:eastAsia="Times New Roman" w:hAnsi="Times New Roman" w:cs="Times New Roman"/>
          <w:bCs/>
          <w:sz w:val="24"/>
          <w:szCs w:val="24"/>
        </w:rPr>
        <w:t>García</w:t>
      </w:r>
      <w:proofErr w:type="spellEnd"/>
      <w:r w:rsidRPr="00E85C29">
        <w:rPr>
          <w:rFonts w:ascii="Times New Roman" w:eastAsia="Times New Roman" w:hAnsi="Times New Roman" w:cs="Times New Roman"/>
          <w:bCs/>
          <w:sz w:val="24"/>
          <w:szCs w:val="24"/>
        </w:rPr>
        <w:t xml:space="preserve">; and </w:t>
      </w:r>
      <w:proofErr w:type="spellStart"/>
      <w:r w:rsidRPr="00E85C29">
        <w:rPr>
          <w:rFonts w:ascii="Times New Roman" w:eastAsia="Times New Roman" w:hAnsi="Times New Roman" w:cs="Times New Roman"/>
          <w:bCs/>
          <w:sz w:val="24"/>
          <w:szCs w:val="24"/>
        </w:rPr>
        <w:t>RIGHT-Ad@pt</w:t>
      </w:r>
      <w:proofErr w:type="spellEnd"/>
      <w:r w:rsidRPr="00E85C29">
        <w:rPr>
          <w:rFonts w:ascii="Times New Roman" w:eastAsia="Times New Roman" w:hAnsi="Times New Roman" w:cs="Times New Roman"/>
          <w:bCs/>
          <w:sz w:val="24"/>
          <w:szCs w:val="24"/>
        </w:rPr>
        <w:t xml:space="preserve"> Working Group. A Reporting Tool for Adapted Guidelines in Health Care: The </w:t>
      </w:r>
      <w:proofErr w:type="spellStart"/>
      <w:r w:rsidRPr="00E85C29">
        <w:rPr>
          <w:rFonts w:ascii="Times New Roman" w:eastAsia="Times New Roman" w:hAnsi="Times New Roman" w:cs="Times New Roman"/>
          <w:bCs/>
          <w:sz w:val="24"/>
          <w:szCs w:val="24"/>
        </w:rPr>
        <w:t>RIGHT-Ad@pt</w:t>
      </w:r>
      <w:proofErr w:type="spellEnd"/>
      <w:r w:rsidRPr="00E85C29">
        <w:rPr>
          <w:rFonts w:ascii="Times New Roman" w:eastAsia="Times New Roman" w:hAnsi="Times New Roman" w:cs="Times New Roman"/>
          <w:bCs/>
          <w:sz w:val="24"/>
          <w:szCs w:val="24"/>
        </w:rPr>
        <w:t xml:space="preserve"> Checklist. Annals of Internal Medicine Vol. 175 No. 5. </w:t>
      </w:r>
      <w:r w:rsidRPr="00E85C29">
        <w:rPr>
          <w:rFonts w:ascii="Times New Roman" w:eastAsia="Times New Roman" w:hAnsi="Times New Roman" w:cs="Times New Roman"/>
          <w:bCs/>
          <w:color w:val="0070C0"/>
          <w:sz w:val="24"/>
          <w:szCs w:val="24"/>
        </w:rPr>
        <w:t>Doi: 10.7326/M21-4352    http://www.annals.org/</w:t>
      </w:r>
    </w:p>
    <w:p w14:paraId="75289838" w14:textId="77777777" w:rsidR="00672A15" w:rsidRPr="00E85C29" w:rsidRDefault="00672A15" w:rsidP="00672A15">
      <w:pPr>
        <w:ind w:left="-90" w:firstLine="0"/>
        <w:rPr>
          <w:rFonts w:ascii="Times New Roman" w:eastAsia="Calibri" w:hAnsi="Times New Roman" w:cs="Times New Roman"/>
          <w:bCs/>
          <w:sz w:val="24"/>
          <w:szCs w:val="24"/>
        </w:rPr>
      </w:pPr>
    </w:p>
    <w:p w14:paraId="316486F8" w14:textId="77777777" w:rsidR="00672A15" w:rsidRPr="00E85C29" w:rsidRDefault="00672A15" w:rsidP="00672A15">
      <w:pPr>
        <w:ind w:left="-90" w:firstLine="0"/>
        <w:rPr>
          <w:rFonts w:ascii="Times New Roman" w:eastAsia="Calibri" w:hAnsi="Times New Roman" w:cs="Times New Roman"/>
          <w:bCs/>
          <w:sz w:val="24"/>
          <w:szCs w:val="24"/>
        </w:rPr>
      </w:pPr>
    </w:p>
    <w:p w14:paraId="789A9DD9" w14:textId="77777777" w:rsidR="00672A15" w:rsidRDefault="00672A15" w:rsidP="00E85C29">
      <w:pPr>
        <w:ind w:left="1260" w:hanging="1260"/>
        <w:jc w:val="left"/>
        <w:rPr>
          <w:rFonts w:ascii="Times New Roman" w:eastAsia="Times New Roman" w:hAnsi="Times New Roman" w:cs="Times New Roman"/>
          <w:b/>
          <w:bCs/>
          <w:sz w:val="24"/>
          <w:szCs w:val="24"/>
        </w:rPr>
      </w:pPr>
    </w:p>
    <w:p w14:paraId="5EA69227" w14:textId="77777777" w:rsidR="00703C44" w:rsidRDefault="00703C44" w:rsidP="00E85C29">
      <w:pPr>
        <w:ind w:left="1260" w:hanging="1260"/>
        <w:jc w:val="left"/>
        <w:rPr>
          <w:rFonts w:ascii="Times New Roman" w:eastAsia="Times New Roman" w:hAnsi="Times New Roman" w:cs="Times New Roman"/>
          <w:b/>
          <w:bCs/>
          <w:sz w:val="24"/>
          <w:szCs w:val="24"/>
        </w:rPr>
      </w:pPr>
    </w:p>
    <w:p w14:paraId="11F86A92" w14:textId="77777777" w:rsidR="00703C44" w:rsidRDefault="00703C44" w:rsidP="001840C7">
      <w:pPr>
        <w:ind w:firstLine="0"/>
        <w:jc w:val="left"/>
        <w:rPr>
          <w:rFonts w:ascii="Times New Roman" w:eastAsia="Times New Roman" w:hAnsi="Times New Roman" w:cs="Times New Roman"/>
          <w:b/>
          <w:bCs/>
          <w:sz w:val="24"/>
          <w:szCs w:val="24"/>
        </w:rPr>
      </w:pPr>
    </w:p>
    <w:p w14:paraId="021D15B2" w14:textId="77777777" w:rsidR="00703C44" w:rsidRDefault="00703C44" w:rsidP="00703C44">
      <w:pPr>
        <w:shd w:val="clear" w:color="auto" w:fill="F2F2F2" w:themeFill="background1" w:themeFillShade="F2"/>
        <w:ind w:left="1260" w:hanging="12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IPNA 2020 &amp; KDIGO 2021 Tables</w:t>
      </w:r>
    </w:p>
    <w:p w14:paraId="30D5F90C" w14:textId="77777777" w:rsidR="00672A15" w:rsidRDefault="00672A15" w:rsidP="00E85C29">
      <w:pPr>
        <w:ind w:left="1260" w:hanging="1260"/>
        <w:jc w:val="left"/>
        <w:rPr>
          <w:rFonts w:ascii="Times New Roman" w:eastAsia="Times New Roman" w:hAnsi="Times New Roman" w:cs="Times New Roman"/>
          <w:b/>
          <w:bCs/>
          <w:sz w:val="24"/>
          <w:szCs w:val="24"/>
        </w:rPr>
      </w:pPr>
    </w:p>
    <w:p w14:paraId="1BC021B9" w14:textId="77777777" w:rsidR="00E85C29" w:rsidRPr="00E85C29" w:rsidRDefault="00E85C29" w:rsidP="00E85C29">
      <w:pPr>
        <w:ind w:left="1260" w:hanging="1260"/>
        <w:jc w:val="left"/>
        <w:rPr>
          <w:rFonts w:ascii="Times New Roman" w:eastAsia="Times New Roman" w:hAnsi="Times New Roman" w:cs="Times New Roman"/>
          <w:b/>
          <w:bCs/>
          <w:sz w:val="24"/>
          <w:szCs w:val="24"/>
        </w:rPr>
      </w:pPr>
      <w:r w:rsidRPr="00E85C29">
        <w:rPr>
          <w:rFonts w:ascii="Times New Roman" w:eastAsia="Times New Roman" w:hAnsi="Times New Roman" w:cs="Times New Roman"/>
          <w:b/>
          <w:bCs/>
          <w:sz w:val="24"/>
          <w:szCs w:val="24"/>
        </w:rPr>
        <w:t xml:space="preserve">Table (1): Definitions related to Nephrotic Syndrome in Children. </w:t>
      </w:r>
    </w:p>
    <w:p w14:paraId="34DA70F4" w14:textId="77777777" w:rsidR="00E85C29" w:rsidRPr="00E85C29" w:rsidRDefault="00E85C29" w:rsidP="00E85C29">
      <w:pPr>
        <w:ind w:left="1260" w:hanging="1260"/>
        <w:jc w:val="left"/>
        <w:rPr>
          <w:rFonts w:ascii="Times New Roman" w:eastAsia="Times New Roman" w:hAnsi="Times New Roman" w:cs="Times New Roman"/>
          <w:b/>
          <w:bCs/>
          <w:sz w:val="24"/>
          <w:szCs w:val="24"/>
        </w:rPr>
      </w:pPr>
      <w:r w:rsidRPr="00E85C29">
        <w:rPr>
          <w:rFonts w:ascii="Times New Roman" w:eastAsia="Times New Roman" w:hAnsi="Times New Roman" w:cs="Times New Roman"/>
          <w:b/>
          <w:bCs/>
          <w:sz w:val="24"/>
          <w:szCs w:val="24"/>
        </w:rPr>
        <w:t xml:space="preserve">                   (IPNA 2020 and KDIGO 2021)</w:t>
      </w:r>
    </w:p>
    <w:tbl>
      <w:tblPr>
        <w:tblStyle w:val="GridTable4-Accent11"/>
        <w:tblW w:w="9445" w:type="dxa"/>
        <w:tblLook w:val="04A0" w:firstRow="1" w:lastRow="0" w:firstColumn="1" w:lastColumn="0" w:noHBand="0" w:noVBand="1"/>
      </w:tblPr>
      <w:tblGrid>
        <w:gridCol w:w="2390"/>
        <w:gridCol w:w="7055"/>
      </w:tblGrid>
      <w:tr w:rsidR="00E85C29" w:rsidRPr="00E85C29" w14:paraId="102967B1" w14:textId="77777777" w:rsidTr="00672A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shd w:val="clear" w:color="auto" w:fill="C6D9F1"/>
          </w:tcPr>
          <w:p w14:paraId="3B2C03B4" w14:textId="77777777" w:rsidR="00E85C29" w:rsidRPr="00E85C29" w:rsidRDefault="00E85C29" w:rsidP="00E85C29">
            <w:pPr>
              <w:bidi w:val="0"/>
              <w:jc w:val="center"/>
              <w:rPr>
                <w:rFonts w:eastAsia="Calibri"/>
                <w:color w:val="231F20"/>
              </w:rPr>
            </w:pPr>
            <w:r w:rsidRPr="00E85C29">
              <w:rPr>
                <w:rFonts w:eastAsia="Calibri"/>
                <w:color w:val="231F20"/>
              </w:rPr>
              <w:t>Term</w:t>
            </w:r>
          </w:p>
        </w:tc>
        <w:tc>
          <w:tcPr>
            <w:tcW w:w="7055" w:type="dxa"/>
            <w:shd w:val="clear" w:color="auto" w:fill="C6D9F1"/>
          </w:tcPr>
          <w:p w14:paraId="2296D9AC" w14:textId="77777777" w:rsidR="00E85C29" w:rsidRPr="00E85C29" w:rsidRDefault="00E85C29" w:rsidP="00E85C29">
            <w:pPr>
              <w:bidi w:val="0"/>
              <w:jc w:val="center"/>
              <w:cnfStyle w:val="100000000000" w:firstRow="1" w:lastRow="0" w:firstColumn="0" w:lastColumn="0" w:oddVBand="0" w:evenVBand="0" w:oddHBand="0" w:evenHBand="0" w:firstRowFirstColumn="0" w:firstRowLastColumn="0" w:lastRowFirstColumn="0" w:lastRowLastColumn="0"/>
              <w:rPr>
                <w:rFonts w:eastAsia="Calibri"/>
                <w:color w:val="231F20"/>
              </w:rPr>
            </w:pPr>
            <w:r w:rsidRPr="00E85C29">
              <w:rPr>
                <w:rFonts w:eastAsia="Calibri"/>
                <w:color w:val="231F20"/>
              </w:rPr>
              <w:t>Definitions</w:t>
            </w:r>
          </w:p>
        </w:tc>
      </w:tr>
      <w:tr w:rsidR="00E85C29" w:rsidRPr="00E85C29" w14:paraId="17EB366C" w14:textId="77777777" w:rsidTr="00672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1F7B9A5D" w14:textId="77777777" w:rsidR="00E85C29" w:rsidRPr="00E85C29" w:rsidRDefault="00E85C29" w:rsidP="00E85C29">
            <w:pPr>
              <w:autoSpaceDE w:val="0"/>
              <w:autoSpaceDN w:val="0"/>
              <w:bidi w:val="0"/>
              <w:adjustRightInd w:val="0"/>
              <w:spacing w:line="194" w:lineRule="exact"/>
              <w:ind w:left="-23" w:right="-20" w:firstLine="23"/>
              <w:rPr>
                <w:rFonts w:eastAsia="Calibri"/>
                <w:color w:val="231F20"/>
                <w:w w:val="97"/>
                <w:sz w:val="20"/>
                <w:szCs w:val="20"/>
              </w:rPr>
            </w:pPr>
          </w:p>
          <w:p w14:paraId="63DDA9F0" w14:textId="77777777" w:rsidR="00E85C29" w:rsidRPr="00E85C29" w:rsidRDefault="00E85C29" w:rsidP="00E85C29">
            <w:pPr>
              <w:autoSpaceDE w:val="0"/>
              <w:autoSpaceDN w:val="0"/>
              <w:bidi w:val="0"/>
              <w:adjustRightInd w:val="0"/>
              <w:spacing w:line="194" w:lineRule="exact"/>
              <w:ind w:left="-23" w:right="-20" w:firstLine="23"/>
              <w:rPr>
                <w:rFonts w:eastAsia="Calibri"/>
                <w:color w:val="231F20"/>
                <w:sz w:val="20"/>
                <w:szCs w:val="20"/>
              </w:rPr>
            </w:pPr>
            <w:r w:rsidRPr="00E85C29">
              <w:rPr>
                <w:rFonts w:eastAsia="Calibri"/>
                <w:color w:val="231F20"/>
                <w:w w:val="97"/>
                <w:sz w:val="20"/>
                <w:szCs w:val="20"/>
              </w:rPr>
              <w:t>N</w:t>
            </w:r>
            <w:r w:rsidRPr="00E85C29">
              <w:rPr>
                <w:rFonts w:eastAsia="Calibri"/>
                <w:color w:val="231F20"/>
                <w:spacing w:val="-4"/>
                <w:w w:val="97"/>
                <w:sz w:val="20"/>
                <w:szCs w:val="20"/>
              </w:rPr>
              <w:t>e</w:t>
            </w:r>
            <w:r w:rsidRPr="00E85C29">
              <w:rPr>
                <w:rFonts w:eastAsia="Calibri"/>
                <w:color w:val="231F20"/>
                <w:w w:val="97"/>
                <w:sz w:val="20"/>
                <w:szCs w:val="20"/>
              </w:rPr>
              <w:t>p</w:t>
            </w:r>
            <w:r w:rsidRPr="00E85C29">
              <w:rPr>
                <w:rFonts w:eastAsia="Calibri"/>
                <w:color w:val="231F20"/>
                <w:spacing w:val="-4"/>
                <w:w w:val="97"/>
                <w:sz w:val="20"/>
                <w:szCs w:val="20"/>
              </w:rPr>
              <w:t>h</w:t>
            </w:r>
            <w:r w:rsidRPr="00E85C29">
              <w:rPr>
                <w:rFonts w:eastAsia="Calibri"/>
                <w:color w:val="231F20"/>
                <w:w w:val="97"/>
                <w:sz w:val="20"/>
                <w:szCs w:val="20"/>
              </w:rPr>
              <w:t>r</w:t>
            </w:r>
            <w:r w:rsidRPr="00E85C29">
              <w:rPr>
                <w:rFonts w:eastAsia="Calibri"/>
                <w:color w:val="231F20"/>
                <w:spacing w:val="-4"/>
                <w:w w:val="97"/>
                <w:sz w:val="20"/>
                <w:szCs w:val="20"/>
              </w:rPr>
              <w:t>o</w:t>
            </w:r>
            <w:r w:rsidRPr="00E85C29">
              <w:rPr>
                <w:rFonts w:eastAsia="Calibri"/>
                <w:color w:val="231F20"/>
                <w:w w:val="97"/>
                <w:sz w:val="20"/>
                <w:szCs w:val="20"/>
              </w:rPr>
              <w:t>t</w:t>
            </w:r>
            <w:r w:rsidRPr="00E85C29">
              <w:rPr>
                <w:rFonts w:eastAsia="Calibri"/>
                <w:color w:val="231F20"/>
                <w:spacing w:val="-3"/>
                <w:w w:val="97"/>
                <w:sz w:val="20"/>
                <w:szCs w:val="20"/>
              </w:rPr>
              <w:t>ic</w:t>
            </w:r>
            <w:r w:rsidRPr="00E85C29">
              <w:rPr>
                <w:rFonts w:eastAsia="Calibri"/>
                <w:color w:val="231F20"/>
                <w:w w:val="97"/>
                <w:sz w:val="20"/>
                <w:szCs w:val="20"/>
              </w:rPr>
              <w:t>-</w:t>
            </w:r>
            <w:r w:rsidRPr="00E85C29">
              <w:rPr>
                <w:rFonts w:eastAsia="Calibri"/>
                <w:color w:val="231F20"/>
                <w:spacing w:val="-4"/>
                <w:w w:val="97"/>
                <w:sz w:val="20"/>
                <w:szCs w:val="20"/>
              </w:rPr>
              <w:t>r</w:t>
            </w:r>
            <w:r w:rsidRPr="00E85C29">
              <w:rPr>
                <w:rFonts w:eastAsia="Calibri"/>
                <w:color w:val="231F20"/>
                <w:w w:val="97"/>
                <w:sz w:val="20"/>
                <w:szCs w:val="20"/>
              </w:rPr>
              <w:t>a</w:t>
            </w:r>
            <w:r w:rsidRPr="00E85C29">
              <w:rPr>
                <w:rFonts w:eastAsia="Calibri"/>
                <w:color w:val="231F20"/>
                <w:spacing w:val="-3"/>
                <w:w w:val="97"/>
                <w:sz w:val="20"/>
                <w:szCs w:val="20"/>
              </w:rPr>
              <w:t>n</w:t>
            </w:r>
            <w:r w:rsidRPr="00E85C29">
              <w:rPr>
                <w:rFonts w:eastAsia="Calibri"/>
                <w:color w:val="231F20"/>
                <w:w w:val="97"/>
                <w:sz w:val="20"/>
                <w:szCs w:val="20"/>
              </w:rPr>
              <w:t>ge</w:t>
            </w:r>
            <w:r w:rsidRPr="00E85C29">
              <w:rPr>
                <w:rFonts w:eastAsia="Calibri"/>
                <w:color w:val="231F20"/>
                <w:spacing w:val="8"/>
                <w:w w:val="97"/>
                <w:sz w:val="20"/>
                <w:szCs w:val="20"/>
              </w:rPr>
              <w:t xml:space="preserve"> </w:t>
            </w:r>
            <w:r w:rsidRPr="00E85C29">
              <w:rPr>
                <w:rFonts w:eastAsia="Calibri"/>
                <w:color w:val="231F20"/>
                <w:sz w:val="20"/>
                <w:szCs w:val="20"/>
              </w:rPr>
              <w:t>p</w:t>
            </w:r>
            <w:r w:rsidRPr="00E85C29">
              <w:rPr>
                <w:rFonts w:eastAsia="Calibri"/>
                <w:color w:val="231F20"/>
                <w:spacing w:val="-4"/>
                <w:sz w:val="20"/>
                <w:szCs w:val="20"/>
              </w:rPr>
              <w:t>r</w:t>
            </w:r>
            <w:r w:rsidRPr="00E85C29">
              <w:rPr>
                <w:rFonts w:eastAsia="Calibri"/>
                <w:color w:val="231F20"/>
                <w:sz w:val="20"/>
                <w:szCs w:val="20"/>
              </w:rPr>
              <w:t>o</w:t>
            </w:r>
            <w:r w:rsidRPr="00E85C29">
              <w:rPr>
                <w:rFonts w:eastAsia="Calibri"/>
                <w:color w:val="231F20"/>
                <w:spacing w:val="-3"/>
                <w:sz w:val="20"/>
                <w:szCs w:val="20"/>
              </w:rPr>
              <w:t>t</w:t>
            </w:r>
            <w:r w:rsidRPr="00E85C29">
              <w:rPr>
                <w:rFonts w:eastAsia="Calibri"/>
                <w:color w:val="231F20"/>
                <w:sz w:val="20"/>
                <w:szCs w:val="20"/>
              </w:rPr>
              <w:t>e</w:t>
            </w:r>
            <w:r w:rsidRPr="00E85C29">
              <w:rPr>
                <w:rFonts w:eastAsia="Calibri"/>
                <w:color w:val="231F20"/>
                <w:spacing w:val="-4"/>
                <w:sz w:val="20"/>
                <w:szCs w:val="20"/>
              </w:rPr>
              <w:t>i</w:t>
            </w:r>
            <w:r w:rsidRPr="00E85C29">
              <w:rPr>
                <w:rFonts w:eastAsia="Calibri"/>
                <w:color w:val="231F20"/>
                <w:sz w:val="20"/>
                <w:szCs w:val="20"/>
              </w:rPr>
              <w:t>n</w:t>
            </w:r>
            <w:r w:rsidRPr="00E85C29">
              <w:rPr>
                <w:rFonts w:eastAsia="Calibri"/>
                <w:color w:val="231F20"/>
                <w:spacing w:val="-4"/>
                <w:sz w:val="20"/>
                <w:szCs w:val="20"/>
              </w:rPr>
              <w:t>u</w:t>
            </w:r>
            <w:r w:rsidRPr="00E85C29">
              <w:rPr>
                <w:rFonts w:eastAsia="Calibri"/>
                <w:color w:val="231F20"/>
                <w:sz w:val="20"/>
                <w:szCs w:val="20"/>
              </w:rPr>
              <w:t>r</w:t>
            </w:r>
            <w:r w:rsidRPr="00E85C29">
              <w:rPr>
                <w:rFonts w:eastAsia="Calibri"/>
                <w:color w:val="231F20"/>
                <w:spacing w:val="-4"/>
                <w:sz w:val="20"/>
                <w:szCs w:val="20"/>
              </w:rPr>
              <w:t>i</w:t>
            </w:r>
            <w:r w:rsidRPr="00E85C29">
              <w:rPr>
                <w:rFonts w:eastAsia="Calibri"/>
                <w:color w:val="231F20"/>
                <w:sz w:val="20"/>
                <w:szCs w:val="20"/>
              </w:rPr>
              <w:t xml:space="preserve">a </w:t>
            </w:r>
          </w:p>
          <w:p w14:paraId="49CD5951" w14:textId="77777777" w:rsidR="00E85C29" w:rsidRPr="00E85C29" w:rsidRDefault="00E85C29" w:rsidP="00E85C29">
            <w:pPr>
              <w:autoSpaceDE w:val="0"/>
              <w:autoSpaceDN w:val="0"/>
              <w:bidi w:val="0"/>
              <w:adjustRightInd w:val="0"/>
              <w:spacing w:line="194" w:lineRule="exact"/>
              <w:ind w:left="-23" w:right="-20" w:firstLine="23"/>
              <w:rPr>
                <w:rFonts w:eastAsia="Calibri"/>
                <w:color w:val="231F20"/>
                <w:sz w:val="20"/>
                <w:szCs w:val="20"/>
              </w:rPr>
            </w:pPr>
          </w:p>
        </w:tc>
        <w:tc>
          <w:tcPr>
            <w:tcW w:w="7055" w:type="dxa"/>
          </w:tcPr>
          <w:p w14:paraId="65E85F4D" w14:textId="77777777" w:rsidR="00E85C29" w:rsidRPr="00E85C29" w:rsidRDefault="00E85C29" w:rsidP="00E85C29">
            <w:pPr>
              <w:autoSpaceDE w:val="0"/>
              <w:autoSpaceDN w:val="0"/>
              <w:bidi w:val="0"/>
              <w:adjustRightInd w:val="0"/>
              <w:spacing w:line="194" w:lineRule="exact"/>
              <w:ind w:right="-20"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p>
          <w:p w14:paraId="1E9CF5E0" w14:textId="77777777" w:rsidR="00E85C29" w:rsidRPr="00E85C29" w:rsidRDefault="00E85C29" w:rsidP="00E85C29">
            <w:pPr>
              <w:autoSpaceDE w:val="0"/>
              <w:autoSpaceDN w:val="0"/>
              <w:bidi w:val="0"/>
              <w:adjustRightInd w:val="0"/>
              <w:spacing w:line="194" w:lineRule="exact"/>
              <w:ind w:right="-20"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UPCR ≥</w:t>
            </w:r>
            <w:r w:rsidRPr="00E85C29">
              <w:rPr>
                <w:rFonts w:eastAsia="Calibri"/>
                <w:b/>
                <w:bCs/>
                <w:color w:val="231F20"/>
                <w:spacing w:val="-17"/>
                <w:sz w:val="20"/>
                <w:szCs w:val="20"/>
              </w:rPr>
              <w:t xml:space="preserve"> </w:t>
            </w:r>
            <w:r w:rsidRPr="00E85C29">
              <w:rPr>
                <w:rFonts w:eastAsia="Calibri"/>
                <w:b/>
                <w:bCs/>
                <w:color w:val="231F20"/>
                <w:sz w:val="20"/>
                <w:szCs w:val="20"/>
              </w:rPr>
              <w:t>2</w:t>
            </w:r>
            <w:r w:rsidRPr="00E85C29">
              <w:rPr>
                <w:rFonts w:eastAsia="Calibri"/>
                <w:b/>
                <w:bCs/>
                <w:color w:val="231F20"/>
                <w:spacing w:val="-4"/>
                <w:sz w:val="20"/>
                <w:szCs w:val="20"/>
              </w:rPr>
              <w:t>0</w:t>
            </w:r>
            <w:r w:rsidRPr="00E85C29">
              <w:rPr>
                <w:rFonts w:eastAsia="Calibri"/>
                <w:b/>
                <w:bCs/>
                <w:color w:val="231F20"/>
                <w:sz w:val="20"/>
                <w:szCs w:val="20"/>
              </w:rPr>
              <w:t>0</w:t>
            </w:r>
            <w:r w:rsidRPr="00E85C29">
              <w:rPr>
                <w:rFonts w:eastAsia="Calibri"/>
                <w:b/>
                <w:bCs/>
                <w:color w:val="231F20"/>
                <w:spacing w:val="9"/>
                <w:sz w:val="20"/>
                <w:szCs w:val="20"/>
              </w:rPr>
              <w:t xml:space="preserve"> </w:t>
            </w:r>
            <w:r w:rsidRPr="00E85C29">
              <w:rPr>
                <w:rFonts w:eastAsia="Calibri"/>
                <w:b/>
                <w:bCs/>
                <w:color w:val="231F20"/>
                <w:spacing w:val="-2"/>
                <w:sz w:val="20"/>
                <w:szCs w:val="20"/>
              </w:rPr>
              <w:t>m</w:t>
            </w:r>
            <w:r w:rsidRPr="00E85C29">
              <w:rPr>
                <w:rFonts w:eastAsia="Calibri"/>
                <w:b/>
                <w:bCs/>
                <w:color w:val="231F20"/>
                <w:sz w:val="20"/>
                <w:szCs w:val="20"/>
              </w:rPr>
              <w:t>g</w:t>
            </w:r>
            <w:r w:rsidRPr="00E85C29">
              <w:rPr>
                <w:rFonts w:eastAsia="Calibri"/>
                <w:b/>
                <w:bCs/>
                <w:color w:val="231F20"/>
                <w:spacing w:val="-3"/>
                <w:sz w:val="20"/>
                <w:szCs w:val="20"/>
              </w:rPr>
              <w:t>/</w:t>
            </w:r>
            <w:r w:rsidRPr="00E85C29">
              <w:rPr>
                <w:rFonts w:eastAsia="Calibri"/>
                <w:b/>
                <w:bCs/>
                <w:color w:val="231F20"/>
                <w:spacing w:val="-2"/>
                <w:sz w:val="20"/>
                <w:szCs w:val="20"/>
              </w:rPr>
              <w:t>m</w:t>
            </w:r>
            <w:r w:rsidRPr="00E85C29">
              <w:rPr>
                <w:rFonts w:eastAsia="Calibri"/>
                <w:b/>
                <w:bCs/>
                <w:color w:val="231F20"/>
                <w:sz w:val="20"/>
                <w:szCs w:val="20"/>
              </w:rPr>
              <w:t>m</w:t>
            </w:r>
            <w:r w:rsidRPr="00E85C29">
              <w:rPr>
                <w:rFonts w:eastAsia="Calibri"/>
                <w:b/>
                <w:bCs/>
                <w:color w:val="231F20"/>
                <w:spacing w:val="-3"/>
                <w:sz w:val="20"/>
                <w:szCs w:val="20"/>
              </w:rPr>
              <w:t>o</w:t>
            </w:r>
            <w:r w:rsidRPr="00E85C29">
              <w:rPr>
                <w:rFonts w:eastAsia="Calibri"/>
                <w:b/>
                <w:bCs/>
                <w:color w:val="231F20"/>
                <w:sz w:val="20"/>
                <w:szCs w:val="20"/>
              </w:rPr>
              <w:t>l</w:t>
            </w:r>
            <w:r w:rsidRPr="00E85C29">
              <w:rPr>
                <w:rFonts w:eastAsia="Calibri"/>
                <w:b/>
                <w:bCs/>
                <w:color w:val="231F20"/>
                <w:spacing w:val="-11"/>
                <w:sz w:val="20"/>
                <w:szCs w:val="20"/>
              </w:rPr>
              <w:t xml:space="preserve"> </w:t>
            </w:r>
            <w:r w:rsidRPr="00E85C29">
              <w:rPr>
                <w:rFonts w:eastAsia="Calibri"/>
                <w:b/>
                <w:bCs/>
                <w:color w:val="231F20"/>
                <w:spacing w:val="-2"/>
                <w:sz w:val="20"/>
                <w:szCs w:val="20"/>
              </w:rPr>
              <w:t>(</w:t>
            </w:r>
            <w:r w:rsidRPr="00E85C29">
              <w:rPr>
                <w:rFonts w:eastAsia="Calibri"/>
                <w:b/>
                <w:bCs/>
                <w:color w:val="231F20"/>
                <w:sz w:val="20"/>
                <w:szCs w:val="20"/>
              </w:rPr>
              <w:t>2</w:t>
            </w:r>
            <w:r w:rsidRPr="00E85C29">
              <w:rPr>
                <w:rFonts w:eastAsia="Calibri"/>
                <w:b/>
                <w:bCs/>
                <w:color w:val="231F20"/>
                <w:spacing w:val="9"/>
                <w:sz w:val="20"/>
                <w:szCs w:val="20"/>
              </w:rPr>
              <w:t xml:space="preserve"> </w:t>
            </w:r>
            <w:r w:rsidRPr="00E85C29">
              <w:rPr>
                <w:rFonts w:eastAsia="Calibri"/>
                <w:b/>
                <w:bCs/>
                <w:color w:val="231F20"/>
                <w:spacing w:val="-2"/>
                <w:sz w:val="20"/>
                <w:szCs w:val="20"/>
              </w:rPr>
              <w:t>m</w:t>
            </w:r>
            <w:r w:rsidRPr="00E85C29">
              <w:rPr>
                <w:rFonts w:eastAsia="Calibri"/>
                <w:b/>
                <w:bCs/>
                <w:color w:val="231F20"/>
                <w:sz w:val="20"/>
                <w:szCs w:val="20"/>
              </w:rPr>
              <w:t>g</w:t>
            </w:r>
            <w:r w:rsidRPr="00E85C29">
              <w:rPr>
                <w:rFonts w:eastAsia="Calibri"/>
                <w:b/>
                <w:bCs/>
                <w:color w:val="231F20"/>
                <w:spacing w:val="-3"/>
                <w:sz w:val="20"/>
                <w:szCs w:val="20"/>
              </w:rPr>
              <w:t>/</w:t>
            </w:r>
            <w:r w:rsidRPr="00E85C29">
              <w:rPr>
                <w:rFonts w:eastAsia="Calibri"/>
                <w:b/>
                <w:bCs/>
                <w:color w:val="231F20"/>
                <w:spacing w:val="-2"/>
                <w:sz w:val="20"/>
                <w:szCs w:val="20"/>
              </w:rPr>
              <w:t>m</w:t>
            </w:r>
            <w:r w:rsidRPr="00E85C29">
              <w:rPr>
                <w:rFonts w:eastAsia="Calibri"/>
                <w:b/>
                <w:bCs/>
                <w:color w:val="231F20"/>
                <w:sz w:val="20"/>
                <w:szCs w:val="20"/>
              </w:rPr>
              <w:t>g)</w:t>
            </w:r>
            <w:r w:rsidRPr="00E85C29">
              <w:rPr>
                <w:rFonts w:eastAsia="Calibri"/>
                <w:b/>
                <w:bCs/>
                <w:color w:val="231F20"/>
                <w:spacing w:val="-11"/>
                <w:sz w:val="20"/>
                <w:szCs w:val="20"/>
              </w:rPr>
              <w:t xml:space="preserve"> </w:t>
            </w:r>
            <w:r w:rsidRPr="00E85C29">
              <w:rPr>
                <w:rFonts w:eastAsia="Calibri"/>
                <w:b/>
                <w:bCs/>
                <w:color w:val="231F20"/>
                <w:sz w:val="20"/>
                <w:szCs w:val="20"/>
              </w:rPr>
              <w:t>in</w:t>
            </w:r>
            <w:r w:rsidRPr="00E85C29">
              <w:rPr>
                <w:rFonts w:eastAsia="Calibri"/>
                <w:b/>
                <w:bCs/>
                <w:color w:val="231F20"/>
                <w:spacing w:val="-4"/>
                <w:sz w:val="20"/>
                <w:szCs w:val="20"/>
              </w:rPr>
              <w:t xml:space="preserve"> </w:t>
            </w:r>
            <w:r w:rsidRPr="00E85C29">
              <w:rPr>
                <w:rFonts w:eastAsia="Calibri"/>
                <w:b/>
                <w:bCs/>
                <w:color w:val="231F20"/>
                <w:spacing w:val="-2"/>
                <w:sz w:val="20"/>
                <w:szCs w:val="20"/>
              </w:rPr>
              <w:t>f</w:t>
            </w:r>
            <w:r w:rsidRPr="00E85C29">
              <w:rPr>
                <w:rFonts w:eastAsia="Calibri"/>
                <w:b/>
                <w:bCs/>
                <w:color w:val="231F20"/>
                <w:sz w:val="20"/>
                <w:szCs w:val="20"/>
              </w:rPr>
              <w:t>i</w:t>
            </w:r>
            <w:r w:rsidRPr="00E85C29">
              <w:rPr>
                <w:rFonts w:eastAsia="Calibri"/>
                <w:b/>
                <w:bCs/>
                <w:color w:val="231F20"/>
                <w:spacing w:val="-3"/>
                <w:sz w:val="20"/>
                <w:szCs w:val="20"/>
              </w:rPr>
              <w:t>r</w:t>
            </w:r>
            <w:r w:rsidRPr="00E85C29">
              <w:rPr>
                <w:rFonts w:eastAsia="Calibri"/>
                <w:b/>
                <w:bCs/>
                <w:color w:val="231F20"/>
                <w:sz w:val="20"/>
                <w:szCs w:val="20"/>
              </w:rPr>
              <w:t>st</w:t>
            </w:r>
            <w:r w:rsidRPr="00E85C29">
              <w:rPr>
                <w:rFonts w:eastAsia="Calibri"/>
                <w:b/>
                <w:bCs/>
                <w:color w:val="231F20"/>
                <w:spacing w:val="-10"/>
                <w:sz w:val="20"/>
                <w:szCs w:val="20"/>
              </w:rPr>
              <w:t xml:space="preserve"> </w:t>
            </w:r>
            <w:r w:rsidRPr="00E85C29">
              <w:rPr>
                <w:rFonts w:eastAsia="Calibri"/>
                <w:b/>
                <w:bCs/>
                <w:color w:val="231F20"/>
                <w:spacing w:val="-2"/>
                <w:sz w:val="20"/>
                <w:szCs w:val="20"/>
              </w:rPr>
              <w:t>m</w:t>
            </w:r>
            <w:r w:rsidRPr="00E85C29">
              <w:rPr>
                <w:rFonts w:eastAsia="Calibri"/>
                <w:b/>
                <w:bCs/>
                <w:color w:val="231F20"/>
                <w:sz w:val="20"/>
                <w:szCs w:val="20"/>
              </w:rPr>
              <w:t>o</w:t>
            </w:r>
            <w:r w:rsidRPr="00E85C29">
              <w:rPr>
                <w:rFonts w:eastAsia="Calibri"/>
                <w:b/>
                <w:bCs/>
                <w:color w:val="231F20"/>
                <w:spacing w:val="-4"/>
                <w:sz w:val="20"/>
                <w:szCs w:val="20"/>
              </w:rPr>
              <w:t>r</w:t>
            </w:r>
            <w:r w:rsidRPr="00E85C29">
              <w:rPr>
                <w:rFonts w:eastAsia="Calibri"/>
                <w:b/>
                <w:bCs/>
                <w:color w:val="231F20"/>
                <w:sz w:val="20"/>
                <w:szCs w:val="20"/>
              </w:rPr>
              <w:t>n</w:t>
            </w:r>
            <w:r w:rsidRPr="00E85C29">
              <w:rPr>
                <w:rFonts w:eastAsia="Calibri"/>
                <w:b/>
                <w:bCs/>
                <w:color w:val="231F20"/>
                <w:spacing w:val="-3"/>
                <w:sz w:val="20"/>
                <w:szCs w:val="20"/>
              </w:rPr>
              <w:t>i</w:t>
            </w:r>
            <w:r w:rsidRPr="00E85C29">
              <w:rPr>
                <w:rFonts w:eastAsia="Calibri"/>
                <w:b/>
                <w:bCs/>
                <w:color w:val="231F20"/>
                <w:sz w:val="20"/>
                <w:szCs w:val="20"/>
              </w:rPr>
              <w:t>ng</w:t>
            </w:r>
            <w:r w:rsidRPr="00E85C29">
              <w:rPr>
                <w:rFonts w:eastAsia="Calibri"/>
                <w:b/>
                <w:bCs/>
                <w:color w:val="231F20"/>
                <w:spacing w:val="-11"/>
                <w:sz w:val="20"/>
                <w:szCs w:val="20"/>
              </w:rPr>
              <w:t xml:space="preserve"> </w:t>
            </w:r>
            <w:r w:rsidRPr="00E85C29">
              <w:rPr>
                <w:rFonts w:eastAsia="Calibri"/>
                <w:b/>
                <w:bCs/>
                <w:color w:val="231F20"/>
                <w:sz w:val="20"/>
                <w:szCs w:val="20"/>
              </w:rPr>
              <w:t>v</w:t>
            </w:r>
            <w:r w:rsidRPr="00E85C29">
              <w:rPr>
                <w:rFonts w:eastAsia="Calibri"/>
                <w:b/>
                <w:bCs/>
                <w:color w:val="231F20"/>
                <w:spacing w:val="-4"/>
                <w:sz w:val="20"/>
                <w:szCs w:val="20"/>
              </w:rPr>
              <w:t>o</w:t>
            </w:r>
            <w:r w:rsidRPr="00E85C29">
              <w:rPr>
                <w:rFonts w:eastAsia="Calibri"/>
                <w:b/>
                <w:bCs/>
                <w:color w:val="231F20"/>
                <w:sz w:val="20"/>
                <w:szCs w:val="20"/>
              </w:rPr>
              <w:t>id</w:t>
            </w:r>
            <w:r w:rsidRPr="00E85C29">
              <w:rPr>
                <w:rFonts w:eastAsia="Calibri"/>
                <w:b/>
                <w:bCs/>
                <w:color w:val="231F20"/>
                <w:spacing w:val="-5"/>
                <w:sz w:val="20"/>
                <w:szCs w:val="20"/>
              </w:rPr>
              <w:t xml:space="preserve"> </w:t>
            </w:r>
            <w:r w:rsidRPr="00E85C29">
              <w:rPr>
                <w:rFonts w:eastAsia="Calibri"/>
                <w:b/>
                <w:bCs/>
                <w:color w:val="231F20"/>
                <w:sz w:val="20"/>
                <w:szCs w:val="20"/>
              </w:rPr>
              <w:t>or</w:t>
            </w:r>
          </w:p>
          <w:p w14:paraId="0691513E" w14:textId="77777777" w:rsidR="00E85C29" w:rsidRPr="00E85C29" w:rsidRDefault="00E85C29" w:rsidP="00E85C29">
            <w:pPr>
              <w:autoSpaceDE w:val="0"/>
              <w:autoSpaceDN w:val="0"/>
              <w:bidi w:val="0"/>
              <w:adjustRightInd w:val="0"/>
              <w:spacing w:line="194" w:lineRule="exact"/>
              <w:ind w:right="-20" w:firstLine="23"/>
              <w:cnfStyle w:val="000000100000" w:firstRow="0" w:lastRow="0" w:firstColumn="0" w:lastColumn="0" w:oddVBand="0" w:evenVBand="0" w:oddHBand="1" w:evenHBand="0" w:firstRowFirstColumn="0" w:firstRowLastColumn="0" w:lastRowFirstColumn="0" w:lastRowLastColumn="0"/>
              <w:rPr>
                <w:rFonts w:eastAsia="Calibri"/>
                <w:b/>
                <w:bCs/>
                <w:color w:val="231F20"/>
                <w:spacing w:val="-3"/>
                <w:sz w:val="20"/>
                <w:szCs w:val="20"/>
              </w:rPr>
            </w:pPr>
            <w:r w:rsidRPr="00E85C29">
              <w:rPr>
                <w:rFonts w:eastAsia="Calibri"/>
                <w:b/>
                <w:bCs/>
                <w:color w:val="231F20"/>
                <w:spacing w:val="-3"/>
                <w:sz w:val="20"/>
                <w:szCs w:val="20"/>
              </w:rPr>
              <w:t xml:space="preserve"> </w:t>
            </w:r>
            <w:r w:rsidRPr="00E85C29">
              <w:rPr>
                <w:rFonts w:eastAsia="Calibri"/>
                <w:b/>
                <w:bCs/>
                <w:color w:val="231F20"/>
                <w:sz w:val="20"/>
                <w:szCs w:val="20"/>
              </w:rPr>
              <w:t>24</w:t>
            </w:r>
            <w:r w:rsidRPr="00E85C29">
              <w:rPr>
                <w:rFonts w:eastAsia="Calibri"/>
                <w:b/>
                <w:bCs/>
                <w:color w:val="231F20"/>
                <w:spacing w:val="8"/>
                <w:sz w:val="20"/>
                <w:szCs w:val="20"/>
              </w:rPr>
              <w:t xml:space="preserve"> </w:t>
            </w:r>
            <w:r w:rsidRPr="00E85C29">
              <w:rPr>
                <w:rFonts w:eastAsia="Calibri"/>
                <w:b/>
                <w:bCs/>
                <w:color w:val="231F20"/>
                <w:sz w:val="20"/>
                <w:szCs w:val="20"/>
              </w:rPr>
              <w:t>h u</w:t>
            </w:r>
            <w:r w:rsidRPr="00E85C29">
              <w:rPr>
                <w:rFonts w:eastAsia="Calibri"/>
                <w:b/>
                <w:bCs/>
                <w:color w:val="231F20"/>
                <w:spacing w:val="-4"/>
                <w:sz w:val="20"/>
                <w:szCs w:val="20"/>
              </w:rPr>
              <w:t>r</w:t>
            </w:r>
            <w:r w:rsidRPr="00E85C29">
              <w:rPr>
                <w:rFonts w:eastAsia="Calibri"/>
                <w:b/>
                <w:bCs/>
                <w:color w:val="231F20"/>
                <w:sz w:val="20"/>
                <w:szCs w:val="20"/>
              </w:rPr>
              <w:t>i</w:t>
            </w:r>
            <w:r w:rsidRPr="00E85C29">
              <w:rPr>
                <w:rFonts w:eastAsia="Calibri"/>
                <w:b/>
                <w:bCs/>
                <w:color w:val="231F20"/>
                <w:spacing w:val="-3"/>
                <w:sz w:val="20"/>
                <w:szCs w:val="20"/>
              </w:rPr>
              <w:t>n</w:t>
            </w:r>
            <w:r w:rsidRPr="00E85C29">
              <w:rPr>
                <w:rFonts w:eastAsia="Calibri"/>
                <w:b/>
                <w:bCs/>
                <w:color w:val="231F20"/>
                <w:sz w:val="20"/>
                <w:szCs w:val="20"/>
              </w:rPr>
              <w:t>e</w:t>
            </w:r>
            <w:r w:rsidRPr="00E85C29">
              <w:rPr>
                <w:rFonts w:eastAsia="Calibri"/>
                <w:b/>
                <w:bCs/>
                <w:color w:val="231F20"/>
                <w:spacing w:val="-6"/>
                <w:sz w:val="20"/>
                <w:szCs w:val="20"/>
              </w:rPr>
              <w:t xml:space="preserve"> </w:t>
            </w:r>
            <w:r w:rsidRPr="00E85C29">
              <w:rPr>
                <w:rFonts w:eastAsia="Calibri"/>
                <w:b/>
                <w:bCs/>
                <w:color w:val="231F20"/>
                <w:sz w:val="20"/>
                <w:szCs w:val="20"/>
              </w:rPr>
              <w:t>s</w:t>
            </w:r>
            <w:r w:rsidRPr="00E85C29">
              <w:rPr>
                <w:rFonts w:eastAsia="Calibri"/>
                <w:b/>
                <w:bCs/>
                <w:color w:val="231F20"/>
                <w:spacing w:val="-4"/>
                <w:sz w:val="20"/>
                <w:szCs w:val="20"/>
              </w:rPr>
              <w:t>a</w:t>
            </w:r>
            <w:r w:rsidRPr="00E85C29">
              <w:rPr>
                <w:rFonts w:eastAsia="Calibri"/>
                <w:b/>
                <w:bCs/>
                <w:color w:val="231F20"/>
                <w:sz w:val="20"/>
                <w:szCs w:val="20"/>
              </w:rPr>
              <w:t>m</w:t>
            </w:r>
            <w:r w:rsidRPr="00E85C29">
              <w:rPr>
                <w:rFonts w:eastAsia="Calibri"/>
                <w:b/>
                <w:bCs/>
                <w:color w:val="231F20"/>
                <w:spacing w:val="-3"/>
                <w:sz w:val="20"/>
                <w:szCs w:val="20"/>
              </w:rPr>
              <w:t>pl</w:t>
            </w:r>
            <w:r w:rsidRPr="00E85C29">
              <w:rPr>
                <w:rFonts w:eastAsia="Calibri"/>
                <w:b/>
                <w:bCs/>
                <w:color w:val="231F20"/>
                <w:sz w:val="20"/>
                <w:szCs w:val="20"/>
              </w:rPr>
              <w:t>e</w:t>
            </w:r>
            <w:r w:rsidRPr="00E85C29">
              <w:rPr>
                <w:rFonts w:eastAsia="Calibri"/>
                <w:b/>
                <w:bCs/>
                <w:color w:val="000000"/>
                <w:sz w:val="20"/>
                <w:szCs w:val="20"/>
              </w:rPr>
              <w:t xml:space="preserve"> </w:t>
            </w:r>
            <w:r w:rsidRPr="00E85C29">
              <w:rPr>
                <w:rFonts w:eastAsia="Calibri"/>
                <w:b/>
                <w:bCs/>
                <w:color w:val="231F20"/>
                <w:sz w:val="20"/>
                <w:szCs w:val="20"/>
              </w:rPr>
              <w:t>≥</w:t>
            </w:r>
            <w:r w:rsidRPr="00E85C29">
              <w:rPr>
                <w:rFonts w:eastAsia="Calibri"/>
                <w:b/>
                <w:bCs/>
                <w:color w:val="231F20"/>
                <w:spacing w:val="-17"/>
                <w:sz w:val="20"/>
                <w:szCs w:val="20"/>
              </w:rPr>
              <w:t xml:space="preserve"> </w:t>
            </w:r>
            <w:r w:rsidRPr="00E85C29">
              <w:rPr>
                <w:rFonts w:eastAsia="Calibri"/>
                <w:b/>
                <w:bCs/>
                <w:color w:val="231F20"/>
                <w:sz w:val="20"/>
                <w:szCs w:val="20"/>
              </w:rPr>
              <w:t>1</w:t>
            </w:r>
            <w:r w:rsidRPr="00E85C29">
              <w:rPr>
                <w:rFonts w:eastAsia="Calibri"/>
                <w:b/>
                <w:bCs/>
                <w:color w:val="231F20"/>
                <w:spacing w:val="-4"/>
                <w:sz w:val="20"/>
                <w:szCs w:val="20"/>
              </w:rPr>
              <w:t>0</w:t>
            </w:r>
            <w:r w:rsidRPr="00E85C29">
              <w:rPr>
                <w:rFonts w:eastAsia="Calibri"/>
                <w:b/>
                <w:bCs/>
                <w:color w:val="231F20"/>
                <w:sz w:val="20"/>
                <w:szCs w:val="20"/>
              </w:rPr>
              <w:t>00</w:t>
            </w:r>
            <w:r w:rsidRPr="00E85C29">
              <w:rPr>
                <w:rFonts w:eastAsia="Calibri"/>
                <w:b/>
                <w:bCs/>
                <w:color w:val="231F20"/>
                <w:spacing w:val="6"/>
                <w:sz w:val="20"/>
                <w:szCs w:val="20"/>
              </w:rPr>
              <w:t xml:space="preserve"> </w:t>
            </w:r>
            <w:r w:rsidRPr="00E85C29">
              <w:rPr>
                <w:rFonts w:eastAsia="Calibri"/>
                <w:b/>
                <w:bCs/>
                <w:color w:val="231F20"/>
                <w:sz w:val="20"/>
                <w:szCs w:val="20"/>
              </w:rPr>
              <w:t>m</w:t>
            </w:r>
            <w:r w:rsidRPr="00E85C29">
              <w:rPr>
                <w:rFonts w:eastAsia="Calibri"/>
                <w:b/>
                <w:bCs/>
                <w:color w:val="231F20"/>
                <w:spacing w:val="-3"/>
                <w:sz w:val="20"/>
                <w:szCs w:val="20"/>
              </w:rPr>
              <w:t>g/</w:t>
            </w:r>
            <w:r w:rsidRPr="00E85C29">
              <w:rPr>
                <w:rFonts w:eastAsia="Calibri"/>
                <w:b/>
                <w:bCs/>
                <w:color w:val="231F20"/>
                <w:spacing w:val="-1"/>
                <w:sz w:val="20"/>
                <w:szCs w:val="20"/>
              </w:rPr>
              <w:t>m</w:t>
            </w:r>
            <w:r w:rsidRPr="00E85C29">
              <w:rPr>
                <w:rFonts w:eastAsia="Calibri"/>
                <w:b/>
                <w:bCs/>
                <w:color w:val="231F20"/>
                <w:spacing w:val="-2"/>
                <w:position w:val="7"/>
                <w:sz w:val="20"/>
                <w:szCs w:val="20"/>
              </w:rPr>
              <w:t>2</w:t>
            </w:r>
            <w:r w:rsidRPr="00E85C29">
              <w:rPr>
                <w:rFonts w:eastAsia="Calibri"/>
                <w:b/>
                <w:bCs/>
                <w:color w:val="231F20"/>
                <w:sz w:val="20"/>
                <w:szCs w:val="20"/>
              </w:rPr>
              <w:t>/</w:t>
            </w:r>
            <w:r w:rsidRPr="00E85C29">
              <w:rPr>
                <w:rFonts w:eastAsia="Calibri"/>
                <w:b/>
                <w:bCs/>
                <w:color w:val="231F20"/>
                <w:spacing w:val="-3"/>
                <w:sz w:val="20"/>
                <w:szCs w:val="20"/>
              </w:rPr>
              <w:t>da</w:t>
            </w:r>
            <w:r w:rsidRPr="00E85C29">
              <w:rPr>
                <w:rFonts w:eastAsia="Calibri"/>
                <w:b/>
                <w:bCs/>
                <w:color w:val="231F20"/>
                <w:sz w:val="20"/>
                <w:szCs w:val="20"/>
              </w:rPr>
              <w:t>y</w:t>
            </w:r>
            <w:r w:rsidRPr="00E85C29">
              <w:rPr>
                <w:rFonts w:eastAsia="Calibri"/>
                <w:b/>
                <w:bCs/>
                <w:color w:val="231F20"/>
                <w:spacing w:val="-1"/>
                <w:sz w:val="20"/>
                <w:szCs w:val="20"/>
              </w:rPr>
              <w:t xml:space="preserve"> </w:t>
            </w:r>
            <w:r w:rsidRPr="00E85C29">
              <w:rPr>
                <w:rFonts w:eastAsia="Calibri"/>
                <w:b/>
                <w:bCs/>
                <w:color w:val="231F20"/>
                <w:spacing w:val="-3"/>
                <w:w w:val="98"/>
                <w:sz w:val="20"/>
                <w:szCs w:val="20"/>
              </w:rPr>
              <w:t>c</w:t>
            </w:r>
            <w:r w:rsidRPr="00E85C29">
              <w:rPr>
                <w:rFonts w:eastAsia="Calibri"/>
                <w:b/>
                <w:bCs/>
                <w:color w:val="231F20"/>
                <w:w w:val="98"/>
                <w:sz w:val="20"/>
                <w:szCs w:val="20"/>
              </w:rPr>
              <w:t>o</w:t>
            </w:r>
            <w:r w:rsidRPr="00E85C29">
              <w:rPr>
                <w:rFonts w:eastAsia="Calibri"/>
                <w:b/>
                <w:bCs/>
                <w:color w:val="231F20"/>
                <w:spacing w:val="-3"/>
                <w:w w:val="98"/>
                <w:sz w:val="20"/>
                <w:szCs w:val="20"/>
              </w:rPr>
              <w:t>r</w:t>
            </w:r>
            <w:r w:rsidRPr="00E85C29">
              <w:rPr>
                <w:rFonts w:eastAsia="Calibri"/>
                <w:b/>
                <w:bCs/>
                <w:color w:val="231F20"/>
                <w:spacing w:val="-2"/>
                <w:w w:val="98"/>
                <w:sz w:val="20"/>
                <w:szCs w:val="20"/>
              </w:rPr>
              <w:t>r</w:t>
            </w:r>
            <w:r w:rsidRPr="00E85C29">
              <w:rPr>
                <w:rFonts w:eastAsia="Calibri"/>
                <w:b/>
                <w:bCs/>
                <w:color w:val="231F20"/>
                <w:w w:val="98"/>
                <w:sz w:val="20"/>
                <w:szCs w:val="20"/>
              </w:rPr>
              <w:t>e</w:t>
            </w:r>
            <w:r w:rsidRPr="00E85C29">
              <w:rPr>
                <w:rFonts w:eastAsia="Calibri"/>
                <w:b/>
                <w:bCs/>
                <w:color w:val="231F20"/>
                <w:spacing w:val="-3"/>
                <w:w w:val="98"/>
                <w:sz w:val="20"/>
                <w:szCs w:val="20"/>
              </w:rPr>
              <w:t>s</w:t>
            </w:r>
            <w:r w:rsidRPr="00E85C29">
              <w:rPr>
                <w:rFonts w:eastAsia="Calibri"/>
                <w:b/>
                <w:bCs/>
                <w:color w:val="231F20"/>
                <w:w w:val="98"/>
                <w:sz w:val="20"/>
                <w:szCs w:val="20"/>
              </w:rPr>
              <w:t>p</w:t>
            </w:r>
            <w:r w:rsidRPr="00E85C29">
              <w:rPr>
                <w:rFonts w:eastAsia="Calibri"/>
                <w:b/>
                <w:bCs/>
                <w:color w:val="231F20"/>
                <w:spacing w:val="-4"/>
                <w:w w:val="98"/>
                <w:sz w:val="20"/>
                <w:szCs w:val="20"/>
              </w:rPr>
              <w:t>o</w:t>
            </w:r>
            <w:r w:rsidRPr="00E85C29">
              <w:rPr>
                <w:rFonts w:eastAsia="Calibri"/>
                <w:b/>
                <w:bCs/>
                <w:color w:val="231F20"/>
                <w:spacing w:val="-3"/>
                <w:w w:val="98"/>
                <w:sz w:val="20"/>
                <w:szCs w:val="20"/>
              </w:rPr>
              <w:t>n</w:t>
            </w:r>
            <w:r w:rsidRPr="00E85C29">
              <w:rPr>
                <w:rFonts w:eastAsia="Calibri"/>
                <w:b/>
                <w:bCs/>
                <w:color w:val="231F20"/>
                <w:w w:val="98"/>
                <w:sz w:val="20"/>
                <w:szCs w:val="20"/>
              </w:rPr>
              <w:t>d</w:t>
            </w:r>
            <w:r w:rsidRPr="00E85C29">
              <w:rPr>
                <w:rFonts w:eastAsia="Calibri"/>
                <w:b/>
                <w:bCs/>
                <w:color w:val="231F20"/>
                <w:spacing w:val="-3"/>
                <w:w w:val="98"/>
                <w:sz w:val="20"/>
                <w:szCs w:val="20"/>
              </w:rPr>
              <w:t>i</w:t>
            </w:r>
            <w:r w:rsidRPr="00E85C29">
              <w:rPr>
                <w:rFonts w:eastAsia="Calibri"/>
                <w:b/>
                <w:bCs/>
                <w:color w:val="231F20"/>
                <w:w w:val="98"/>
                <w:sz w:val="20"/>
                <w:szCs w:val="20"/>
              </w:rPr>
              <w:t>ng</w:t>
            </w:r>
            <w:r w:rsidRPr="00E85C29">
              <w:rPr>
                <w:rFonts w:eastAsia="Calibri"/>
                <w:b/>
                <w:bCs/>
                <w:color w:val="231F20"/>
                <w:spacing w:val="3"/>
                <w:w w:val="98"/>
                <w:sz w:val="20"/>
                <w:szCs w:val="20"/>
              </w:rPr>
              <w:t xml:space="preserve"> </w:t>
            </w:r>
            <w:r w:rsidRPr="00E85C29">
              <w:rPr>
                <w:rFonts w:eastAsia="Calibri"/>
                <w:b/>
                <w:bCs/>
                <w:color w:val="231F20"/>
                <w:sz w:val="20"/>
                <w:szCs w:val="20"/>
              </w:rPr>
              <w:t>to</w:t>
            </w:r>
            <w:r w:rsidRPr="00E85C29">
              <w:rPr>
                <w:rFonts w:eastAsia="Calibri"/>
                <w:b/>
                <w:bCs/>
                <w:color w:val="231F20"/>
                <w:spacing w:val="-4"/>
                <w:sz w:val="20"/>
                <w:szCs w:val="20"/>
              </w:rPr>
              <w:t xml:space="preserve"> </w:t>
            </w:r>
            <w:r w:rsidRPr="00E85C29">
              <w:rPr>
                <w:rFonts w:eastAsia="Calibri"/>
                <w:b/>
                <w:bCs/>
                <w:color w:val="231F20"/>
                <w:sz w:val="20"/>
                <w:szCs w:val="20"/>
              </w:rPr>
              <w:t>3+</w:t>
            </w:r>
            <w:r w:rsidRPr="00E85C29">
              <w:rPr>
                <w:rFonts w:eastAsia="Calibri"/>
                <w:b/>
                <w:bCs/>
                <w:color w:val="231F20"/>
                <w:spacing w:val="-2"/>
                <w:sz w:val="20"/>
                <w:szCs w:val="20"/>
              </w:rPr>
              <w:t xml:space="preserve"> </w:t>
            </w:r>
            <w:r w:rsidRPr="00E85C29">
              <w:rPr>
                <w:rFonts w:eastAsia="Calibri"/>
                <w:b/>
                <w:bCs/>
                <w:color w:val="231F20"/>
                <w:sz w:val="20"/>
                <w:szCs w:val="20"/>
              </w:rPr>
              <w:t>or</w:t>
            </w:r>
            <w:r w:rsidRPr="00E85C29">
              <w:rPr>
                <w:rFonts w:eastAsia="Calibri"/>
                <w:b/>
                <w:bCs/>
                <w:color w:val="231F20"/>
                <w:spacing w:val="-3"/>
                <w:sz w:val="20"/>
                <w:szCs w:val="20"/>
              </w:rPr>
              <w:t xml:space="preserve"> </w:t>
            </w:r>
            <w:r w:rsidRPr="00E85C29">
              <w:rPr>
                <w:rFonts w:eastAsia="Calibri"/>
                <w:b/>
                <w:bCs/>
                <w:color w:val="231F20"/>
                <w:sz w:val="20"/>
                <w:szCs w:val="20"/>
              </w:rPr>
              <w:t>4+</w:t>
            </w:r>
            <w:r w:rsidRPr="00E85C29">
              <w:rPr>
                <w:rFonts w:eastAsia="Calibri"/>
                <w:b/>
                <w:bCs/>
                <w:color w:val="231F20"/>
                <w:spacing w:val="-3"/>
                <w:sz w:val="20"/>
                <w:szCs w:val="20"/>
              </w:rPr>
              <w:t xml:space="preserve"> </w:t>
            </w:r>
          </w:p>
          <w:p w14:paraId="0FE67A36" w14:textId="77777777" w:rsidR="00E85C29" w:rsidRPr="00E85C29" w:rsidRDefault="00E85C29" w:rsidP="00E85C29">
            <w:pPr>
              <w:autoSpaceDE w:val="0"/>
              <w:autoSpaceDN w:val="0"/>
              <w:bidi w:val="0"/>
              <w:adjustRightInd w:val="0"/>
              <w:spacing w:line="194" w:lineRule="exact"/>
              <w:ind w:right="-20" w:firstLine="23"/>
              <w:cnfStyle w:val="000000100000" w:firstRow="0" w:lastRow="0" w:firstColumn="0" w:lastColumn="0" w:oddVBand="0" w:evenVBand="0" w:oddHBand="1" w:evenHBand="0" w:firstRowFirstColumn="0" w:firstRowLastColumn="0" w:lastRowFirstColumn="0" w:lastRowLastColumn="0"/>
              <w:rPr>
                <w:rFonts w:eastAsia="Calibri"/>
                <w:b/>
                <w:bCs/>
                <w:color w:val="000000"/>
                <w:sz w:val="20"/>
                <w:szCs w:val="20"/>
              </w:rPr>
            </w:pPr>
            <w:r w:rsidRPr="00E85C29">
              <w:rPr>
                <w:rFonts w:eastAsia="Calibri"/>
                <w:b/>
                <w:bCs/>
                <w:color w:val="231F20"/>
                <w:sz w:val="20"/>
                <w:szCs w:val="20"/>
              </w:rPr>
              <w:t>by</w:t>
            </w:r>
            <w:r w:rsidRPr="00E85C29">
              <w:rPr>
                <w:rFonts w:eastAsia="Calibri"/>
                <w:b/>
                <w:bCs/>
                <w:color w:val="231F20"/>
                <w:spacing w:val="-3"/>
                <w:sz w:val="20"/>
                <w:szCs w:val="20"/>
              </w:rPr>
              <w:t xml:space="preserve"> </w:t>
            </w:r>
            <w:r w:rsidRPr="00E85C29">
              <w:rPr>
                <w:rFonts w:eastAsia="Calibri"/>
                <w:b/>
                <w:bCs/>
                <w:color w:val="231F20"/>
                <w:sz w:val="20"/>
                <w:szCs w:val="20"/>
              </w:rPr>
              <w:t>u</w:t>
            </w:r>
            <w:r w:rsidRPr="00E85C29">
              <w:rPr>
                <w:rFonts w:eastAsia="Calibri"/>
                <w:b/>
                <w:bCs/>
                <w:color w:val="231F20"/>
                <w:spacing w:val="-3"/>
                <w:sz w:val="20"/>
                <w:szCs w:val="20"/>
              </w:rPr>
              <w:t>r</w:t>
            </w:r>
            <w:r w:rsidRPr="00E85C29">
              <w:rPr>
                <w:rFonts w:eastAsia="Calibri"/>
                <w:b/>
                <w:bCs/>
                <w:color w:val="231F20"/>
                <w:sz w:val="20"/>
                <w:szCs w:val="20"/>
              </w:rPr>
              <w:t>i</w:t>
            </w:r>
            <w:r w:rsidRPr="00E85C29">
              <w:rPr>
                <w:rFonts w:eastAsia="Calibri"/>
                <w:b/>
                <w:bCs/>
                <w:color w:val="231F20"/>
                <w:spacing w:val="-5"/>
                <w:sz w:val="20"/>
                <w:szCs w:val="20"/>
              </w:rPr>
              <w:t>n</w:t>
            </w:r>
            <w:r w:rsidRPr="00E85C29">
              <w:rPr>
                <w:rFonts w:eastAsia="Calibri"/>
                <w:b/>
                <w:bCs/>
                <w:color w:val="231F20"/>
                <w:sz w:val="20"/>
                <w:szCs w:val="20"/>
              </w:rPr>
              <w:t>e</w:t>
            </w:r>
            <w:r w:rsidRPr="00E85C29">
              <w:rPr>
                <w:rFonts w:eastAsia="Calibri"/>
                <w:b/>
                <w:bCs/>
                <w:color w:val="231F20"/>
                <w:spacing w:val="-6"/>
                <w:sz w:val="20"/>
                <w:szCs w:val="20"/>
              </w:rPr>
              <w:t xml:space="preserve"> </w:t>
            </w:r>
            <w:r w:rsidRPr="00E85C29">
              <w:rPr>
                <w:rFonts w:eastAsia="Calibri"/>
                <w:b/>
                <w:bCs/>
                <w:color w:val="231F20"/>
                <w:sz w:val="20"/>
                <w:szCs w:val="20"/>
              </w:rPr>
              <w:t>d</w:t>
            </w:r>
            <w:r w:rsidRPr="00E85C29">
              <w:rPr>
                <w:rFonts w:eastAsia="Calibri"/>
                <w:b/>
                <w:bCs/>
                <w:color w:val="231F20"/>
                <w:spacing w:val="-3"/>
                <w:sz w:val="20"/>
                <w:szCs w:val="20"/>
              </w:rPr>
              <w:t>i</w:t>
            </w:r>
            <w:r w:rsidRPr="00E85C29">
              <w:rPr>
                <w:rFonts w:eastAsia="Calibri"/>
                <w:b/>
                <w:bCs/>
                <w:color w:val="231F20"/>
                <w:sz w:val="20"/>
                <w:szCs w:val="20"/>
              </w:rPr>
              <w:t>p</w:t>
            </w:r>
            <w:r w:rsidRPr="00E85C29">
              <w:rPr>
                <w:rFonts w:eastAsia="Calibri"/>
                <w:b/>
                <w:bCs/>
                <w:color w:val="231F20"/>
                <w:spacing w:val="-4"/>
                <w:sz w:val="20"/>
                <w:szCs w:val="20"/>
              </w:rPr>
              <w:t>s</w:t>
            </w:r>
            <w:r w:rsidRPr="00E85C29">
              <w:rPr>
                <w:rFonts w:eastAsia="Calibri"/>
                <w:b/>
                <w:bCs/>
                <w:color w:val="231F20"/>
                <w:sz w:val="20"/>
                <w:szCs w:val="20"/>
              </w:rPr>
              <w:t>t</w:t>
            </w:r>
            <w:r w:rsidRPr="00E85C29">
              <w:rPr>
                <w:rFonts w:eastAsia="Calibri"/>
                <w:b/>
                <w:bCs/>
                <w:color w:val="231F20"/>
                <w:spacing w:val="-4"/>
                <w:sz w:val="20"/>
                <w:szCs w:val="20"/>
              </w:rPr>
              <w:t>i</w:t>
            </w:r>
            <w:r w:rsidRPr="00E85C29">
              <w:rPr>
                <w:rFonts w:eastAsia="Calibri"/>
                <w:b/>
                <w:bCs/>
                <w:color w:val="231F20"/>
                <w:sz w:val="20"/>
                <w:szCs w:val="20"/>
              </w:rPr>
              <w:t>ck.</w:t>
            </w:r>
          </w:p>
        </w:tc>
      </w:tr>
      <w:tr w:rsidR="00E85C29" w:rsidRPr="00E85C29" w14:paraId="7209719A" w14:textId="77777777" w:rsidTr="00672A15">
        <w:tc>
          <w:tcPr>
            <w:cnfStyle w:val="001000000000" w:firstRow="0" w:lastRow="0" w:firstColumn="1" w:lastColumn="0" w:oddVBand="0" w:evenVBand="0" w:oddHBand="0" w:evenHBand="0" w:firstRowFirstColumn="0" w:firstRowLastColumn="0" w:lastRowFirstColumn="0" w:lastRowLastColumn="0"/>
            <w:tcW w:w="2390" w:type="dxa"/>
          </w:tcPr>
          <w:p w14:paraId="359387AE" w14:textId="77777777" w:rsidR="00E85C29" w:rsidRPr="00E85C29" w:rsidRDefault="00E85C29" w:rsidP="00E85C29">
            <w:pPr>
              <w:bidi w:val="0"/>
              <w:ind w:left="-23" w:firstLine="23"/>
              <w:rPr>
                <w:rFonts w:eastAsia="Calibri"/>
                <w:color w:val="231F20"/>
                <w:sz w:val="20"/>
                <w:szCs w:val="20"/>
              </w:rPr>
            </w:pPr>
            <w:r w:rsidRPr="00E85C29">
              <w:rPr>
                <w:rFonts w:eastAsia="Calibri"/>
                <w:color w:val="231F20"/>
                <w:sz w:val="20"/>
                <w:szCs w:val="20"/>
              </w:rPr>
              <w:t>N</w:t>
            </w:r>
            <w:r w:rsidRPr="00E85C29">
              <w:rPr>
                <w:rFonts w:eastAsia="Calibri"/>
                <w:color w:val="231F20"/>
                <w:spacing w:val="-4"/>
                <w:sz w:val="20"/>
                <w:szCs w:val="20"/>
              </w:rPr>
              <w:t>e</w:t>
            </w:r>
            <w:r w:rsidRPr="00E85C29">
              <w:rPr>
                <w:rFonts w:eastAsia="Calibri"/>
                <w:color w:val="231F20"/>
                <w:sz w:val="20"/>
                <w:szCs w:val="20"/>
              </w:rPr>
              <w:t>p</w:t>
            </w:r>
            <w:r w:rsidRPr="00E85C29">
              <w:rPr>
                <w:rFonts w:eastAsia="Calibri"/>
                <w:color w:val="231F20"/>
                <w:spacing w:val="-4"/>
                <w:sz w:val="20"/>
                <w:szCs w:val="20"/>
              </w:rPr>
              <w:t>h</w:t>
            </w:r>
            <w:r w:rsidRPr="00E85C29">
              <w:rPr>
                <w:rFonts w:eastAsia="Calibri"/>
                <w:color w:val="231F20"/>
                <w:sz w:val="20"/>
                <w:szCs w:val="20"/>
              </w:rPr>
              <w:t>r</w:t>
            </w:r>
            <w:r w:rsidRPr="00E85C29">
              <w:rPr>
                <w:rFonts w:eastAsia="Calibri"/>
                <w:color w:val="231F20"/>
                <w:spacing w:val="-4"/>
                <w:sz w:val="20"/>
                <w:szCs w:val="20"/>
              </w:rPr>
              <w:t>o</w:t>
            </w:r>
            <w:r w:rsidRPr="00E85C29">
              <w:rPr>
                <w:rFonts w:eastAsia="Calibri"/>
                <w:color w:val="231F20"/>
                <w:sz w:val="20"/>
                <w:szCs w:val="20"/>
              </w:rPr>
              <w:t>t</w:t>
            </w:r>
            <w:r w:rsidRPr="00E85C29">
              <w:rPr>
                <w:rFonts w:eastAsia="Calibri"/>
                <w:color w:val="231F20"/>
                <w:spacing w:val="-3"/>
                <w:sz w:val="20"/>
                <w:szCs w:val="20"/>
              </w:rPr>
              <w:t>i</w:t>
            </w:r>
            <w:r w:rsidRPr="00E85C29">
              <w:rPr>
                <w:rFonts w:eastAsia="Calibri"/>
                <w:color w:val="231F20"/>
                <w:sz w:val="20"/>
                <w:szCs w:val="20"/>
              </w:rPr>
              <w:t>c</w:t>
            </w:r>
            <w:r w:rsidRPr="00E85C29">
              <w:rPr>
                <w:rFonts w:eastAsia="Calibri"/>
                <w:color w:val="231F20"/>
                <w:spacing w:val="-13"/>
                <w:sz w:val="20"/>
                <w:szCs w:val="20"/>
              </w:rPr>
              <w:t xml:space="preserve"> </w:t>
            </w:r>
            <w:r w:rsidRPr="00E85C29">
              <w:rPr>
                <w:rFonts w:eastAsia="Calibri"/>
                <w:color w:val="231F20"/>
                <w:sz w:val="20"/>
                <w:szCs w:val="20"/>
              </w:rPr>
              <w:t>s</w:t>
            </w:r>
            <w:r w:rsidRPr="00E85C29">
              <w:rPr>
                <w:rFonts w:eastAsia="Calibri"/>
                <w:color w:val="231F20"/>
                <w:spacing w:val="-4"/>
                <w:sz w:val="20"/>
                <w:szCs w:val="20"/>
              </w:rPr>
              <w:t>y</w:t>
            </w:r>
            <w:r w:rsidRPr="00E85C29">
              <w:rPr>
                <w:rFonts w:eastAsia="Calibri"/>
                <w:color w:val="231F20"/>
                <w:sz w:val="20"/>
                <w:szCs w:val="20"/>
              </w:rPr>
              <w:t>n</w:t>
            </w:r>
            <w:r w:rsidRPr="00E85C29">
              <w:rPr>
                <w:rFonts w:eastAsia="Calibri"/>
                <w:color w:val="231F20"/>
                <w:spacing w:val="-5"/>
                <w:sz w:val="20"/>
                <w:szCs w:val="20"/>
              </w:rPr>
              <w:t>d</w:t>
            </w:r>
            <w:r w:rsidRPr="00E85C29">
              <w:rPr>
                <w:rFonts w:eastAsia="Calibri"/>
                <w:color w:val="231F20"/>
                <w:sz w:val="20"/>
                <w:szCs w:val="20"/>
              </w:rPr>
              <w:t>r</w:t>
            </w:r>
            <w:r w:rsidRPr="00E85C29">
              <w:rPr>
                <w:rFonts w:eastAsia="Calibri"/>
                <w:color w:val="231F20"/>
                <w:spacing w:val="-3"/>
                <w:sz w:val="20"/>
                <w:szCs w:val="20"/>
              </w:rPr>
              <w:t>o</w:t>
            </w:r>
            <w:r w:rsidRPr="00E85C29">
              <w:rPr>
                <w:rFonts w:eastAsia="Calibri"/>
                <w:color w:val="231F20"/>
                <w:spacing w:val="-2"/>
                <w:sz w:val="20"/>
                <w:szCs w:val="20"/>
              </w:rPr>
              <w:t>m</w:t>
            </w:r>
            <w:r w:rsidRPr="00E85C29">
              <w:rPr>
                <w:rFonts w:eastAsia="Calibri"/>
                <w:color w:val="231F20"/>
                <w:sz w:val="20"/>
                <w:szCs w:val="20"/>
              </w:rPr>
              <w:t xml:space="preserve">e                                                          </w:t>
            </w:r>
            <w:r w:rsidRPr="00E85C29">
              <w:rPr>
                <w:rFonts w:eastAsia="Calibri"/>
                <w:color w:val="231F20"/>
                <w:spacing w:val="22"/>
                <w:sz w:val="20"/>
                <w:szCs w:val="20"/>
              </w:rPr>
              <w:t xml:space="preserve"> </w:t>
            </w:r>
          </w:p>
        </w:tc>
        <w:tc>
          <w:tcPr>
            <w:tcW w:w="7055" w:type="dxa"/>
          </w:tcPr>
          <w:p w14:paraId="77C8EBC2" w14:textId="77777777" w:rsidR="00E85C29" w:rsidRPr="00E85C29" w:rsidRDefault="00E85C29" w:rsidP="00E85C29">
            <w:pPr>
              <w:autoSpaceDE w:val="0"/>
              <w:autoSpaceDN w:val="0"/>
              <w:bidi w:val="0"/>
              <w:adjustRightInd w:val="0"/>
              <w:spacing w:before="58" w:line="245" w:lineRule="auto"/>
              <w:ind w:right="414" w:firstLine="23"/>
              <w:cnfStyle w:val="000000000000" w:firstRow="0" w:lastRow="0" w:firstColumn="0" w:lastColumn="0" w:oddVBand="0" w:evenVBand="0" w:oddHBand="0" w:evenHBand="0" w:firstRowFirstColumn="0" w:firstRowLastColumn="0" w:lastRowFirstColumn="0" w:lastRowLastColumn="0"/>
              <w:rPr>
                <w:rFonts w:eastAsia="Calibri"/>
                <w:b/>
                <w:bCs/>
                <w:color w:val="000000"/>
                <w:sz w:val="20"/>
                <w:szCs w:val="20"/>
              </w:rPr>
            </w:pPr>
            <w:r w:rsidRPr="00E85C29">
              <w:rPr>
                <w:rFonts w:eastAsia="Calibri"/>
                <w:b/>
                <w:bCs/>
                <w:color w:val="231F20"/>
                <w:sz w:val="20"/>
                <w:szCs w:val="20"/>
              </w:rPr>
              <w:t>N</w:t>
            </w:r>
            <w:r w:rsidRPr="00E85C29">
              <w:rPr>
                <w:rFonts w:eastAsia="Calibri"/>
                <w:b/>
                <w:bCs/>
                <w:color w:val="231F20"/>
                <w:spacing w:val="-4"/>
                <w:sz w:val="20"/>
                <w:szCs w:val="20"/>
              </w:rPr>
              <w:t>e</w:t>
            </w:r>
            <w:r w:rsidRPr="00E85C29">
              <w:rPr>
                <w:rFonts w:eastAsia="Calibri"/>
                <w:b/>
                <w:bCs/>
                <w:color w:val="231F20"/>
                <w:sz w:val="20"/>
                <w:szCs w:val="20"/>
              </w:rPr>
              <w:t>p</w:t>
            </w:r>
            <w:r w:rsidRPr="00E85C29">
              <w:rPr>
                <w:rFonts w:eastAsia="Calibri"/>
                <w:b/>
                <w:bCs/>
                <w:color w:val="231F20"/>
                <w:spacing w:val="-4"/>
                <w:sz w:val="20"/>
                <w:szCs w:val="20"/>
              </w:rPr>
              <w:t>h</w:t>
            </w:r>
            <w:r w:rsidRPr="00E85C29">
              <w:rPr>
                <w:rFonts w:eastAsia="Calibri"/>
                <w:b/>
                <w:bCs/>
                <w:color w:val="231F20"/>
                <w:sz w:val="20"/>
                <w:szCs w:val="20"/>
              </w:rPr>
              <w:t>r</w:t>
            </w:r>
            <w:r w:rsidRPr="00E85C29">
              <w:rPr>
                <w:rFonts w:eastAsia="Calibri"/>
                <w:b/>
                <w:bCs/>
                <w:color w:val="231F20"/>
                <w:spacing w:val="-3"/>
                <w:sz w:val="20"/>
                <w:szCs w:val="20"/>
              </w:rPr>
              <w:t>ot</w:t>
            </w:r>
            <w:r w:rsidRPr="00E85C29">
              <w:rPr>
                <w:rFonts w:eastAsia="Calibri"/>
                <w:b/>
                <w:bCs/>
                <w:color w:val="231F20"/>
                <w:sz w:val="20"/>
                <w:szCs w:val="20"/>
              </w:rPr>
              <w:t>i</w:t>
            </w:r>
            <w:r w:rsidRPr="00E85C29">
              <w:rPr>
                <w:rFonts w:eastAsia="Calibri"/>
                <w:b/>
                <w:bCs/>
                <w:color w:val="231F20"/>
                <w:spacing w:val="-3"/>
                <w:sz w:val="20"/>
                <w:szCs w:val="20"/>
              </w:rPr>
              <w:t>c</w:t>
            </w:r>
            <w:r w:rsidRPr="00E85C29">
              <w:rPr>
                <w:rFonts w:eastAsia="Calibri"/>
                <w:b/>
                <w:bCs/>
                <w:color w:val="231F20"/>
                <w:spacing w:val="-2"/>
                <w:sz w:val="20"/>
                <w:szCs w:val="20"/>
              </w:rPr>
              <w:t>-</w:t>
            </w:r>
            <w:r w:rsidRPr="00E85C29">
              <w:rPr>
                <w:rFonts w:eastAsia="Calibri"/>
                <w:b/>
                <w:bCs/>
                <w:color w:val="231F20"/>
                <w:sz w:val="20"/>
                <w:szCs w:val="20"/>
              </w:rPr>
              <w:t>r</w:t>
            </w:r>
            <w:r w:rsidRPr="00E85C29">
              <w:rPr>
                <w:rFonts w:eastAsia="Calibri"/>
                <w:b/>
                <w:bCs/>
                <w:color w:val="231F20"/>
                <w:spacing w:val="-4"/>
                <w:sz w:val="20"/>
                <w:szCs w:val="20"/>
              </w:rPr>
              <w:t>a</w:t>
            </w:r>
            <w:r w:rsidRPr="00E85C29">
              <w:rPr>
                <w:rFonts w:eastAsia="Calibri"/>
                <w:b/>
                <w:bCs/>
                <w:color w:val="231F20"/>
                <w:sz w:val="20"/>
                <w:szCs w:val="20"/>
              </w:rPr>
              <w:t>n</w:t>
            </w:r>
            <w:r w:rsidRPr="00E85C29">
              <w:rPr>
                <w:rFonts w:eastAsia="Calibri"/>
                <w:b/>
                <w:bCs/>
                <w:color w:val="231F20"/>
                <w:spacing w:val="-4"/>
                <w:sz w:val="20"/>
                <w:szCs w:val="20"/>
              </w:rPr>
              <w:t>g</w:t>
            </w:r>
            <w:r w:rsidRPr="00E85C29">
              <w:rPr>
                <w:rFonts w:eastAsia="Calibri"/>
                <w:b/>
                <w:bCs/>
                <w:color w:val="231F20"/>
                <w:sz w:val="20"/>
                <w:szCs w:val="20"/>
              </w:rPr>
              <w:t>e</w:t>
            </w:r>
            <w:r w:rsidRPr="00E85C29">
              <w:rPr>
                <w:rFonts w:eastAsia="Calibri"/>
                <w:b/>
                <w:bCs/>
                <w:color w:val="231F20"/>
                <w:spacing w:val="1"/>
                <w:sz w:val="20"/>
                <w:szCs w:val="20"/>
              </w:rPr>
              <w:t xml:space="preserve"> </w:t>
            </w:r>
            <w:r w:rsidRPr="00E85C29">
              <w:rPr>
                <w:rFonts w:eastAsia="Calibri"/>
                <w:b/>
                <w:bCs/>
                <w:color w:val="231F20"/>
                <w:sz w:val="20"/>
                <w:szCs w:val="20"/>
              </w:rPr>
              <w:t>p</w:t>
            </w:r>
            <w:r w:rsidRPr="00E85C29">
              <w:rPr>
                <w:rFonts w:eastAsia="Calibri"/>
                <w:b/>
                <w:bCs/>
                <w:color w:val="231F20"/>
                <w:spacing w:val="-4"/>
                <w:sz w:val="20"/>
                <w:szCs w:val="20"/>
              </w:rPr>
              <w:t>r</w:t>
            </w:r>
            <w:r w:rsidRPr="00E85C29">
              <w:rPr>
                <w:rFonts w:eastAsia="Calibri"/>
                <w:b/>
                <w:bCs/>
                <w:color w:val="231F20"/>
                <w:sz w:val="20"/>
                <w:szCs w:val="20"/>
              </w:rPr>
              <w:t>o</w:t>
            </w:r>
            <w:r w:rsidRPr="00E85C29">
              <w:rPr>
                <w:rFonts w:eastAsia="Calibri"/>
                <w:b/>
                <w:bCs/>
                <w:color w:val="231F20"/>
                <w:spacing w:val="-3"/>
                <w:sz w:val="20"/>
                <w:szCs w:val="20"/>
              </w:rPr>
              <w:t>t</w:t>
            </w:r>
            <w:r w:rsidRPr="00E85C29">
              <w:rPr>
                <w:rFonts w:eastAsia="Calibri"/>
                <w:b/>
                <w:bCs/>
                <w:color w:val="231F20"/>
                <w:sz w:val="20"/>
                <w:szCs w:val="20"/>
              </w:rPr>
              <w:t>e</w:t>
            </w:r>
            <w:r w:rsidRPr="00E85C29">
              <w:rPr>
                <w:rFonts w:eastAsia="Calibri"/>
                <w:b/>
                <w:bCs/>
                <w:color w:val="231F20"/>
                <w:spacing w:val="-4"/>
                <w:sz w:val="20"/>
                <w:szCs w:val="20"/>
              </w:rPr>
              <w:t>i</w:t>
            </w:r>
            <w:r w:rsidRPr="00E85C29">
              <w:rPr>
                <w:rFonts w:eastAsia="Calibri"/>
                <w:b/>
                <w:bCs/>
                <w:color w:val="231F20"/>
                <w:sz w:val="20"/>
                <w:szCs w:val="20"/>
              </w:rPr>
              <w:t>n</w:t>
            </w:r>
            <w:r w:rsidRPr="00E85C29">
              <w:rPr>
                <w:rFonts w:eastAsia="Calibri"/>
                <w:b/>
                <w:bCs/>
                <w:color w:val="231F20"/>
                <w:spacing w:val="-4"/>
                <w:sz w:val="20"/>
                <w:szCs w:val="20"/>
              </w:rPr>
              <w:t>u</w:t>
            </w:r>
            <w:r w:rsidRPr="00E85C29">
              <w:rPr>
                <w:rFonts w:eastAsia="Calibri"/>
                <w:b/>
                <w:bCs/>
                <w:color w:val="231F20"/>
                <w:sz w:val="20"/>
                <w:szCs w:val="20"/>
              </w:rPr>
              <w:t>r</w:t>
            </w:r>
            <w:r w:rsidRPr="00E85C29">
              <w:rPr>
                <w:rFonts w:eastAsia="Calibri"/>
                <w:b/>
                <w:bCs/>
                <w:color w:val="231F20"/>
                <w:spacing w:val="-4"/>
                <w:sz w:val="20"/>
                <w:szCs w:val="20"/>
              </w:rPr>
              <w:t>i</w:t>
            </w:r>
            <w:r w:rsidRPr="00E85C29">
              <w:rPr>
                <w:rFonts w:eastAsia="Calibri"/>
                <w:b/>
                <w:bCs/>
                <w:color w:val="231F20"/>
                <w:sz w:val="20"/>
                <w:szCs w:val="20"/>
              </w:rPr>
              <w:t>a</w:t>
            </w:r>
            <w:r w:rsidRPr="00E85C29">
              <w:rPr>
                <w:rFonts w:eastAsia="Calibri"/>
                <w:b/>
                <w:bCs/>
                <w:color w:val="231F20"/>
                <w:spacing w:val="-16"/>
                <w:sz w:val="20"/>
                <w:szCs w:val="20"/>
              </w:rPr>
              <w:t xml:space="preserve"> </w:t>
            </w:r>
            <w:r w:rsidRPr="00E85C29">
              <w:rPr>
                <w:rFonts w:eastAsia="Calibri"/>
                <w:b/>
                <w:bCs/>
                <w:color w:val="231F20"/>
                <w:sz w:val="20"/>
                <w:szCs w:val="20"/>
              </w:rPr>
              <w:t>a</w:t>
            </w:r>
            <w:r w:rsidRPr="00E85C29">
              <w:rPr>
                <w:rFonts w:eastAsia="Calibri"/>
                <w:b/>
                <w:bCs/>
                <w:color w:val="231F20"/>
                <w:spacing w:val="-3"/>
                <w:sz w:val="20"/>
                <w:szCs w:val="20"/>
              </w:rPr>
              <w:t>n</w:t>
            </w:r>
            <w:r w:rsidRPr="00E85C29">
              <w:rPr>
                <w:rFonts w:eastAsia="Calibri"/>
                <w:b/>
                <w:bCs/>
                <w:color w:val="231F20"/>
                <w:sz w:val="20"/>
                <w:szCs w:val="20"/>
              </w:rPr>
              <w:t>d</w:t>
            </w:r>
            <w:r w:rsidRPr="00E85C29">
              <w:rPr>
                <w:rFonts w:eastAsia="Calibri"/>
                <w:b/>
                <w:bCs/>
                <w:color w:val="231F20"/>
                <w:spacing w:val="-3"/>
                <w:sz w:val="20"/>
                <w:szCs w:val="20"/>
              </w:rPr>
              <w:t xml:space="preserve"> </w:t>
            </w:r>
            <w:r w:rsidRPr="00E85C29">
              <w:rPr>
                <w:rFonts w:eastAsia="Calibri"/>
                <w:b/>
                <w:bCs/>
                <w:color w:val="231F20"/>
                <w:sz w:val="20"/>
                <w:szCs w:val="20"/>
              </w:rPr>
              <w:t>e</w:t>
            </w:r>
            <w:r w:rsidRPr="00E85C29">
              <w:rPr>
                <w:rFonts w:eastAsia="Calibri"/>
                <w:b/>
                <w:bCs/>
                <w:color w:val="231F20"/>
                <w:spacing w:val="-3"/>
                <w:sz w:val="20"/>
                <w:szCs w:val="20"/>
              </w:rPr>
              <w:t>it</w:t>
            </w:r>
            <w:r w:rsidRPr="00E85C29">
              <w:rPr>
                <w:rFonts w:eastAsia="Calibri"/>
                <w:b/>
                <w:bCs/>
                <w:color w:val="231F20"/>
                <w:sz w:val="20"/>
                <w:szCs w:val="20"/>
              </w:rPr>
              <w:t>h</w:t>
            </w:r>
            <w:r w:rsidRPr="00E85C29">
              <w:rPr>
                <w:rFonts w:eastAsia="Calibri"/>
                <w:b/>
                <w:bCs/>
                <w:color w:val="231F20"/>
                <w:spacing w:val="-3"/>
                <w:sz w:val="20"/>
                <w:szCs w:val="20"/>
              </w:rPr>
              <w:t>e</w:t>
            </w:r>
            <w:r w:rsidRPr="00E85C29">
              <w:rPr>
                <w:rFonts w:eastAsia="Calibri"/>
                <w:b/>
                <w:bCs/>
                <w:color w:val="231F20"/>
                <w:sz w:val="20"/>
                <w:szCs w:val="20"/>
              </w:rPr>
              <w:t>r</w:t>
            </w:r>
            <w:r w:rsidRPr="00E85C29">
              <w:rPr>
                <w:rFonts w:eastAsia="Calibri"/>
                <w:b/>
                <w:bCs/>
                <w:color w:val="231F20"/>
                <w:spacing w:val="-9"/>
                <w:sz w:val="20"/>
                <w:szCs w:val="20"/>
              </w:rPr>
              <w:t xml:space="preserve"> </w:t>
            </w:r>
            <w:r w:rsidRPr="00E85C29">
              <w:rPr>
                <w:rFonts w:eastAsia="Calibri"/>
                <w:b/>
                <w:bCs/>
                <w:color w:val="231F20"/>
                <w:w w:val="98"/>
                <w:sz w:val="20"/>
                <w:szCs w:val="20"/>
              </w:rPr>
              <w:t>h</w:t>
            </w:r>
            <w:r w:rsidRPr="00E85C29">
              <w:rPr>
                <w:rFonts w:eastAsia="Calibri"/>
                <w:b/>
                <w:bCs/>
                <w:color w:val="231F20"/>
                <w:spacing w:val="-5"/>
                <w:w w:val="98"/>
                <w:sz w:val="20"/>
                <w:szCs w:val="20"/>
              </w:rPr>
              <w:t>y</w:t>
            </w:r>
            <w:r w:rsidRPr="00E85C29">
              <w:rPr>
                <w:rFonts w:eastAsia="Calibri"/>
                <w:b/>
                <w:bCs/>
                <w:color w:val="231F20"/>
                <w:w w:val="98"/>
                <w:sz w:val="20"/>
                <w:szCs w:val="20"/>
              </w:rPr>
              <w:t>p</w:t>
            </w:r>
            <w:r w:rsidRPr="00E85C29">
              <w:rPr>
                <w:rFonts w:eastAsia="Calibri"/>
                <w:b/>
                <w:bCs/>
                <w:color w:val="231F20"/>
                <w:spacing w:val="-4"/>
                <w:w w:val="98"/>
                <w:sz w:val="20"/>
                <w:szCs w:val="20"/>
              </w:rPr>
              <w:t>o</w:t>
            </w:r>
            <w:r w:rsidRPr="00E85C29">
              <w:rPr>
                <w:rFonts w:eastAsia="Calibri"/>
                <w:b/>
                <w:bCs/>
                <w:color w:val="231F20"/>
                <w:w w:val="98"/>
                <w:sz w:val="20"/>
                <w:szCs w:val="20"/>
              </w:rPr>
              <w:t>a</w:t>
            </w:r>
            <w:r w:rsidRPr="00E85C29">
              <w:rPr>
                <w:rFonts w:eastAsia="Calibri"/>
                <w:b/>
                <w:bCs/>
                <w:color w:val="231F20"/>
                <w:spacing w:val="-3"/>
                <w:w w:val="98"/>
                <w:sz w:val="20"/>
                <w:szCs w:val="20"/>
              </w:rPr>
              <w:t>l</w:t>
            </w:r>
            <w:r w:rsidRPr="00E85C29">
              <w:rPr>
                <w:rFonts w:eastAsia="Calibri"/>
                <w:b/>
                <w:bCs/>
                <w:color w:val="231F20"/>
                <w:w w:val="98"/>
                <w:sz w:val="20"/>
                <w:szCs w:val="20"/>
              </w:rPr>
              <w:t>b</w:t>
            </w:r>
            <w:r w:rsidRPr="00E85C29">
              <w:rPr>
                <w:rFonts w:eastAsia="Calibri"/>
                <w:b/>
                <w:bCs/>
                <w:color w:val="231F20"/>
                <w:spacing w:val="-4"/>
                <w:w w:val="98"/>
                <w:sz w:val="20"/>
                <w:szCs w:val="20"/>
              </w:rPr>
              <w:t>u</w:t>
            </w:r>
            <w:r w:rsidRPr="00E85C29">
              <w:rPr>
                <w:rFonts w:eastAsia="Calibri"/>
                <w:b/>
                <w:bCs/>
                <w:color w:val="231F20"/>
                <w:spacing w:val="-2"/>
                <w:w w:val="98"/>
                <w:sz w:val="20"/>
                <w:szCs w:val="20"/>
              </w:rPr>
              <w:t>m</w:t>
            </w:r>
            <w:r w:rsidRPr="00E85C29">
              <w:rPr>
                <w:rFonts w:eastAsia="Calibri"/>
                <w:b/>
                <w:bCs/>
                <w:color w:val="231F20"/>
                <w:w w:val="98"/>
                <w:sz w:val="20"/>
                <w:szCs w:val="20"/>
              </w:rPr>
              <w:t>i</w:t>
            </w:r>
            <w:r w:rsidRPr="00E85C29">
              <w:rPr>
                <w:rFonts w:eastAsia="Calibri"/>
                <w:b/>
                <w:bCs/>
                <w:color w:val="231F20"/>
                <w:spacing w:val="-3"/>
                <w:w w:val="98"/>
                <w:sz w:val="20"/>
                <w:szCs w:val="20"/>
              </w:rPr>
              <w:t>ne</w:t>
            </w:r>
            <w:r w:rsidRPr="00E85C29">
              <w:rPr>
                <w:rFonts w:eastAsia="Calibri"/>
                <w:b/>
                <w:bCs/>
                <w:color w:val="231F20"/>
                <w:w w:val="98"/>
                <w:sz w:val="20"/>
                <w:szCs w:val="20"/>
              </w:rPr>
              <w:t>m</w:t>
            </w:r>
            <w:r w:rsidRPr="00E85C29">
              <w:rPr>
                <w:rFonts w:eastAsia="Calibri"/>
                <w:b/>
                <w:bCs/>
                <w:color w:val="231F20"/>
                <w:spacing w:val="-4"/>
                <w:w w:val="98"/>
                <w:sz w:val="20"/>
                <w:szCs w:val="20"/>
              </w:rPr>
              <w:t>i</w:t>
            </w:r>
            <w:r w:rsidRPr="00E85C29">
              <w:rPr>
                <w:rFonts w:eastAsia="Calibri"/>
                <w:b/>
                <w:bCs/>
                <w:color w:val="231F20"/>
                <w:w w:val="98"/>
                <w:sz w:val="20"/>
                <w:szCs w:val="20"/>
              </w:rPr>
              <w:t>a</w:t>
            </w:r>
            <w:r w:rsidRPr="00E85C29">
              <w:rPr>
                <w:rFonts w:eastAsia="Calibri"/>
                <w:b/>
                <w:bCs/>
                <w:color w:val="231F20"/>
                <w:spacing w:val="5"/>
                <w:w w:val="98"/>
                <w:sz w:val="20"/>
                <w:szCs w:val="20"/>
              </w:rPr>
              <w:t xml:space="preserve"> </w:t>
            </w:r>
            <w:r w:rsidRPr="00E85C29">
              <w:rPr>
                <w:rFonts w:eastAsia="Calibri"/>
                <w:b/>
                <w:bCs/>
                <w:color w:val="231F20"/>
                <w:sz w:val="20"/>
                <w:szCs w:val="20"/>
              </w:rPr>
              <w:t>(</w:t>
            </w:r>
            <w:r w:rsidRPr="00E85C29">
              <w:rPr>
                <w:rFonts w:eastAsia="Calibri"/>
                <w:b/>
                <w:bCs/>
                <w:color w:val="231F20"/>
                <w:spacing w:val="-3"/>
                <w:sz w:val="20"/>
                <w:szCs w:val="20"/>
              </w:rPr>
              <w:t>se</w:t>
            </w:r>
            <w:r w:rsidRPr="00E85C29">
              <w:rPr>
                <w:rFonts w:eastAsia="Calibri"/>
                <w:b/>
                <w:bCs/>
                <w:color w:val="231F20"/>
                <w:sz w:val="20"/>
                <w:szCs w:val="20"/>
              </w:rPr>
              <w:t>r</w:t>
            </w:r>
            <w:r w:rsidRPr="00E85C29">
              <w:rPr>
                <w:rFonts w:eastAsia="Calibri"/>
                <w:b/>
                <w:bCs/>
                <w:color w:val="231F20"/>
                <w:spacing w:val="-3"/>
                <w:sz w:val="20"/>
                <w:szCs w:val="20"/>
              </w:rPr>
              <w:t>u</w:t>
            </w:r>
            <w:r w:rsidRPr="00E85C29">
              <w:rPr>
                <w:rFonts w:eastAsia="Calibri"/>
                <w:b/>
                <w:bCs/>
                <w:color w:val="231F20"/>
                <w:sz w:val="20"/>
                <w:szCs w:val="20"/>
              </w:rPr>
              <w:t>m</w:t>
            </w:r>
            <w:r w:rsidRPr="00E85C29">
              <w:rPr>
                <w:rFonts w:eastAsia="Calibri"/>
                <w:b/>
                <w:bCs/>
                <w:color w:val="231F20"/>
                <w:spacing w:val="-10"/>
                <w:sz w:val="20"/>
                <w:szCs w:val="20"/>
              </w:rPr>
              <w:t xml:space="preserve"> </w:t>
            </w:r>
            <w:r w:rsidRPr="00E85C29">
              <w:rPr>
                <w:rFonts w:eastAsia="Calibri"/>
                <w:b/>
                <w:bCs/>
                <w:color w:val="231F20"/>
                <w:sz w:val="20"/>
                <w:szCs w:val="20"/>
              </w:rPr>
              <w:t>a</w:t>
            </w:r>
            <w:r w:rsidRPr="00E85C29">
              <w:rPr>
                <w:rFonts w:eastAsia="Calibri"/>
                <w:b/>
                <w:bCs/>
                <w:color w:val="231F20"/>
                <w:spacing w:val="-3"/>
                <w:sz w:val="20"/>
                <w:szCs w:val="20"/>
              </w:rPr>
              <w:t>l</w:t>
            </w:r>
            <w:r w:rsidRPr="00E85C29">
              <w:rPr>
                <w:rFonts w:eastAsia="Calibri"/>
                <w:b/>
                <w:bCs/>
                <w:color w:val="231F20"/>
                <w:sz w:val="20"/>
                <w:szCs w:val="20"/>
              </w:rPr>
              <w:t>b</w:t>
            </w:r>
            <w:r w:rsidRPr="00E85C29">
              <w:rPr>
                <w:rFonts w:eastAsia="Calibri"/>
                <w:b/>
                <w:bCs/>
                <w:color w:val="231F20"/>
                <w:spacing w:val="-4"/>
                <w:sz w:val="20"/>
                <w:szCs w:val="20"/>
              </w:rPr>
              <w:t>u</w:t>
            </w:r>
            <w:r w:rsidRPr="00E85C29">
              <w:rPr>
                <w:rFonts w:eastAsia="Calibri"/>
                <w:b/>
                <w:bCs/>
                <w:color w:val="231F20"/>
                <w:spacing w:val="-2"/>
                <w:sz w:val="20"/>
                <w:szCs w:val="20"/>
              </w:rPr>
              <w:t>m</w:t>
            </w:r>
            <w:r w:rsidRPr="00E85C29">
              <w:rPr>
                <w:rFonts w:eastAsia="Calibri"/>
                <w:b/>
                <w:bCs/>
                <w:color w:val="231F20"/>
                <w:sz w:val="20"/>
                <w:szCs w:val="20"/>
              </w:rPr>
              <w:t>in</w:t>
            </w:r>
            <w:r w:rsidRPr="00E85C29">
              <w:rPr>
                <w:rFonts w:eastAsia="Calibri"/>
                <w:b/>
                <w:bCs/>
                <w:color w:val="231F20"/>
                <w:spacing w:val="-12"/>
                <w:sz w:val="20"/>
                <w:szCs w:val="20"/>
              </w:rPr>
              <w:t xml:space="preserve"> </w:t>
            </w:r>
            <w:r w:rsidRPr="00E85C29">
              <w:rPr>
                <w:rFonts w:eastAsia="Calibri"/>
                <w:b/>
                <w:bCs/>
                <w:color w:val="231F20"/>
                <w:sz w:val="20"/>
                <w:szCs w:val="20"/>
              </w:rPr>
              <w:t>&lt;</w:t>
            </w:r>
            <w:r w:rsidRPr="00E85C29">
              <w:rPr>
                <w:rFonts w:eastAsia="Calibri"/>
                <w:b/>
                <w:bCs/>
                <w:color w:val="231F20"/>
                <w:spacing w:val="-12"/>
                <w:sz w:val="20"/>
                <w:szCs w:val="20"/>
              </w:rPr>
              <w:t xml:space="preserve"> </w:t>
            </w:r>
            <w:r w:rsidRPr="00E85C29">
              <w:rPr>
                <w:rFonts w:eastAsia="Calibri"/>
                <w:b/>
                <w:bCs/>
                <w:color w:val="231F20"/>
                <w:sz w:val="20"/>
                <w:szCs w:val="20"/>
              </w:rPr>
              <w:t>30</w:t>
            </w:r>
            <w:r w:rsidRPr="00E85C29">
              <w:rPr>
                <w:rFonts w:eastAsia="Calibri"/>
                <w:b/>
                <w:bCs/>
                <w:color w:val="231F20"/>
                <w:spacing w:val="7"/>
                <w:sz w:val="20"/>
                <w:szCs w:val="20"/>
              </w:rPr>
              <w:t xml:space="preserve"> </w:t>
            </w:r>
            <w:r w:rsidRPr="00E85C29">
              <w:rPr>
                <w:rFonts w:eastAsia="Calibri"/>
                <w:b/>
                <w:bCs/>
                <w:color w:val="231F20"/>
                <w:sz w:val="20"/>
                <w:szCs w:val="20"/>
              </w:rPr>
              <w:t>g</w:t>
            </w:r>
            <w:r w:rsidRPr="00E85C29">
              <w:rPr>
                <w:rFonts w:eastAsia="Calibri"/>
                <w:b/>
                <w:bCs/>
                <w:color w:val="231F20"/>
                <w:spacing w:val="-3"/>
                <w:sz w:val="20"/>
                <w:szCs w:val="20"/>
              </w:rPr>
              <w:t>/</w:t>
            </w:r>
            <w:r w:rsidRPr="00E85C29">
              <w:rPr>
                <w:rFonts w:eastAsia="Calibri"/>
                <w:b/>
                <w:bCs/>
                <w:color w:val="231F20"/>
                <w:sz w:val="20"/>
                <w:szCs w:val="20"/>
              </w:rPr>
              <w:t>l)</w:t>
            </w:r>
            <w:r w:rsidRPr="00E85C29">
              <w:rPr>
                <w:rFonts w:eastAsia="Calibri"/>
                <w:b/>
                <w:bCs/>
                <w:color w:val="231F20"/>
                <w:spacing w:val="-7"/>
                <w:sz w:val="20"/>
                <w:szCs w:val="20"/>
              </w:rPr>
              <w:t xml:space="preserve"> </w:t>
            </w:r>
            <w:r w:rsidRPr="00E85C29">
              <w:rPr>
                <w:rFonts w:eastAsia="Calibri"/>
                <w:b/>
                <w:bCs/>
                <w:color w:val="231F20"/>
                <w:sz w:val="20"/>
                <w:szCs w:val="20"/>
              </w:rPr>
              <w:t>or</w:t>
            </w:r>
            <w:r w:rsidRPr="00E85C29">
              <w:rPr>
                <w:rFonts w:eastAsia="Calibri"/>
                <w:b/>
                <w:bCs/>
                <w:color w:val="231F20"/>
                <w:spacing w:val="-4"/>
                <w:sz w:val="20"/>
                <w:szCs w:val="20"/>
              </w:rPr>
              <w:t xml:space="preserve"> </w:t>
            </w:r>
            <w:r w:rsidRPr="00E85C29">
              <w:rPr>
                <w:rFonts w:eastAsia="Calibri"/>
                <w:b/>
                <w:bCs/>
                <w:color w:val="231F20"/>
                <w:sz w:val="20"/>
                <w:szCs w:val="20"/>
              </w:rPr>
              <w:t>e</w:t>
            </w:r>
            <w:r w:rsidRPr="00E85C29">
              <w:rPr>
                <w:rFonts w:eastAsia="Calibri"/>
                <w:b/>
                <w:bCs/>
                <w:color w:val="231F20"/>
                <w:spacing w:val="-3"/>
                <w:sz w:val="20"/>
                <w:szCs w:val="20"/>
              </w:rPr>
              <w:t>de</w:t>
            </w:r>
            <w:r w:rsidRPr="00E85C29">
              <w:rPr>
                <w:rFonts w:eastAsia="Calibri"/>
                <w:b/>
                <w:bCs/>
                <w:color w:val="231F20"/>
                <w:sz w:val="20"/>
                <w:szCs w:val="20"/>
              </w:rPr>
              <w:t>ma</w:t>
            </w:r>
            <w:r w:rsidRPr="00E85C29">
              <w:rPr>
                <w:rFonts w:eastAsia="Calibri"/>
                <w:b/>
                <w:bCs/>
                <w:color w:val="231F20"/>
                <w:spacing w:val="-9"/>
                <w:sz w:val="20"/>
                <w:szCs w:val="20"/>
              </w:rPr>
              <w:t xml:space="preserve"> </w:t>
            </w:r>
            <w:r w:rsidRPr="00E85C29">
              <w:rPr>
                <w:rFonts w:eastAsia="Calibri"/>
                <w:b/>
                <w:bCs/>
                <w:color w:val="231F20"/>
                <w:spacing w:val="-3"/>
                <w:sz w:val="20"/>
                <w:szCs w:val="20"/>
              </w:rPr>
              <w:t>w</w:t>
            </w:r>
            <w:r w:rsidRPr="00E85C29">
              <w:rPr>
                <w:rFonts w:eastAsia="Calibri"/>
                <w:b/>
                <w:bCs/>
                <w:color w:val="231F20"/>
                <w:sz w:val="20"/>
                <w:szCs w:val="20"/>
              </w:rPr>
              <w:t>h</w:t>
            </w:r>
            <w:r w:rsidRPr="00E85C29">
              <w:rPr>
                <w:rFonts w:eastAsia="Calibri"/>
                <w:b/>
                <w:bCs/>
                <w:color w:val="231F20"/>
                <w:spacing w:val="-3"/>
                <w:sz w:val="20"/>
                <w:szCs w:val="20"/>
              </w:rPr>
              <w:t>e</w:t>
            </w:r>
            <w:r w:rsidRPr="00E85C29">
              <w:rPr>
                <w:rFonts w:eastAsia="Calibri"/>
                <w:b/>
                <w:bCs/>
                <w:color w:val="231F20"/>
                <w:sz w:val="20"/>
                <w:szCs w:val="20"/>
              </w:rPr>
              <w:t>n</w:t>
            </w:r>
            <w:r w:rsidRPr="00E85C29">
              <w:rPr>
                <w:rFonts w:eastAsia="Calibri"/>
                <w:b/>
                <w:bCs/>
                <w:color w:val="231F20"/>
                <w:spacing w:val="1"/>
                <w:sz w:val="20"/>
                <w:szCs w:val="20"/>
              </w:rPr>
              <w:t xml:space="preserve"> </w:t>
            </w:r>
            <w:r w:rsidRPr="00E85C29">
              <w:rPr>
                <w:rFonts w:eastAsia="Calibri"/>
                <w:b/>
                <w:bCs/>
                <w:color w:val="231F20"/>
                <w:sz w:val="20"/>
                <w:szCs w:val="20"/>
              </w:rPr>
              <w:t>s</w:t>
            </w:r>
            <w:r w:rsidRPr="00E85C29">
              <w:rPr>
                <w:rFonts w:eastAsia="Calibri"/>
                <w:b/>
                <w:bCs/>
                <w:color w:val="231F20"/>
                <w:spacing w:val="-4"/>
                <w:sz w:val="20"/>
                <w:szCs w:val="20"/>
              </w:rPr>
              <w:t>e</w:t>
            </w:r>
            <w:r w:rsidRPr="00E85C29">
              <w:rPr>
                <w:rFonts w:eastAsia="Calibri"/>
                <w:b/>
                <w:bCs/>
                <w:color w:val="231F20"/>
                <w:sz w:val="20"/>
                <w:szCs w:val="20"/>
              </w:rPr>
              <w:t>r</w:t>
            </w:r>
            <w:r w:rsidRPr="00E85C29">
              <w:rPr>
                <w:rFonts w:eastAsia="Calibri"/>
                <w:b/>
                <w:bCs/>
                <w:color w:val="231F20"/>
                <w:spacing w:val="-3"/>
                <w:sz w:val="20"/>
                <w:szCs w:val="20"/>
              </w:rPr>
              <w:t>u</w:t>
            </w:r>
            <w:r w:rsidRPr="00E85C29">
              <w:rPr>
                <w:rFonts w:eastAsia="Calibri"/>
                <w:b/>
                <w:bCs/>
                <w:color w:val="231F20"/>
                <w:sz w:val="20"/>
                <w:szCs w:val="20"/>
              </w:rPr>
              <w:t>m</w:t>
            </w:r>
            <w:r w:rsidRPr="00E85C29">
              <w:rPr>
                <w:rFonts w:eastAsia="Calibri"/>
                <w:b/>
                <w:bCs/>
                <w:color w:val="231F20"/>
                <w:spacing w:val="-6"/>
                <w:sz w:val="20"/>
                <w:szCs w:val="20"/>
              </w:rPr>
              <w:t xml:space="preserve"> </w:t>
            </w:r>
            <w:r w:rsidRPr="00E85C29">
              <w:rPr>
                <w:rFonts w:eastAsia="Calibri"/>
                <w:b/>
                <w:bCs/>
                <w:color w:val="231F20"/>
                <w:spacing w:val="-3"/>
                <w:sz w:val="20"/>
                <w:szCs w:val="20"/>
              </w:rPr>
              <w:t>a</w:t>
            </w:r>
            <w:r w:rsidRPr="00E85C29">
              <w:rPr>
                <w:rFonts w:eastAsia="Calibri"/>
                <w:b/>
                <w:bCs/>
                <w:color w:val="231F20"/>
                <w:sz w:val="20"/>
                <w:szCs w:val="20"/>
              </w:rPr>
              <w:t>l</w:t>
            </w:r>
            <w:r w:rsidRPr="00E85C29">
              <w:rPr>
                <w:rFonts w:eastAsia="Calibri"/>
                <w:b/>
                <w:bCs/>
                <w:color w:val="231F20"/>
                <w:spacing w:val="-3"/>
                <w:sz w:val="20"/>
                <w:szCs w:val="20"/>
              </w:rPr>
              <w:t>b</w:t>
            </w:r>
            <w:r w:rsidRPr="00E85C29">
              <w:rPr>
                <w:rFonts w:eastAsia="Calibri"/>
                <w:b/>
                <w:bCs/>
                <w:color w:val="231F20"/>
                <w:sz w:val="20"/>
                <w:szCs w:val="20"/>
              </w:rPr>
              <w:t>u</w:t>
            </w:r>
            <w:r w:rsidRPr="00E85C29">
              <w:rPr>
                <w:rFonts w:eastAsia="Calibri"/>
                <w:b/>
                <w:bCs/>
                <w:color w:val="231F20"/>
                <w:spacing w:val="-4"/>
                <w:sz w:val="20"/>
                <w:szCs w:val="20"/>
              </w:rPr>
              <w:t>m</w:t>
            </w:r>
            <w:r w:rsidRPr="00E85C29">
              <w:rPr>
                <w:rFonts w:eastAsia="Calibri"/>
                <w:b/>
                <w:bCs/>
                <w:color w:val="231F20"/>
                <w:sz w:val="20"/>
                <w:szCs w:val="20"/>
              </w:rPr>
              <w:t>in</w:t>
            </w:r>
            <w:r w:rsidRPr="00E85C29">
              <w:rPr>
                <w:rFonts w:eastAsia="Calibri"/>
                <w:b/>
                <w:bCs/>
                <w:color w:val="231F20"/>
                <w:spacing w:val="-10"/>
                <w:sz w:val="20"/>
                <w:szCs w:val="20"/>
              </w:rPr>
              <w:t xml:space="preserve"> </w:t>
            </w:r>
            <w:r w:rsidRPr="00E85C29">
              <w:rPr>
                <w:rFonts w:eastAsia="Calibri"/>
                <w:b/>
                <w:bCs/>
                <w:color w:val="231F20"/>
                <w:sz w:val="20"/>
                <w:szCs w:val="20"/>
              </w:rPr>
              <w:t>l</w:t>
            </w:r>
            <w:r w:rsidRPr="00E85C29">
              <w:rPr>
                <w:rFonts w:eastAsia="Calibri"/>
                <w:b/>
                <w:bCs/>
                <w:color w:val="231F20"/>
                <w:spacing w:val="-3"/>
                <w:sz w:val="20"/>
                <w:szCs w:val="20"/>
              </w:rPr>
              <w:t>ev</w:t>
            </w:r>
            <w:r w:rsidRPr="00E85C29">
              <w:rPr>
                <w:rFonts w:eastAsia="Calibri"/>
                <w:b/>
                <w:bCs/>
                <w:color w:val="231F20"/>
                <w:sz w:val="20"/>
                <w:szCs w:val="20"/>
              </w:rPr>
              <w:t>el</w:t>
            </w:r>
            <w:r w:rsidRPr="00E85C29">
              <w:rPr>
                <w:rFonts w:eastAsia="Calibri"/>
                <w:b/>
                <w:bCs/>
                <w:color w:val="231F20"/>
                <w:spacing w:val="-8"/>
                <w:sz w:val="20"/>
                <w:szCs w:val="20"/>
              </w:rPr>
              <w:t xml:space="preserve"> </w:t>
            </w:r>
            <w:r w:rsidRPr="00E85C29">
              <w:rPr>
                <w:rFonts w:eastAsia="Calibri"/>
                <w:b/>
                <w:bCs/>
                <w:color w:val="231F20"/>
                <w:sz w:val="20"/>
                <w:szCs w:val="20"/>
              </w:rPr>
              <w:t>is</w:t>
            </w:r>
            <w:r w:rsidRPr="00E85C29">
              <w:rPr>
                <w:rFonts w:eastAsia="Calibri"/>
                <w:b/>
                <w:bCs/>
                <w:color w:val="231F20"/>
                <w:spacing w:val="-3"/>
                <w:sz w:val="20"/>
                <w:szCs w:val="20"/>
              </w:rPr>
              <w:t xml:space="preserve"> </w:t>
            </w:r>
            <w:r w:rsidRPr="00E85C29">
              <w:rPr>
                <w:rFonts w:eastAsia="Calibri"/>
                <w:b/>
                <w:bCs/>
                <w:color w:val="231F20"/>
                <w:sz w:val="20"/>
                <w:szCs w:val="20"/>
              </w:rPr>
              <w:t>n</w:t>
            </w:r>
            <w:r w:rsidRPr="00E85C29">
              <w:rPr>
                <w:rFonts w:eastAsia="Calibri"/>
                <w:b/>
                <w:bCs/>
                <w:color w:val="231F20"/>
                <w:spacing w:val="-4"/>
                <w:sz w:val="20"/>
                <w:szCs w:val="20"/>
              </w:rPr>
              <w:t>o</w:t>
            </w:r>
            <w:r w:rsidRPr="00E85C29">
              <w:rPr>
                <w:rFonts w:eastAsia="Calibri"/>
                <w:b/>
                <w:bCs/>
                <w:color w:val="231F20"/>
                <w:sz w:val="20"/>
                <w:szCs w:val="20"/>
              </w:rPr>
              <w:t>t</w:t>
            </w:r>
            <w:r w:rsidRPr="00E85C29">
              <w:rPr>
                <w:rFonts w:eastAsia="Calibri"/>
                <w:b/>
                <w:bCs/>
                <w:color w:val="231F20"/>
                <w:spacing w:val="-3"/>
                <w:sz w:val="20"/>
                <w:szCs w:val="20"/>
              </w:rPr>
              <w:t xml:space="preserve"> a</w:t>
            </w:r>
            <w:r w:rsidRPr="00E85C29">
              <w:rPr>
                <w:rFonts w:eastAsia="Calibri"/>
                <w:b/>
                <w:bCs/>
                <w:color w:val="231F20"/>
                <w:sz w:val="20"/>
                <w:szCs w:val="20"/>
              </w:rPr>
              <w:t>v</w:t>
            </w:r>
            <w:r w:rsidRPr="00E85C29">
              <w:rPr>
                <w:rFonts w:eastAsia="Calibri"/>
                <w:b/>
                <w:bCs/>
                <w:color w:val="231F20"/>
                <w:spacing w:val="-3"/>
                <w:sz w:val="20"/>
                <w:szCs w:val="20"/>
              </w:rPr>
              <w:t>a</w:t>
            </w:r>
            <w:r w:rsidRPr="00E85C29">
              <w:rPr>
                <w:rFonts w:eastAsia="Calibri"/>
                <w:b/>
                <w:bCs/>
                <w:color w:val="231F20"/>
                <w:sz w:val="20"/>
                <w:szCs w:val="20"/>
              </w:rPr>
              <w:t>i</w:t>
            </w:r>
            <w:r w:rsidRPr="00E85C29">
              <w:rPr>
                <w:rFonts w:eastAsia="Calibri"/>
                <w:b/>
                <w:bCs/>
                <w:color w:val="231F20"/>
                <w:spacing w:val="-4"/>
                <w:sz w:val="20"/>
                <w:szCs w:val="20"/>
              </w:rPr>
              <w:t>l</w:t>
            </w:r>
            <w:r w:rsidRPr="00E85C29">
              <w:rPr>
                <w:rFonts w:eastAsia="Calibri"/>
                <w:b/>
                <w:bCs/>
                <w:color w:val="231F20"/>
                <w:sz w:val="20"/>
                <w:szCs w:val="20"/>
              </w:rPr>
              <w:t>a</w:t>
            </w:r>
            <w:r w:rsidRPr="00E85C29">
              <w:rPr>
                <w:rFonts w:eastAsia="Calibri"/>
                <w:b/>
                <w:bCs/>
                <w:color w:val="231F20"/>
                <w:spacing w:val="-3"/>
                <w:sz w:val="20"/>
                <w:szCs w:val="20"/>
              </w:rPr>
              <w:t>b</w:t>
            </w:r>
            <w:r w:rsidRPr="00E85C29">
              <w:rPr>
                <w:rFonts w:eastAsia="Calibri"/>
                <w:b/>
                <w:bCs/>
                <w:color w:val="231F20"/>
                <w:sz w:val="20"/>
                <w:szCs w:val="20"/>
              </w:rPr>
              <w:t>le.</w:t>
            </w:r>
          </w:p>
        </w:tc>
      </w:tr>
      <w:tr w:rsidR="00E85C29" w:rsidRPr="00E85C29" w14:paraId="08482105" w14:textId="77777777" w:rsidTr="00672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6F581229" w14:textId="77777777" w:rsidR="00E85C29" w:rsidRPr="00E85C29" w:rsidRDefault="00E85C29" w:rsidP="00E85C29">
            <w:pPr>
              <w:bidi w:val="0"/>
              <w:ind w:left="-23" w:firstLine="23"/>
              <w:rPr>
                <w:rFonts w:eastAsia="Calibri"/>
                <w:color w:val="231F20"/>
                <w:sz w:val="20"/>
                <w:szCs w:val="20"/>
              </w:rPr>
            </w:pPr>
          </w:p>
          <w:p w14:paraId="20BD9A6B" w14:textId="77777777" w:rsidR="00E85C29" w:rsidRPr="00E85C29" w:rsidRDefault="00E85C29" w:rsidP="00E85C29">
            <w:pPr>
              <w:bidi w:val="0"/>
              <w:ind w:left="-23" w:firstLine="23"/>
              <w:rPr>
                <w:rFonts w:eastAsia="Calibri"/>
                <w:color w:val="231F20"/>
                <w:sz w:val="20"/>
                <w:szCs w:val="20"/>
              </w:rPr>
            </w:pPr>
            <w:r w:rsidRPr="00E85C29">
              <w:rPr>
                <w:rFonts w:eastAsia="Calibri"/>
                <w:color w:val="231F20"/>
                <w:sz w:val="20"/>
                <w:szCs w:val="20"/>
              </w:rPr>
              <w:t>Complete remission</w:t>
            </w:r>
          </w:p>
          <w:p w14:paraId="24D9C786" w14:textId="77777777" w:rsidR="00E85C29" w:rsidRPr="00E85C29" w:rsidRDefault="00E85C29" w:rsidP="00E85C29">
            <w:pPr>
              <w:bidi w:val="0"/>
              <w:ind w:left="-23" w:firstLine="23"/>
              <w:rPr>
                <w:rFonts w:eastAsia="Calibri"/>
                <w:color w:val="231F20"/>
                <w:sz w:val="20"/>
                <w:szCs w:val="20"/>
              </w:rPr>
            </w:pPr>
          </w:p>
        </w:tc>
        <w:tc>
          <w:tcPr>
            <w:tcW w:w="7055" w:type="dxa"/>
          </w:tcPr>
          <w:p w14:paraId="51C8328D" w14:textId="77777777" w:rsidR="00E85C29" w:rsidRPr="00E85C29" w:rsidRDefault="00E85C29" w:rsidP="00E85C29">
            <w:pPr>
              <w:autoSpaceDE w:val="0"/>
              <w:autoSpaceDN w:val="0"/>
              <w:bidi w:val="0"/>
              <w:adjustRightInd w:val="0"/>
              <w:spacing w:before="58" w:line="245" w:lineRule="auto"/>
              <w:ind w:right="414"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UPCR (based on first morning void or 24 h urine sample) </w:t>
            </w:r>
            <w:r w:rsidRPr="00E85C29">
              <w:rPr>
                <w:rFonts w:eastAsia="MsfjglRbcdpjAdvTT3713a231+22"/>
                <w:b/>
                <w:bCs/>
                <w:color w:val="231F20"/>
                <w:sz w:val="20"/>
                <w:szCs w:val="20"/>
              </w:rPr>
              <w:t xml:space="preserve">≤ </w:t>
            </w:r>
            <w:r w:rsidRPr="00E85C29">
              <w:rPr>
                <w:rFonts w:eastAsia="Calibri"/>
                <w:b/>
                <w:bCs/>
                <w:color w:val="231F20"/>
                <w:sz w:val="20"/>
                <w:szCs w:val="20"/>
              </w:rPr>
              <w:t>20 mg/mmol (0.2 mg/mg) or negative or trace dipstick on three or more consecutive occasions.</w:t>
            </w:r>
          </w:p>
        </w:tc>
      </w:tr>
      <w:tr w:rsidR="00E85C29" w:rsidRPr="00E85C29" w14:paraId="2E3692D6" w14:textId="77777777" w:rsidTr="00672A15">
        <w:tc>
          <w:tcPr>
            <w:cnfStyle w:val="001000000000" w:firstRow="0" w:lastRow="0" w:firstColumn="1" w:lastColumn="0" w:oddVBand="0" w:evenVBand="0" w:oddHBand="0" w:evenHBand="0" w:firstRowFirstColumn="0" w:firstRowLastColumn="0" w:lastRowFirstColumn="0" w:lastRowLastColumn="0"/>
            <w:tcW w:w="2390" w:type="dxa"/>
          </w:tcPr>
          <w:p w14:paraId="52276F78" w14:textId="77777777" w:rsidR="00E85C29" w:rsidRPr="00E85C29" w:rsidRDefault="00E85C29" w:rsidP="00E85C29">
            <w:pPr>
              <w:bidi w:val="0"/>
              <w:ind w:left="-23" w:firstLine="23"/>
              <w:rPr>
                <w:rFonts w:eastAsia="Calibri"/>
                <w:color w:val="231F20"/>
                <w:sz w:val="20"/>
                <w:szCs w:val="20"/>
              </w:rPr>
            </w:pPr>
            <w:r w:rsidRPr="00E85C29">
              <w:rPr>
                <w:rFonts w:eastAsia="Calibri"/>
                <w:color w:val="231F20"/>
                <w:sz w:val="20"/>
                <w:szCs w:val="20"/>
              </w:rPr>
              <w:t>Partial remission</w:t>
            </w:r>
          </w:p>
          <w:p w14:paraId="4DEC2057" w14:textId="77777777" w:rsidR="00E85C29" w:rsidRPr="00E85C29" w:rsidRDefault="00E85C29" w:rsidP="00E85C29">
            <w:pPr>
              <w:bidi w:val="0"/>
              <w:ind w:left="-23" w:firstLine="23"/>
              <w:rPr>
                <w:rFonts w:eastAsia="Calibri"/>
                <w:color w:val="231F20"/>
                <w:sz w:val="20"/>
                <w:szCs w:val="20"/>
              </w:rPr>
            </w:pPr>
          </w:p>
        </w:tc>
        <w:tc>
          <w:tcPr>
            <w:tcW w:w="7055" w:type="dxa"/>
          </w:tcPr>
          <w:p w14:paraId="76A189F6" w14:textId="77777777" w:rsidR="00E85C29" w:rsidRPr="00E85C29" w:rsidRDefault="00E85C29" w:rsidP="00E85C29">
            <w:pPr>
              <w:autoSpaceDE w:val="0"/>
              <w:autoSpaceDN w:val="0"/>
              <w:bidi w:val="0"/>
              <w:adjustRightInd w:val="0"/>
              <w:spacing w:before="58" w:line="245" w:lineRule="auto"/>
              <w:ind w:right="414" w:firstLine="23"/>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UPCR (based on first morning void or 24 h urine sample) &gt; 20 but &lt; 200 mg/mmol and, if available, serum albumin </w:t>
            </w:r>
            <w:r w:rsidRPr="00E85C29">
              <w:rPr>
                <w:rFonts w:eastAsia="MsfjglRbcdpjAdvTT3713a231+22"/>
                <w:b/>
                <w:bCs/>
                <w:color w:val="231F20"/>
                <w:sz w:val="20"/>
                <w:szCs w:val="20"/>
              </w:rPr>
              <w:t xml:space="preserve">≥ </w:t>
            </w:r>
            <w:r w:rsidRPr="00E85C29">
              <w:rPr>
                <w:rFonts w:eastAsia="Calibri"/>
                <w:b/>
                <w:bCs/>
                <w:color w:val="231F20"/>
                <w:sz w:val="20"/>
                <w:szCs w:val="20"/>
              </w:rPr>
              <w:t>30 g/l.</w:t>
            </w:r>
          </w:p>
        </w:tc>
      </w:tr>
      <w:tr w:rsidR="00E85C29" w:rsidRPr="00E85C29" w14:paraId="794DA355" w14:textId="77777777" w:rsidTr="00672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7EABE7F1" w14:textId="77777777" w:rsidR="00E85C29" w:rsidRPr="00E85C29" w:rsidRDefault="00E85C29" w:rsidP="00E85C29">
            <w:pPr>
              <w:bidi w:val="0"/>
              <w:ind w:left="-23" w:firstLine="23"/>
              <w:rPr>
                <w:rFonts w:eastAsia="Calibri"/>
                <w:color w:val="231F20"/>
                <w:sz w:val="20"/>
                <w:szCs w:val="20"/>
              </w:rPr>
            </w:pPr>
            <w:r w:rsidRPr="00E85C29">
              <w:rPr>
                <w:rFonts w:eastAsia="Calibri"/>
                <w:color w:val="231F20"/>
                <w:sz w:val="20"/>
                <w:szCs w:val="20"/>
              </w:rPr>
              <w:t xml:space="preserve">Relapse </w:t>
            </w:r>
          </w:p>
        </w:tc>
        <w:tc>
          <w:tcPr>
            <w:tcW w:w="7055" w:type="dxa"/>
          </w:tcPr>
          <w:p w14:paraId="23EDFE57" w14:textId="77777777" w:rsidR="00E85C29" w:rsidRPr="00E85C29" w:rsidRDefault="00E85C29" w:rsidP="00E85C29">
            <w:pPr>
              <w:autoSpaceDE w:val="0"/>
              <w:autoSpaceDN w:val="0"/>
              <w:bidi w:val="0"/>
              <w:adjustRightInd w:val="0"/>
              <w:ind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Relapse Recurrence of nephrotic-range proteinuria.</w:t>
            </w:r>
          </w:p>
          <w:p w14:paraId="7C4317C2" w14:textId="77777777" w:rsidR="00E85C29" w:rsidRPr="00E85C29" w:rsidRDefault="00E85C29" w:rsidP="00E85C29">
            <w:pPr>
              <w:numPr>
                <w:ilvl w:val="0"/>
                <w:numId w:val="2"/>
              </w:numPr>
              <w:tabs>
                <w:tab w:val="left" w:pos="238"/>
              </w:tabs>
              <w:autoSpaceDE w:val="0"/>
              <w:autoSpaceDN w:val="0"/>
              <w:bidi w:val="0"/>
              <w:adjustRightInd w:val="0"/>
              <w:spacing w:line="254" w:lineRule="auto"/>
              <w:ind w:left="58" w:firstLine="0"/>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In children, relapse is commonly assessed by urine dipstick and is thus defined as dipstick </w:t>
            </w:r>
            <w:r w:rsidRPr="00E85C29">
              <w:rPr>
                <w:rFonts w:eastAsia="MsfjglRbcdpjAdvTT3713a231+22"/>
                <w:b/>
                <w:bCs/>
                <w:color w:val="231F20"/>
                <w:sz w:val="20"/>
                <w:szCs w:val="20"/>
              </w:rPr>
              <w:t xml:space="preserve">≥ </w:t>
            </w:r>
            <w:r w:rsidRPr="00E85C29">
              <w:rPr>
                <w:rFonts w:eastAsia="Calibri"/>
                <w:b/>
                <w:bCs/>
                <w:color w:val="231F20"/>
                <w:sz w:val="20"/>
                <w:szCs w:val="20"/>
              </w:rPr>
              <w:t xml:space="preserve">3+ on 3 consecutive days, or </w:t>
            </w:r>
          </w:p>
          <w:p w14:paraId="34F36A9C" w14:textId="77777777" w:rsidR="00E85C29" w:rsidRPr="00E85C29" w:rsidRDefault="00E85C29" w:rsidP="00E85C29">
            <w:pPr>
              <w:autoSpaceDE w:val="0"/>
              <w:autoSpaceDN w:val="0"/>
              <w:bidi w:val="0"/>
              <w:adjustRightInd w:val="0"/>
              <w:spacing w:before="54" w:line="193" w:lineRule="exact"/>
              <w:ind w:right="-20"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UPCR </w:t>
            </w:r>
            <w:r w:rsidRPr="00E85C29">
              <w:rPr>
                <w:rFonts w:eastAsia="MsfjglRbcdpjAdvTT3713a231+22"/>
                <w:b/>
                <w:bCs/>
                <w:color w:val="231F20"/>
                <w:sz w:val="20"/>
                <w:szCs w:val="20"/>
              </w:rPr>
              <w:t xml:space="preserve">≥ </w:t>
            </w:r>
            <w:r w:rsidRPr="00E85C29">
              <w:rPr>
                <w:rFonts w:eastAsia="Calibri"/>
                <w:b/>
                <w:bCs/>
                <w:color w:val="231F20"/>
                <w:sz w:val="20"/>
                <w:szCs w:val="20"/>
              </w:rPr>
              <w:t>200 mg/mmol (2 mg/mg) on a first morning urine sample, with or without reappearance of edema in a child who had previously achieved partial or complete remission.</w:t>
            </w:r>
          </w:p>
        </w:tc>
      </w:tr>
      <w:tr w:rsidR="00E85C29" w:rsidRPr="00E85C29" w14:paraId="3F056DCA" w14:textId="77777777" w:rsidTr="00672A15">
        <w:tc>
          <w:tcPr>
            <w:cnfStyle w:val="001000000000" w:firstRow="0" w:lastRow="0" w:firstColumn="1" w:lastColumn="0" w:oddVBand="0" w:evenVBand="0" w:oddHBand="0" w:evenHBand="0" w:firstRowFirstColumn="0" w:firstRowLastColumn="0" w:lastRowFirstColumn="0" w:lastRowLastColumn="0"/>
            <w:tcW w:w="2390" w:type="dxa"/>
          </w:tcPr>
          <w:p w14:paraId="327FEAB7" w14:textId="77777777" w:rsidR="00E85C29" w:rsidRPr="00E85C29" w:rsidRDefault="00E85C29" w:rsidP="00E85C29">
            <w:pPr>
              <w:bidi w:val="0"/>
              <w:ind w:left="-23" w:firstLine="23"/>
              <w:rPr>
                <w:rFonts w:eastAsia="Calibri"/>
                <w:color w:val="231F20"/>
                <w:sz w:val="20"/>
                <w:szCs w:val="20"/>
              </w:rPr>
            </w:pPr>
          </w:p>
          <w:p w14:paraId="705C4B9D" w14:textId="77777777" w:rsidR="00E85C29" w:rsidRPr="00E85C29" w:rsidRDefault="00E85C29" w:rsidP="00E85C29">
            <w:pPr>
              <w:bidi w:val="0"/>
              <w:ind w:left="-23" w:firstLine="23"/>
              <w:rPr>
                <w:rFonts w:eastAsia="Calibri"/>
                <w:color w:val="231F20"/>
                <w:sz w:val="20"/>
                <w:szCs w:val="20"/>
              </w:rPr>
            </w:pPr>
            <w:r w:rsidRPr="00E85C29">
              <w:rPr>
                <w:rFonts w:eastAsia="Calibri"/>
                <w:color w:val="231F20"/>
                <w:sz w:val="20"/>
                <w:szCs w:val="20"/>
              </w:rPr>
              <w:t>Confirmation Period</w:t>
            </w:r>
          </w:p>
          <w:p w14:paraId="1FCDBDC6" w14:textId="77777777" w:rsidR="00E85C29" w:rsidRPr="00E85C29" w:rsidRDefault="00E85C29" w:rsidP="00E85C29">
            <w:pPr>
              <w:bidi w:val="0"/>
              <w:ind w:left="-23" w:firstLine="23"/>
              <w:rPr>
                <w:rFonts w:eastAsia="Calibri"/>
                <w:color w:val="231F20"/>
                <w:sz w:val="20"/>
                <w:szCs w:val="20"/>
              </w:rPr>
            </w:pPr>
          </w:p>
          <w:p w14:paraId="32F61299" w14:textId="77777777" w:rsidR="00E85C29" w:rsidRPr="00E85C29" w:rsidRDefault="00E85C29" w:rsidP="00E85C29">
            <w:pPr>
              <w:bidi w:val="0"/>
              <w:ind w:left="-23" w:firstLine="23"/>
              <w:rPr>
                <w:rFonts w:eastAsia="Calibri"/>
                <w:color w:val="231F20"/>
                <w:sz w:val="20"/>
                <w:szCs w:val="20"/>
              </w:rPr>
            </w:pPr>
          </w:p>
        </w:tc>
        <w:tc>
          <w:tcPr>
            <w:tcW w:w="7055" w:type="dxa"/>
          </w:tcPr>
          <w:p w14:paraId="25343DDE" w14:textId="77777777" w:rsidR="00E85C29" w:rsidRPr="00E85C29" w:rsidRDefault="00E85C29" w:rsidP="00E85C29">
            <w:pPr>
              <w:autoSpaceDE w:val="0"/>
              <w:autoSpaceDN w:val="0"/>
              <w:bidi w:val="0"/>
              <w:adjustRightInd w:val="0"/>
              <w:ind w:firstLine="23"/>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Time period between 4 and 6 weeks from PDN initiation during which response to further oral PDN and/or pulses of iv MPDN and </w:t>
            </w:r>
            <w:proofErr w:type="spellStart"/>
            <w:r w:rsidRPr="00E85C29">
              <w:rPr>
                <w:rFonts w:eastAsia="Calibri"/>
                <w:b/>
                <w:bCs/>
                <w:color w:val="231F20"/>
                <w:sz w:val="20"/>
                <w:szCs w:val="20"/>
              </w:rPr>
              <w:t>RAASi</w:t>
            </w:r>
            <w:proofErr w:type="spellEnd"/>
            <w:r w:rsidRPr="00E85C29">
              <w:rPr>
                <w:rFonts w:eastAsia="Calibri"/>
                <w:b/>
                <w:bCs/>
                <w:color w:val="231F20"/>
                <w:sz w:val="20"/>
                <w:szCs w:val="20"/>
              </w:rPr>
              <w:t xml:space="preserve"> are ascertained in patients achieving only partial remission at 4 weeks.</w:t>
            </w:r>
          </w:p>
          <w:p w14:paraId="60362FA9" w14:textId="77777777" w:rsidR="00E85C29" w:rsidRPr="00E85C29" w:rsidRDefault="00E85C29" w:rsidP="00E85C29">
            <w:pPr>
              <w:numPr>
                <w:ilvl w:val="0"/>
                <w:numId w:val="1"/>
              </w:numPr>
              <w:tabs>
                <w:tab w:val="left" w:pos="238"/>
              </w:tabs>
              <w:autoSpaceDE w:val="0"/>
              <w:autoSpaceDN w:val="0"/>
              <w:bidi w:val="0"/>
              <w:adjustRightInd w:val="0"/>
              <w:spacing w:line="254" w:lineRule="auto"/>
              <w:ind w:left="58" w:firstLine="0"/>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A patient achieving complete remission at 6 weeks is defined as a late responder. </w:t>
            </w:r>
          </w:p>
          <w:p w14:paraId="19CF4136" w14:textId="77777777" w:rsidR="00E85C29" w:rsidRPr="00E85C29" w:rsidRDefault="00E85C29" w:rsidP="00E85C29">
            <w:pPr>
              <w:numPr>
                <w:ilvl w:val="0"/>
                <w:numId w:val="1"/>
              </w:numPr>
              <w:autoSpaceDE w:val="0"/>
              <w:autoSpaceDN w:val="0"/>
              <w:bidi w:val="0"/>
              <w:adjustRightInd w:val="0"/>
              <w:spacing w:line="254" w:lineRule="auto"/>
              <w:ind w:left="220" w:hanging="180"/>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A patient not achieving complete remission at 6 weeks although he had achieved partial remission at 4 weeks is defined as SRNS.</w:t>
            </w:r>
          </w:p>
        </w:tc>
      </w:tr>
      <w:tr w:rsidR="00E85C29" w:rsidRPr="00E85C29" w14:paraId="075FE257" w14:textId="77777777" w:rsidTr="00672A15">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390" w:type="dxa"/>
          </w:tcPr>
          <w:p w14:paraId="4E51A890" w14:textId="77777777" w:rsidR="00E85C29" w:rsidRPr="00E85C29" w:rsidRDefault="00E85C29" w:rsidP="00E85C29">
            <w:pPr>
              <w:bidi w:val="0"/>
              <w:ind w:left="-23" w:firstLine="23"/>
              <w:rPr>
                <w:rFonts w:eastAsia="Calibri"/>
                <w:color w:val="231F20"/>
                <w:sz w:val="20"/>
                <w:szCs w:val="20"/>
              </w:rPr>
            </w:pPr>
          </w:p>
          <w:p w14:paraId="2DBC6F69" w14:textId="77777777" w:rsidR="00E85C29" w:rsidRPr="00E85C29" w:rsidRDefault="00E85C29" w:rsidP="00E85C29">
            <w:pPr>
              <w:bidi w:val="0"/>
              <w:ind w:left="-23" w:firstLine="23"/>
              <w:rPr>
                <w:rFonts w:eastAsia="Calibri"/>
                <w:color w:val="231F20"/>
                <w:sz w:val="20"/>
                <w:szCs w:val="20"/>
              </w:rPr>
            </w:pPr>
            <w:r w:rsidRPr="00E85C29">
              <w:rPr>
                <w:rFonts w:eastAsia="Calibri"/>
                <w:color w:val="231F20"/>
                <w:sz w:val="20"/>
                <w:szCs w:val="20"/>
              </w:rPr>
              <w:t>S</w:t>
            </w:r>
            <w:r w:rsidRPr="00E85C29">
              <w:rPr>
                <w:rFonts w:eastAsia="Calibri"/>
                <w:color w:val="231F20"/>
                <w:spacing w:val="-4"/>
                <w:sz w:val="20"/>
                <w:szCs w:val="20"/>
              </w:rPr>
              <w:t>S</w:t>
            </w:r>
            <w:r w:rsidRPr="00E85C29">
              <w:rPr>
                <w:rFonts w:eastAsia="Calibri"/>
                <w:color w:val="231F20"/>
                <w:sz w:val="20"/>
                <w:szCs w:val="20"/>
              </w:rPr>
              <w:t xml:space="preserve">NS  </w:t>
            </w:r>
          </w:p>
        </w:tc>
        <w:tc>
          <w:tcPr>
            <w:tcW w:w="7055" w:type="dxa"/>
          </w:tcPr>
          <w:p w14:paraId="310AD37B" w14:textId="77777777" w:rsidR="00E85C29" w:rsidRPr="00E85C29" w:rsidRDefault="00E85C29" w:rsidP="00E85C29">
            <w:pPr>
              <w:autoSpaceDE w:val="0"/>
              <w:autoSpaceDN w:val="0"/>
              <w:bidi w:val="0"/>
              <w:adjustRightInd w:val="0"/>
              <w:ind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C</w:t>
            </w:r>
            <w:r w:rsidRPr="00E85C29">
              <w:rPr>
                <w:rFonts w:eastAsia="Calibri"/>
                <w:b/>
                <w:bCs/>
                <w:color w:val="231F20"/>
                <w:spacing w:val="-4"/>
                <w:sz w:val="20"/>
                <w:szCs w:val="20"/>
              </w:rPr>
              <w:t>o</w:t>
            </w:r>
            <w:r w:rsidRPr="00E85C29">
              <w:rPr>
                <w:rFonts w:eastAsia="Calibri"/>
                <w:b/>
                <w:bCs/>
                <w:color w:val="231F20"/>
                <w:spacing w:val="-2"/>
                <w:sz w:val="20"/>
                <w:szCs w:val="20"/>
              </w:rPr>
              <w:t>m</w:t>
            </w:r>
            <w:r w:rsidRPr="00E85C29">
              <w:rPr>
                <w:rFonts w:eastAsia="Calibri"/>
                <w:b/>
                <w:bCs/>
                <w:color w:val="231F20"/>
                <w:sz w:val="20"/>
                <w:szCs w:val="20"/>
              </w:rPr>
              <w:t>p</w:t>
            </w:r>
            <w:r w:rsidRPr="00E85C29">
              <w:rPr>
                <w:rFonts w:eastAsia="Calibri"/>
                <w:b/>
                <w:bCs/>
                <w:color w:val="231F20"/>
                <w:spacing w:val="-3"/>
                <w:sz w:val="20"/>
                <w:szCs w:val="20"/>
              </w:rPr>
              <w:t>le</w:t>
            </w:r>
            <w:r w:rsidRPr="00E85C29">
              <w:rPr>
                <w:rFonts w:eastAsia="Calibri"/>
                <w:b/>
                <w:bCs/>
                <w:color w:val="231F20"/>
                <w:sz w:val="20"/>
                <w:szCs w:val="20"/>
              </w:rPr>
              <w:t>te</w:t>
            </w:r>
            <w:r w:rsidRPr="00E85C29">
              <w:rPr>
                <w:rFonts w:eastAsia="Calibri"/>
                <w:b/>
                <w:bCs/>
                <w:color w:val="231F20"/>
                <w:spacing w:val="-12"/>
                <w:sz w:val="20"/>
                <w:szCs w:val="20"/>
              </w:rPr>
              <w:t xml:space="preserve"> </w:t>
            </w:r>
            <w:r w:rsidRPr="00E85C29">
              <w:rPr>
                <w:rFonts w:eastAsia="Calibri"/>
                <w:b/>
                <w:bCs/>
                <w:color w:val="231F20"/>
                <w:spacing w:val="-2"/>
                <w:sz w:val="20"/>
                <w:szCs w:val="20"/>
              </w:rPr>
              <w:t>r</w:t>
            </w:r>
            <w:r w:rsidRPr="00E85C29">
              <w:rPr>
                <w:rFonts w:eastAsia="Calibri"/>
                <w:b/>
                <w:bCs/>
                <w:color w:val="231F20"/>
                <w:sz w:val="20"/>
                <w:szCs w:val="20"/>
              </w:rPr>
              <w:t>e</w:t>
            </w:r>
            <w:r w:rsidRPr="00E85C29">
              <w:rPr>
                <w:rFonts w:eastAsia="Calibri"/>
                <w:b/>
                <w:bCs/>
                <w:color w:val="231F20"/>
                <w:spacing w:val="-4"/>
                <w:sz w:val="20"/>
                <w:szCs w:val="20"/>
              </w:rPr>
              <w:t>m</w:t>
            </w:r>
            <w:r w:rsidRPr="00E85C29">
              <w:rPr>
                <w:rFonts w:eastAsia="Calibri"/>
                <w:b/>
                <w:bCs/>
                <w:color w:val="231F20"/>
                <w:sz w:val="20"/>
                <w:szCs w:val="20"/>
              </w:rPr>
              <w:t>i</w:t>
            </w:r>
            <w:r w:rsidRPr="00E85C29">
              <w:rPr>
                <w:rFonts w:eastAsia="Calibri"/>
                <w:b/>
                <w:bCs/>
                <w:color w:val="231F20"/>
                <w:spacing w:val="-3"/>
                <w:sz w:val="20"/>
                <w:szCs w:val="20"/>
              </w:rPr>
              <w:t>s</w:t>
            </w:r>
            <w:r w:rsidRPr="00E85C29">
              <w:rPr>
                <w:rFonts w:eastAsia="Calibri"/>
                <w:b/>
                <w:bCs/>
                <w:color w:val="231F20"/>
                <w:sz w:val="20"/>
                <w:szCs w:val="20"/>
              </w:rPr>
              <w:t>s</w:t>
            </w:r>
            <w:r w:rsidRPr="00E85C29">
              <w:rPr>
                <w:rFonts w:eastAsia="Calibri"/>
                <w:b/>
                <w:bCs/>
                <w:color w:val="231F20"/>
                <w:spacing w:val="-3"/>
                <w:sz w:val="20"/>
                <w:szCs w:val="20"/>
              </w:rPr>
              <w:t>io</w:t>
            </w:r>
            <w:r w:rsidRPr="00E85C29">
              <w:rPr>
                <w:rFonts w:eastAsia="Calibri"/>
                <w:b/>
                <w:bCs/>
                <w:color w:val="231F20"/>
                <w:sz w:val="20"/>
                <w:szCs w:val="20"/>
              </w:rPr>
              <w:t>n</w:t>
            </w:r>
            <w:r w:rsidRPr="00E85C29">
              <w:rPr>
                <w:rFonts w:eastAsia="Calibri"/>
                <w:b/>
                <w:bCs/>
                <w:color w:val="231F20"/>
                <w:spacing w:val="-13"/>
                <w:sz w:val="20"/>
                <w:szCs w:val="20"/>
              </w:rPr>
              <w:t xml:space="preserve"> </w:t>
            </w:r>
            <w:r w:rsidRPr="00E85C29">
              <w:rPr>
                <w:rFonts w:eastAsia="Calibri"/>
                <w:b/>
                <w:bCs/>
                <w:color w:val="231F20"/>
                <w:spacing w:val="-3"/>
                <w:sz w:val="20"/>
                <w:szCs w:val="20"/>
              </w:rPr>
              <w:t>w</w:t>
            </w:r>
            <w:r w:rsidRPr="00E85C29">
              <w:rPr>
                <w:rFonts w:eastAsia="Calibri"/>
                <w:b/>
                <w:bCs/>
                <w:color w:val="231F20"/>
                <w:sz w:val="20"/>
                <w:szCs w:val="20"/>
              </w:rPr>
              <w:t>i</w:t>
            </w:r>
            <w:r w:rsidRPr="00E85C29">
              <w:rPr>
                <w:rFonts w:eastAsia="Calibri"/>
                <w:b/>
                <w:bCs/>
                <w:color w:val="231F20"/>
                <w:spacing w:val="-3"/>
                <w:sz w:val="20"/>
                <w:szCs w:val="20"/>
              </w:rPr>
              <w:t>t</w:t>
            </w:r>
            <w:r w:rsidRPr="00E85C29">
              <w:rPr>
                <w:rFonts w:eastAsia="Calibri"/>
                <w:b/>
                <w:bCs/>
                <w:color w:val="231F20"/>
                <w:sz w:val="20"/>
                <w:szCs w:val="20"/>
              </w:rPr>
              <w:t>h</w:t>
            </w:r>
            <w:r w:rsidRPr="00E85C29">
              <w:rPr>
                <w:rFonts w:eastAsia="Calibri"/>
                <w:b/>
                <w:bCs/>
                <w:color w:val="231F20"/>
                <w:spacing w:val="-5"/>
                <w:sz w:val="20"/>
                <w:szCs w:val="20"/>
              </w:rPr>
              <w:t>i</w:t>
            </w:r>
            <w:r w:rsidRPr="00E85C29">
              <w:rPr>
                <w:rFonts w:eastAsia="Calibri"/>
                <w:b/>
                <w:bCs/>
                <w:color w:val="231F20"/>
                <w:sz w:val="20"/>
                <w:szCs w:val="20"/>
              </w:rPr>
              <w:t>n</w:t>
            </w:r>
            <w:r w:rsidRPr="00E85C29">
              <w:rPr>
                <w:rFonts w:eastAsia="Calibri"/>
                <w:b/>
                <w:bCs/>
                <w:color w:val="231F20"/>
                <w:spacing w:val="-8"/>
                <w:sz w:val="20"/>
                <w:szCs w:val="20"/>
              </w:rPr>
              <w:t xml:space="preserve"> </w:t>
            </w:r>
            <w:r w:rsidRPr="00E85C29">
              <w:rPr>
                <w:rFonts w:eastAsia="Calibri"/>
                <w:b/>
                <w:bCs/>
                <w:color w:val="231F20"/>
                <w:sz w:val="20"/>
                <w:szCs w:val="20"/>
              </w:rPr>
              <w:t>4</w:t>
            </w:r>
            <w:r w:rsidRPr="00E85C29">
              <w:rPr>
                <w:rFonts w:eastAsia="Calibri"/>
                <w:b/>
                <w:bCs/>
                <w:color w:val="231F20"/>
                <w:spacing w:val="11"/>
                <w:sz w:val="20"/>
                <w:szCs w:val="20"/>
              </w:rPr>
              <w:t xml:space="preserve"> </w:t>
            </w:r>
            <w:r w:rsidRPr="00E85C29">
              <w:rPr>
                <w:rFonts w:eastAsia="Calibri"/>
                <w:b/>
                <w:bCs/>
                <w:color w:val="231F20"/>
                <w:sz w:val="20"/>
                <w:szCs w:val="20"/>
              </w:rPr>
              <w:t>w</w:t>
            </w:r>
            <w:r w:rsidRPr="00E85C29">
              <w:rPr>
                <w:rFonts w:eastAsia="Calibri"/>
                <w:b/>
                <w:bCs/>
                <w:color w:val="231F20"/>
                <w:spacing w:val="-4"/>
                <w:sz w:val="20"/>
                <w:szCs w:val="20"/>
              </w:rPr>
              <w:t>e</w:t>
            </w:r>
            <w:r w:rsidRPr="00E85C29">
              <w:rPr>
                <w:rFonts w:eastAsia="Calibri"/>
                <w:b/>
                <w:bCs/>
                <w:color w:val="231F20"/>
                <w:sz w:val="20"/>
                <w:szCs w:val="20"/>
              </w:rPr>
              <w:t>e</w:t>
            </w:r>
            <w:r w:rsidRPr="00E85C29">
              <w:rPr>
                <w:rFonts w:eastAsia="Calibri"/>
                <w:b/>
                <w:bCs/>
                <w:color w:val="231F20"/>
                <w:spacing w:val="-3"/>
                <w:sz w:val="20"/>
                <w:szCs w:val="20"/>
              </w:rPr>
              <w:t>k</w:t>
            </w:r>
            <w:r w:rsidRPr="00E85C29">
              <w:rPr>
                <w:rFonts w:eastAsia="Calibri"/>
                <w:b/>
                <w:bCs/>
                <w:color w:val="231F20"/>
                <w:sz w:val="20"/>
                <w:szCs w:val="20"/>
              </w:rPr>
              <w:t>s</w:t>
            </w:r>
            <w:r w:rsidRPr="00E85C29">
              <w:rPr>
                <w:rFonts w:eastAsia="Calibri"/>
                <w:b/>
                <w:bCs/>
                <w:color w:val="231F20"/>
                <w:spacing w:val="-8"/>
                <w:sz w:val="20"/>
                <w:szCs w:val="20"/>
              </w:rPr>
              <w:t xml:space="preserve"> </w:t>
            </w:r>
            <w:r w:rsidRPr="00E85C29">
              <w:rPr>
                <w:rFonts w:eastAsia="Calibri"/>
                <w:b/>
                <w:bCs/>
                <w:color w:val="231F20"/>
                <w:sz w:val="20"/>
                <w:szCs w:val="20"/>
              </w:rPr>
              <w:t>of</w:t>
            </w:r>
            <w:r w:rsidRPr="00E85C29">
              <w:rPr>
                <w:rFonts w:eastAsia="Calibri"/>
                <w:b/>
                <w:bCs/>
                <w:color w:val="231F20"/>
                <w:spacing w:val="-3"/>
                <w:sz w:val="20"/>
                <w:szCs w:val="20"/>
              </w:rPr>
              <w:t xml:space="preserve"> p</w:t>
            </w:r>
            <w:r w:rsidRPr="00E85C29">
              <w:rPr>
                <w:rFonts w:eastAsia="Calibri"/>
                <w:b/>
                <w:bCs/>
                <w:color w:val="231F20"/>
                <w:sz w:val="20"/>
                <w:szCs w:val="20"/>
              </w:rPr>
              <w:t>r</w:t>
            </w:r>
            <w:r w:rsidRPr="00E85C29">
              <w:rPr>
                <w:rFonts w:eastAsia="Calibri"/>
                <w:b/>
                <w:bCs/>
                <w:color w:val="231F20"/>
                <w:spacing w:val="-3"/>
                <w:sz w:val="20"/>
                <w:szCs w:val="20"/>
              </w:rPr>
              <w:t>e</w:t>
            </w:r>
            <w:r w:rsidRPr="00E85C29">
              <w:rPr>
                <w:rFonts w:eastAsia="Calibri"/>
                <w:b/>
                <w:bCs/>
                <w:color w:val="231F20"/>
                <w:sz w:val="20"/>
                <w:szCs w:val="20"/>
              </w:rPr>
              <w:t>d</w:t>
            </w:r>
            <w:r w:rsidRPr="00E85C29">
              <w:rPr>
                <w:rFonts w:eastAsia="Calibri"/>
                <w:b/>
                <w:bCs/>
                <w:color w:val="231F20"/>
                <w:spacing w:val="-5"/>
                <w:sz w:val="20"/>
                <w:szCs w:val="20"/>
              </w:rPr>
              <w:t>n</w:t>
            </w:r>
            <w:r w:rsidRPr="00E85C29">
              <w:rPr>
                <w:rFonts w:eastAsia="Calibri"/>
                <w:b/>
                <w:bCs/>
                <w:color w:val="231F20"/>
                <w:sz w:val="20"/>
                <w:szCs w:val="20"/>
              </w:rPr>
              <w:t>i</w:t>
            </w:r>
            <w:r w:rsidRPr="00E85C29">
              <w:rPr>
                <w:rFonts w:eastAsia="Calibri"/>
                <w:b/>
                <w:bCs/>
                <w:color w:val="231F20"/>
                <w:spacing w:val="-3"/>
                <w:sz w:val="20"/>
                <w:szCs w:val="20"/>
              </w:rPr>
              <w:t>s</w:t>
            </w:r>
            <w:r w:rsidRPr="00E85C29">
              <w:rPr>
                <w:rFonts w:eastAsia="Calibri"/>
                <w:b/>
                <w:bCs/>
                <w:color w:val="231F20"/>
                <w:sz w:val="20"/>
                <w:szCs w:val="20"/>
              </w:rPr>
              <w:t>o</w:t>
            </w:r>
            <w:r w:rsidRPr="00E85C29">
              <w:rPr>
                <w:rFonts w:eastAsia="Calibri"/>
                <w:b/>
                <w:bCs/>
                <w:color w:val="231F20"/>
                <w:spacing w:val="-4"/>
                <w:sz w:val="20"/>
                <w:szCs w:val="20"/>
              </w:rPr>
              <w:t>n</w:t>
            </w:r>
            <w:r w:rsidRPr="00E85C29">
              <w:rPr>
                <w:rFonts w:eastAsia="Calibri"/>
                <w:b/>
                <w:bCs/>
                <w:color w:val="231F20"/>
                <w:sz w:val="20"/>
                <w:szCs w:val="20"/>
              </w:rPr>
              <w:t>e</w:t>
            </w:r>
            <w:r w:rsidRPr="00E85C29">
              <w:rPr>
                <w:rFonts w:eastAsia="Calibri"/>
                <w:b/>
                <w:bCs/>
                <w:color w:val="231F20"/>
                <w:spacing w:val="-12"/>
                <w:sz w:val="20"/>
                <w:szCs w:val="20"/>
              </w:rPr>
              <w:t xml:space="preserve"> </w:t>
            </w:r>
            <w:r w:rsidRPr="00E85C29">
              <w:rPr>
                <w:rFonts w:eastAsia="Calibri"/>
                <w:b/>
                <w:bCs/>
                <w:color w:val="231F20"/>
                <w:sz w:val="20"/>
                <w:szCs w:val="20"/>
              </w:rPr>
              <w:t>or</w:t>
            </w:r>
            <w:r w:rsidRPr="00E85C29">
              <w:rPr>
                <w:rFonts w:eastAsia="Calibri"/>
                <w:b/>
                <w:bCs/>
                <w:color w:val="231F20"/>
                <w:spacing w:val="-4"/>
                <w:sz w:val="20"/>
                <w:szCs w:val="20"/>
              </w:rPr>
              <w:t xml:space="preserve"> </w:t>
            </w:r>
            <w:r w:rsidRPr="00E85C29">
              <w:rPr>
                <w:rFonts w:eastAsia="Calibri"/>
                <w:b/>
                <w:bCs/>
                <w:color w:val="231F20"/>
                <w:sz w:val="20"/>
                <w:szCs w:val="20"/>
              </w:rPr>
              <w:t>p</w:t>
            </w:r>
            <w:r w:rsidRPr="00E85C29">
              <w:rPr>
                <w:rFonts w:eastAsia="Calibri"/>
                <w:b/>
                <w:bCs/>
                <w:color w:val="231F20"/>
                <w:spacing w:val="-3"/>
                <w:sz w:val="20"/>
                <w:szCs w:val="20"/>
              </w:rPr>
              <w:t>re</w:t>
            </w:r>
            <w:r w:rsidRPr="00E85C29">
              <w:rPr>
                <w:rFonts w:eastAsia="Calibri"/>
                <w:b/>
                <w:bCs/>
                <w:color w:val="231F20"/>
                <w:sz w:val="20"/>
                <w:szCs w:val="20"/>
              </w:rPr>
              <w:t>d</w:t>
            </w:r>
            <w:r w:rsidRPr="00E85C29">
              <w:rPr>
                <w:rFonts w:eastAsia="Calibri"/>
                <w:b/>
                <w:bCs/>
                <w:color w:val="231F20"/>
                <w:spacing w:val="-4"/>
                <w:sz w:val="20"/>
                <w:szCs w:val="20"/>
              </w:rPr>
              <w:t>n</w:t>
            </w:r>
            <w:r w:rsidRPr="00E85C29">
              <w:rPr>
                <w:rFonts w:eastAsia="Calibri"/>
                <w:b/>
                <w:bCs/>
                <w:color w:val="231F20"/>
                <w:sz w:val="20"/>
                <w:szCs w:val="20"/>
              </w:rPr>
              <w:t>i</w:t>
            </w:r>
            <w:r w:rsidRPr="00E85C29">
              <w:rPr>
                <w:rFonts w:eastAsia="Calibri"/>
                <w:b/>
                <w:bCs/>
                <w:color w:val="231F20"/>
                <w:spacing w:val="-3"/>
                <w:sz w:val="20"/>
                <w:szCs w:val="20"/>
              </w:rPr>
              <w:t>s</w:t>
            </w:r>
            <w:r w:rsidRPr="00E85C29">
              <w:rPr>
                <w:rFonts w:eastAsia="Calibri"/>
                <w:b/>
                <w:bCs/>
                <w:color w:val="231F20"/>
                <w:sz w:val="20"/>
                <w:szCs w:val="20"/>
              </w:rPr>
              <w:t>o</w:t>
            </w:r>
            <w:r w:rsidRPr="00E85C29">
              <w:rPr>
                <w:rFonts w:eastAsia="Calibri"/>
                <w:b/>
                <w:bCs/>
                <w:color w:val="231F20"/>
                <w:spacing w:val="-5"/>
                <w:sz w:val="20"/>
                <w:szCs w:val="20"/>
              </w:rPr>
              <w:t>l</w:t>
            </w:r>
            <w:r w:rsidRPr="00E85C29">
              <w:rPr>
                <w:rFonts w:eastAsia="Calibri"/>
                <w:b/>
                <w:bCs/>
                <w:color w:val="231F20"/>
                <w:sz w:val="20"/>
                <w:szCs w:val="20"/>
              </w:rPr>
              <w:t>o</w:t>
            </w:r>
            <w:r w:rsidRPr="00E85C29">
              <w:rPr>
                <w:rFonts w:eastAsia="Calibri"/>
                <w:b/>
                <w:bCs/>
                <w:color w:val="231F20"/>
                <w:spacing w:val="-4"/>
                <w:sz w:val="20"/>
                <w:szCs w:val="20"/>
              </w:rPr>
              <w:t>n</w:t>
            </w:r>
            <w:r w:rsidRPr="00E85C29">
              <w:rPr>
                <w:rFonts w:eastAsia="Calibri"/>
                <w:b/>
                <w:bCs/>
                <w:color w:val="231F20"/>
                <w:sz w:val="20"/>
                <w:szCs w:val="20"/>
              </w:rPr>
              <w:t>e</w:t>
            </w:r>
            <w:r w:rsidRPr="00E85C29">
              <w:rPr>
                <w:rFonts w:eastAsia="Calibri"/>
                <w:b/>
                <w:bCs/>
                <w:color w:val="231F20"/>
                <w:spacing w:val="-14"/>
                <w:sz w:val="20"/>
                <w:szCs w:val="20"/>
              </w:rPr>
              <w:t xml:space="preserve"> </w:t>
            </w:r>
            <w:r w:rsidRPr="00E85C29">
              <w:rPr>
                <w:rFonts w:eastAsia="Calibri"/>
                <w:b/>
                <w:bCs/>
                <w:color w:val="231F20"/>
                <w:sz w:val="20"/>
                <w:szCs w:val="20"/>
              </w:rPr>
              <w:t>(</w:t>
            </w:r>
            <w:r w:rsidRPr="00E85C29">
              <w:rPr>
                <w:rFonts w:eastAsia="Calibri"/>
                <w:b/>
                <w:bCs/>
                <w:color w:val="231F20"/>
                <w:spacing w:val="-4"/>
                <w:sz w:val="20"/>
                <w:szCs w:val="20"/>
              </w:rPr>
              <w:t>P</w:t>
            </w:r>
            <w:r w:rsidRPr="00E85C29">
              <w:rPr>
                <w:rFonts w:eastAsia="Calibri"/>
                <w:b/>
                <w:bCs/>
                <w:color w:val="231F20"/>
                <w:sz w:val="20"/>
                <w:szCs w:val="20"/>
              </w:rPr>
              <w:t>D</w:t>
            </w:r>
            <w:r w:rsidRPr="00E85C29">
              <w:rPr>
                <w:rFonts w:eastAsia="Calibri"/>
                <w:b/>
                <w:bCs/>
                <w:color w:val="231F20"/>
                <w:spacing w:val="-3"/>
                <w:sz w:val="20"/>
                <w:szCs w:val="20"/>
              </w:rPr>
              <w:t>N</w:t>
            </w:r>
            <w:r w:rsidRPr="00E85C29">
              <w:rPr>
                <w:rFonts w:eastAsia="Calibri"/>
                <w:b/>
                <w:bCs/>
                <w:color w:val="231F20"/>
                <w:sz w:val="20"/>
                <w:szCs w:val="20"/>
              </w:rPr>
              <w:t>)</w:t>
            </w:r>
            <w:r w:rsidRPr="00E85C29">
              <w:rPr>
                <w:rFonts w:eastAsia="Calibri"/>
                <w:b/>
                <w:bCs/>
                <w:color w:val="231F20"/>
                <w:spacing w:val="-9"/>
                <w:sz w:val="20"/>
                <w:szCs w:val="20"/>
              </w:rPr>
              <w:t xml:space="preserve"> </w:t>
            </w:r>
            <w:r w:rsidRPr="00E85C29">
              <w:rPr>
                <w:rFonts w:eastAsia="Calibri"/>
                <w:b/>
                <w:bCs/>
                <w:color w:val="231F20"/>
                <w:sz w:val="20"/>
                <w:szCs w:val="20"/>
              </w:rPr>
              <w:t>at</w:t>
            </w:r>
            <w:r w:rsidRPr="00E85C29">
              <w:rPr>
                <w:rFonts w:eastAsia="Calibri"/>
                <w:b/>
                <w:bCs/>
                <w:color w:val="231F20"/>
                <w:spacing w:val="-4"/>
                <w:sz w:val="20"/>
                <w:szCs w:val="20"/>
              </w:rPr>
              <w:t xml:space="preserve"> </w:t>
            </w:r>
            <w:r w:rsidRPr="00E85C29">
              <w:rPr>
                <w:rFonts w:eastAsia="Calibri"/>
                <w:b/>
                <w:bCs/>
                <w:color w:val="231F20"/>
                <w:sz w:val="20"/>
                <w:szCs w:val="20"/>
              </w:rPr>
              <w:t>s</w:t>
            </w:r>
            <w:r w:rsidRPr="00E85C29">
              <w:rPr>
                <w:rFonts w:eastAsia="Calibri"/>
                <w:b/>
                <w:bCs/>
                <w:color w:val="231F20"/>
                <w:spacing w:val="-4"/>
                <w:sz w:val="20"/>
                <w:szCs w:val="20"/>
              </w:rPr>
              <w:t>t</w:t>
            </w:r>
            <w:r w:rsidRPr="00E85C29">
              <w:rPr>
                <w:rFonts w:eastAsia="Calibri"/>
                <w:b/>
                <w:bCs/>
                <w:color w:val="231F20"/>
                <w:sz w:val="20"/>
                <w:szCs w:val="20"/>
              </w:rPr>
              <w:t>a</w:t>
            </w:r>
            <w:r w:rsidRPr="00E85C29">
              <w:rPr>
                <w:rFonts w:eastAsia="Calibri"/>
                <w:b/>
                <w:bCs/>
                <w:color w:val="231F20"/>
                <w:spacing w:val="-3"/>
                <w:sz w:val="20"/>
                <w:szCs w:val="20"/>
              </w:rPr>
              <w:t>n</w:t>
            </w:r>
            <w:r w:rsidRPr="00E85C29">
              <w:rPr>
                <w:rFonts w:eastAsia="Calibri"/>
                <w:b/>
                <w:bCs/>
                <w:color w:val="231F20"/>
                <w:sz w:val="20"/>
                <w:szCs w:val="20"/>
              </w:rPr>
              <w:t>d</w:t>
            </w:r>
            <w:r w:rsidRPr="00E85C29">
              <w:rPr>
                <w:rFonts w:eastAsia="Calibri"/>
                <w:b/>
                <w:bCs/>
                <w:color w:val="231F20"/>
                <w:spacing w:val="-4"/>
                <w:sz w:val="20"/>
                <w:szCs w:val="20"/>
              </w:rPr>
              <w:t>a</w:t>
            </w:r>
            <w:r w:rsidRPr="00E85C29">
              <w:rPr>
                <w:rFonts w:eastAsia="Calibri"/>
                <w:b/>
                <w:bCs/>
                <w:color w:val="231F20"/>
                <w:sz w:val="20"/>
                <w:szCs w:val="20"/>
              </w:rPr>
              <w:t>rd</w:t>
            </w:r>
            <w:r w:rsidRPr="00E85C29">
              <w:rPr>
                <w:rFonts w:eastAsia="Calibri"/>
                <w:b/>
                <w:bCs/>
                <w:color w:val="231F20"/>
                <w:spacing w:val="-13"/>
                <w:sz w:val="20"/>
                <w:szCs w:val="20"/>
              </w:rPr>
              <w:t xml:space="preserve"> </w:t>
            </w:r>
            <w:r w:rsidRPr="00E85C29">
              <w:rPr>
                <w:rFonts w:eastAsia="Calibri"/>
                <w:b/>
                <w:bCs/>
                <w:color w:val="231F20"/>
                <w:sz w:val="20"/>
                <w:szCs w:val="20"/>
              </w:rPr>
              <w:t>d</w:t>
            </w:r>
            <w:r w:rsidRPr="00E85C29">
              <w:rPr>
                <w:rFonts w:eastAsia="Calibri"/>
                <w:b/>
                <w:bCs/>
                <w:color w:val="231F20"/>
                <w:spacing w:val="-4"/>
                <w:sz w:val="20"/>
                <w:szCs w:val="20"/>
              </w:rPr>
              <w:t>o</w:t>
            </w:r>
            <w:r w:rsidRPr="00E85C29">
              <w:rPr>
                <w:rFonts w:eastAsia="Calibri"/>
                <w:b/>
                <w:bCs/>
                <w:color w:val="231F20"/>
                <w:sz w:val="20"/>
                <w:szCs w:val="20"/>
              </w:rPr>
              <w:t>se</w:t>
            </w:r>
            <w:r w:rsidRPr="00E85C29">
              <w:rPr>
                <w:rFonts w:eastAsia="Calibri"/>
                <w:b/>
                <w:bCs/>
                <w:color w:val="000000"/>
                <w:sz w:val="20"/>
                <w:szCs w:val="20"/>
              </w:rPr>
              <w:t xml:space="preserve"> </w:t>
            </w:r>
            <w:r w:rsidRPr="00E85C29">
              <w:rPr>
                <w:rFonts w:eastAsia="Calibri"/>
                <w:b/>
                <w:bCs/>
                <w:color w:val="231F20"/>
                <w:sz w:val="20"/>
                <w:szCs w:val="20"/>
              </w:rPr>
              <w:t>(</w:t>
            </w:r>
            <w:r w:rsidRPr="00E85C29">
              <w:rPr>
                <w:rFonts w:eastAsia="Calibri"/>
                <w:b/>
                <w:bCs/>
                <w:color w:val="231F20"/>
                <w:spacing w:val="-3"/>
                <w:sz w:val="20"/>
                <w:szCs w:val="20"/>
              </w:rPr>
              <w:t>6</w:t>
            </w:r>
            <w:r w:rsidRPr="00E85C29">
              <w:rPr>
                <w:rFonts w:eastAsia="Calibri"/>
                <w:b/>
                <w:bCs/>
                <w:color w:val="231F20"/>
                <w:sz w:val="20"/>
                <w:szCs w:val="20"/>
              </w:rPr>
              <w:t>0</w:t>
            </w:r>
            <w:r w:rsidRPr="00E85C29">
              <w:rPr>
                <w:rFonts w:eastAsia="Calibri"/>
                <w:b/>
                <w:bCs/>
                <w:color w:val="231F20"/>
                <w:spacing w:val="7"/>
                <w:sz w:val="20"/>
                <w:szCs w:val="20"/>
              </w:rPr>
              <w:t xml:space="preserve"> </w:t>
            </w:r>
            <w:r w:rsidRPr="00E85C29">
              <w:rPr>
                <w:rFonts w:eastAsia="Calibri"/>
                <w:b/>
                <w:bCs/>
                <w:color w:val="231F20"/>
                <w:sz w:val="20"/>
                <w:szCs w:val="20"/>
              </w:rPr>
              <w:t>m</w:t>
            </w:r>
            <w:r w:rsidRPr="00E85C29">
              <w:rPr>
                <w:rFonts w:eastAsia="Calibri"/>
                <w:b/>
                <w:bCs/>
                <w:color w:val="231F20"/>
                <w:spacing w:val="-3"/>
                <w:sz w:val="20"/>
                <w:szCs w:val="20"/>
              </w:rPr>
              <w:t>g/</w:t>
            </w:r>
            <w:r w:rsidRPr="00E85C29">
              <w:rPr>
                <w:rFonts w:eastAsia="Calibri"/>
                <w:b/>
                <w:bCs/>
                <w:color w:val="231F20"/>
                <w:spacing w:val="-1"/>
                <w:sz w:val="20"/>
                <w:szCs w:val="20"/>
              </w:rPr>
              <w:t>m</w:t>
            </w:r>
            <w:r w:rsidRPr="00E85C29">
              <w:rPr>
                <w:rFonts w:eastAsia="Calibri"/>
                <w:b/>
                <w:bCs/>
                <w:color w:val="231F20"/>
                <w:spacing w:val="-2"/>
                <w:position w:val="7"/>
                <w:sz w:val="20"/>
                <w:szCs w:val="20"/>
              </w:rPr>
              <w:t>2</w:t>
            </w:r>
            <w:r w:rsidRPr="00E85C29">
              <w:rPr>
                <w:rFonts w:eastAsia="Calibri"/>
                <w:b/>
                <w:bCs/>
                <w:color w:val="231F20"/>
                <w:sz w:val="20"/>
                <w:szCs w:val="20"/>
              </w:rPr>
              <w:t>/</w:t>
            </w:r>
            <w:r w:rsidRPr="00E85C29">
              <w:rPr>
                <w:rFonts w:eastAsia="Calibri"/>
                <w:b/>
                <w:bCs/>
                <w:color w:val="231F20"/>
                <w:spacing w:val="-3"/>
                <w:sz w:val="20"/>
                <w:szCs w:val="20"/>
              </w:rPr>
              <w:t>da</w:t>
            </w:r>
            <w:r w:rsidRPr="00E85C29">
              <w:rPr>
                <w:rFonts w:eastAsia="Calibri"/>
                <w:b/>
                <w:bCs/>
                <w:color w:val="231F20"/>
                <w:sz w:val="20"/>
                <w:szCs w:val="20"/>
              </w:rPr>
              <w:t>y</w:t>
            </w:r>
            <w:r w:rsidRPr="00E85C29">
              <w:rPr>
                <w:rFonts w:eastAsia="Calibri"/>
                <w:b/>
                <w:bCs/>
                <w:color w:val="231F20"/>
                <w:spacing w:val="-1"/>
                <w:sz w:val="20"/>
                <w:szCs w:val="20"/>
              </w:rPr>
              <w:t xml:space="preserve"> </w:t>
            </w:r>
            <w:r w:rsidRPr="00E85C29">
              <w:rPr>
                <w:rFonts w:eastAsia="Calibri"/>
                <w:b/>
                <w:bCs/>
                <w:color w:val="231F20"/>
                <w:spacing w:val="-3"/>
                <w:sz w:val="20"/>
                <w:szCs w:val="20"/>
              </w:rPr>
              <w:t>o</w:t>
            </w:r>
            <w:r w:rsidRPr="00E85C29">
              <w:rPr>
                <w:rFonts w:eastAsia="Calibri"/>
                <w:b/>
                <w:bCs/>
                <w:color w:val="231F20"/>
                <w:sz w:val="20"/>
                <w:szCs w:val="20"/>
              </w:rPr>
              <w:t>r</w:t>
            </w:r>
            <w:r w:rsidRPr="00E85C29">
              <w:rPr>
                <w:rFonts w:eastAsia="Calibri"/>
                <w:b/>
                <w:bCs/>
                <w:color w:val="231F20"/>
                <w:spacing w:val="-1"/>
                <w:sz w:val="20"/>
                <w:szCs w:val="20"/>
              </w:rPr>
              <w:t xml:space="preserve"> </w:t>
            </w:r>
            <w:r w:rsidRPr="00E85C29">
              <w:rPr>
                <w:rFonts w:eastAsia="Calibri"/>
                <w:b/>
                <w:bCs/>
                <w:color w:val="231F20"/>
                <w:sz w:val="20"/>
                <w:szCs w:val="20"/>
              </w:rPr>
              <w:t>2</w:t>
            </w:r>
            <w:r w:rsidRPr="00E85C29">
              <w:rPr>
                <w:rFonts w:eastAsia="Calibri"/>
                <w:b/>
                <w:bCs/>
                <w:color w:val="231F20"/>
                <w:spacing w:val="11"/>
                <w:sz w:val="20"/>
                <w:szCs w:val="20"/>
              </w:rPr>
              <w:t xml:space="preserve"> </w:t>
            </w:r>
            <w:r w:rsidRPr="00E85C29">
              <w:rPr>
                <w:rFonts w:eastAsia="Calibri"/>
                <w:b/>
                <w:bCs/>
                <w:color w:val="231F20"/>
                <w:spacing w:val="-2"/>
                <w:sz w:val="20"/>
                <w:szCs w:val="20"/>
              </w:rPr>
              <w:t>m</w:t>
            </w:r>
            <w:r w:rsidRPr="00E85C29">
              <w:rPr>
                <w:rFonts w:eastAsia="Calibri"/>
                <w:b/>
                <w:bCs/>
                <w:color w:val="231F20"/>
                <w:sz w:val="20"/>
                <w:szCs w:val="20"/>
              </w:rPr>
              <w:t>g</w:t>
            </w:r>
            <w:r w:rsidRPr="00E85C29">
              <w:rPr>
                <w:rFonts w:eastAsia="Calibri"/>
                <w:b/>
                <w:bCs/>
                <w:color w:val="231F20"/>
                <w:spacing w:val="-3"/>
                <w:sz w:val="20"/>
                <w:szCs w:val="20"/>
              </w:rPr>
              <w:t>/</w:t>
            </w:r>
            <w:r w:rsidRPr="00E85C29">
              <w:rPr>
                <w:rFonts w:eastAsia="Calibri"/>
                <w:b/>
                <w:bCs/>
                <w:color w:val="231F20"/>
                <w:sz w:val="20"/>
                <w:szCs w:val="20"/>
              </w:rPr>
              <w:t>k</w:t>
            </w:r>
            <w:r w:rsidRPr="00E85C29">
              <w:rPr>
                <w:rFonts w:eastAsia="Calibri"/>
                <w:b/>
                <w:bCs/>
                <w:color w:val="231F20"/>
                <w:spacing w:val="-4"/>
                <w:sz w:val="20"/>
                <w:szCs w:val="20"/>
              </w:rPr>
              <w:t>g</w:t>
            </w:r>
            <w:r w:rsidRPr="00E85C29">
              <w:rPr>
                <w:rFonts w:eastAsia="Calibri"/>
                <w:b/>
                <w:bCs/>
                <w:color w:val="231F20"/>
                <w:sz w:val="20"/>
                <w:szCs w:val="20"/>
              </w:rPr>
              <w:t>/</w:t>
            </w:r>
            <w:r w:rsidRPr="00E85C29">
              <w:rPr>
                <w:rFonts w:eastAsia="Calibri"/>
                <w:b/>
                <w:bCs/>
                <w:color w:val="231F20"/>
                <w:spacing w:val="-3"/>
                <w:sz w:val="20"/>
                <w:szCs w:val="20"/>
              </w:rPr>
              <w:t>da</w:t>
            </w:r>
            <w:r w:rsidRPr="00E85C29">
              <w:rPr>
                <w:rFonts w:eastAsia="Calibri"/>
                <w:b/>
                <w:bCs/>
                <w:color w:val="231F20"/>
                <w:spacing w:val="-12"/>
                <w:sz w:val="20"/>
                <w:szCs w:val="20"/>
              </w:rPr>
              <w:t>y</w:t>
            </w:r>
            <w:r w:rsidRPr="00E85C29">
              <w:rPr>
                <w:rFonts w:eastAsia="Calibri"/>
                <w:b/>
                <w:bCs/>
                <w:color w:val="231F20"/>
                <w:sz w:val="20"/>
                <w:szCs w:val="20"/>
              </w:rPr>
              <w:t>,</w:t>
            </w:r>
            <w:r w:rsidRPr="00E85C29">
              <w:rPr>
                <w:rFonts w:eastAsia="Calibri"/>
                <w:b/>
                <w:bCs/>
                <w:color w:val="231F20"/>
                <w:spacing w:val="-11"/>
                <w:sz w:val="20"/>
                <w:szCs w:val="20"/>
              </w:rPr>
              <w:t xml:space="preserve"> </w:t>
            </w:r>
            <w:r w:rsidRPr="00E85C29">
              <w:rPr>
                <w:rFonts w:eastAsia="Calibri"/>
                <w:b/>
                <w:bCs/>
                <w:color w:val="231F20"/>
                <w:spacing w:val="-2"/>
                <w:sz w:val="20"/>
                <w:szCs w:val="20"/>
              </w:rPr>
              <w:t>m</w:t>
            </w:r>
            <w:r w:rsidRPr="00E85C29">
              <w:rPr>
                <w:rFonts w:eastAsia="Calibri"/>
                <w:b/>
                <w:bCs/>
                <w:color w:val="231F20"/>
                <w:sz w:val="20"/>
                <w:szCs w:val="20"/>
              </w:rPr>
              <w:t>a</w:t>
            </w:r>
            <w:r w:rsidRPr="00E85C29">
              <w:rPr>
                <w:rFonts w:eastAsia="Calibri"/>
                <w:b/>
                <w:bCs/>
                <w:color w:val="231F20"/>
                <w:spacing w:val="-3"/>
                <w:sz w:val="20"/>
                <w:szCs w:val="20"/>
              </w:rPr>
              <w:t>xi</w:t>
            </w:r>
            <w:r w:rsidRPr="00E85C29">
              <w:rPr>
                <w:rFonts w:eastAsia="Calibri"/>
                <w:b/>
                <w:bCs/>
                <w:color w:val="231F20"/>
                <w:sz w:val="20"/>
                <w:szCs w:val="20"/>
              </w:rPr>
              <w:t>m</w:t>
            </w:r>
            <w:r w:rsidRPr="00E85C29">
              <w:rPr>
                <w:rFonts w:eastAsia="Calibri"/>
                <w:b/>
                <w:bCs/>
                <w:color w:val="231F20"/>
                <w:spacing w:val="-3"/>
                <w:sz w:val="20"/>
                <w:szCs w:val="20"/>
              </w:rPr>
              <w:t>u</w:t>
            </w:r>
            <w:r w:rsidRPr="00E85C29">
              <w:rPr>
                <w:rFonts w:eastAsia="Calibri"/>
                <w:b/>
                <w:bCs/>
                <w:color w:val="231F20"/>
                <w:sz w:val="20"/>
                <w:szCs w:val="20"/>
              </w:rPr>
              <w:t>m</w:t>
            </w:r>
            <w:r w:rsidRPr="00E85C29">
              <w:rPr>
                <w:rFonts w:eastAsia="Calibri"/>
                <w:b/>
                <w:bCs/>
                <w:color w:val="231F20"/>
                <w:spacing w:val="-11"/>
                <w:sz w:val="20"/>
                <w:szCs w:val="20"/>
              </w:rPr>
              <w:t xml:space="preserve"> </w:t>
            </w:r>
            <w:r w:rsidRPr="00E85C29">
              <w:rPr>
                <w:rFonts w:eastAsia="Calibri"/>
                <w:b/>
                <w:bCs/>
                <w:color w:val="231F20"/>
                <w:spacing w:val="-3"/>
                <w:sz w:val="20"/>
                <w:szCs w:val="20"/>
              </w:rPr>
              <w:t>6</w:t>
            </w:r>
            <w:r w:rsidRPr="00E85C29">
              <w:rPr>
                <w:rFonts w:eastAsia="Calibri"/>
                <w:b/>
                <w:bCs/>
                <w:color w:val="231F20"/>
                <w:sz w:val="20"/>
                <w:szCs w:val="20"/>
              </w:rPr>
              <w:t>0</w:t>
            </w:r>
            <w:r w:rsidRPr="00E85C29">
              <w:rPr>
                <w:rFonts w:eastAsia="Calibri"/>
                <w:b/>
                <w:bCs/>
                <w:color w:val="231F20"/>
                <w:spacing w:val="10"/>
                <w:sz w:val="20"/>
                <w:szCs w:val="20"/>
              </w:rPr>
              <w:t xml:space="preserve"> </w:t>
            </w:r>
            <w:r w:rsidRPr="00E85C29">
              <w:rPr>
                <w:rFonts w:eastAsia="Calibri"/>
                <w:b/>
                <w:bCs/>
                <w:color w:val="231F20"/>
                <w:sz w:val="20"/>
                <w:szCs w:val="20"/>
              </w:rPr>
              <w:t>m</w:t>
            </w:r>
            <w:r w:rsidRPr="00E85C29">
              <w:rPr>
                <w:rFonts w:eastAsia="Calibri"/>
                <w:b/>
                <w:bCs/>
                <w:color w:val="231F20"/>
                <w:spacing w:val="-3"/>
                <w:sz w:val="20"/>
                <w:szCs w:val="20"/>
              </w:rPr>
              <w:t>g/</w:t>
            </w:r>
            <w:r w:rsidRPr="00E85C29">
              <w:rPr>
                <w:rFonts w:eastAsia="Calibri"/>
                <w:b/>
                <w:bCs/>
                <w:color w:val="231F20"/>
                <w:sz w:val="20"/>
                <w:szCs w:val="20"/>
              </w:rPr>
              <w:t>d</w:t>
            </w:r>
            <w:r w:rsidRPr="00E85C29">
              <w:rPr>
                <w:rFonts w:eastAsia="Calibri"/>
                <w:b/>
                <w:bCs/>
                <w:color w:val="231F20"/>
                <w:spacing w:val="-3"/>
                <w:sz w:val="20"/>
                <w:szCs w:val="20"/>
              </w:rPr>
              <w:t>a</w:t>
            </w:r>
            <w:r w:rsidRPr="00E85C29">
              <w:rPr>
                <w:rFonts w:eastAsia="Calibri"/>
                <w:b/>
                <w:bCs/>
                <w:color w:val="231F20"/>
                <w:sz w:val="20"/>
                <w:szCs w:val="20"/>
              </w:rPr>
              <w:t>y</w:t>
            </w:r>
            <w:r w:rsidRPr="00E85C29">
              <w:rPr>
                <w:rFonts w:eastAsia="Calibri"/>
                <w:b/>
                <w:bCs/>
                <w:color w:val="231F20"/>
                <w:spacing w:val="-4"/>
                <w:sz w:val="20"/>
                <w:szCs w:val="20"/>
              </w:rPr>
              <w:t>)</w:t>
            </w:r>
            <w:r w:rsidRPr="00E85C29">
              <w:rPr>
                <w:rFonts w:eastAsia="Calibri"/>
                <w:b/>
                <w:bCs/>
                <w:color w:val="231F20"/>
                <w:sz w:val="20"/>
                <w:szCs w:val="20"/>
              </w:rPr>
              <w:t>.</w:t>
            </w:r>
          </w:p>
        </w:tc>
      </w:tr>
      <w:tr w:rsidR="00E85C29" w:rsidRPr="00E85C29" w14:paraId="7431B426" w14:textId="77777777" w:rsidTr="00672A15">
        <w:trPr>
          <w:trHeight w:val="265"/>
        </w:trPr>
        <w:tc>
          <w:tcPr>
            <w:cnfStyle w:val="001000000000" w:firstRow="0" w:lastRow="0" w:firstColumn="1" w:lastColumn="0" w:oddVBand="0" w:evenVBand="0" w:oddHBand="0" w:evenHBand="0" w:firstRowFirstColumn="0" w:firstRowLastColumn="0" w:lastRowFirstColumn="0" w:lastRowLastColumn="0"/>
            <w:tcW w:w="2390" w:type="dxa"/>
          </w:tcPr>
          <w:p w14:paraId="047AD01E" w14:textId="77777777" w:rsidR="00E85C29" w:rsidRPr="00E85C29" w:rsidRDefault="00E85C29" w:rsidP="00E85C29">
            <w:pPr>
              <w:bidi w:val="0"/>
              <w:rPr>
                <w:rFonts w:eastAsia="Calibri"/>
                <w:color w:val="231F20"/>
                <w:sz w:val="20"/>
                <w:szCs w:val="20"/>
              </w:rPr>
            </w:pPr>
            <w:r w:rsidRPr="00E85C29">
              <w:rPr>
                <w:rFonts w:eastAsia="Calibri"/>
                <w:color w:val="231F20"/>
                <w:sz w:val="20"/>
                <w:szCs w:val="20"/>
              </w:rPr>
              <w:t xml:space="preserve">Infrequent relapsing NS </w:t>
            </w:r>
          </w:p>
        </w:tc>
        <w:tc>
          <w:tcPr>
            <w:tcW w:w="7055" w:type="dxa"/>
          </w:tcPr>
          <w:p w14:paraId="768EBE53" w14:textId="77777777" w:rsidR="00E85C29" w:rsidRPr="00E85C29" w:rsidRDefault="00E85C29" w:rsidP="00E85C29">
            <w:pPr>
              <w:autoSpaceDE w:val="0"/>
              <w:autoSpaceDN w:val="0"/>
              <w:bidi w:val="0"/>
              <w:adjustRightInd w:val="0"/>
              <w:ind w:firstLine="23"/>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2 relapses per 6 months or ˂ 4 relapses per 12 months.</w:t>
            </w:r>
          </w:p>
          <w:p w14:paraId="5D287587" w14:textId="77777777" w:rsidR="00E85C29" w:rsidRPr="00E85C29" w:rsidRDefault="00E85C29" w:rsidP="00E85C29">
            <w:pPr>
              <w:autoSpaceDE w:val="0"/>
              <w:autoSpaceDN w:val="0"/>
              <w:bidi w:val="0"/>
              <w:adjustRightInd w:val="0"/>
              <w:ind w:firstLine="23"/>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p>
        </w:tc>
      </w:tr>
      <w:tr w:rsidR="00E85C29" w:rsidRPr="00E85C29" w14:paraId="1FBE4F37" w14:textId="77777777" w:rsidTr="00672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31D91C87" w14:textId="77777777" w:rsidR="00E85C29" w:rsidRPr="00E85C29" w:rsidRDefault="00E85C29" w:rsidP="00E85C29">
            <w:pPr>
              <w:bidi w:val="0"/>
              <w:rPr>
                <w:rFonts w:eastAsia="Calibri"/>
                <w:color w:val="231F20"/>
                <w:sz w:val="20"/>
                <w:szCs w:val="20"/>
              </w:rPr>
            </w:pPr>
            <w:r w:rsidRPr="00E85C29">
              <w:rPr>
                <w:rFonts w:eastAsia="Calibri"/>
                <w:color w:val="231F20"/>
                <w:sz w:val="20"/>
                <w:szCs w:val="20"/>
              </w:rPr>
              <w:t>Frequent relapsing  NS</w:t>
            </w:r>
          </w:p>
        </w:tc>
        <w:tc>
          <w:tcPr>
            <w:tcW w:w="7055" w:type="dxa"/>
          </w:tcPr>
          <w:p w14:paraId="7128314B" w14:textId="77777777" w:rsidR="00E85C29" w:rsidRPr="00E85C29" w:rsidRDefault="00E85C29" w:rsidP="00E85C29">
            <w:pPr>
              <w:autoSpaceDE w:val="0"/>
              <w:autoSpaceDN w:val="0"/>
              <w:bidi w:val="0"/>
              <w:adjustRightInd w:val="0"/>
              <w:ind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2 relapses per 6 months or ≤ 4 relapses per 12 months.</w:t>
            </w:r>
          </w:p>
          <w:p w14:paraId="2DF80AAD" w14:textId="77777777" w:rsidR="00E85C29" w:rsidRPr="00E85C29" w:rsidRDefault="00E85C29" w:rsidP="00E85C29">
            <w:pPr>
              <w:autoSpaceDE w:val="0"/>
              <w:autoSpaceDN w:val="0"/>
              <w:bidi w:val="0"/>
              <w:adjustRightInd w:val="0"/>
              <w:ind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p>
        </w:tc>
      </w:tr>
      <w:tr w:rsidR="00E85C29" w:rsidRPr="00E85C29" w14:paraId="5E644218" w14:textId="77777777" w:rsidTr="00672A15">
        <w:tc>
          <w:tcPr>
            <w:cnfStyle w:val="001000000000" w:firstRow="0" w:lastRow="0" w:firstColumn="1" w:lastColumn="0" w:oddVBand="0" w:evenVBand="0" w:oddHBand="0" w:evenHBand="0" w:firstRowFirstColumn="0" w:firstRowLastColumn="0" w:lastRowFirstColumn="0" w:lastRowLastColumn="0"/>
            <w:tcW w:w="2390" w:type="dxa"/>
          </w:tcPr>
          <w:p w14:paraId="62F1A594" w14:textId="77777777" w:rsidR="00E85C29" w:rsidRPr="00E85C29" w:rsidRDefault="00E85C29" w:rsidP="00E85C29">
            <w:pPr>
              <w:bidi w:val="0"/>
              <w:rPr>
                <w:rFonts w:eastAsia="Calibri"/>
                <w:color w:val="231F20"/>
                <w:sz w:val="20"/>
                <w:szCs w:val="20"/>
              </w:rPr>
            </w:pPr>
            <w:r w:rsidRPr="00E85C29">
              <w:rPr>
                <w:rFonts w:eastAsia="Calibri"/>
                <w:color w:val="231F20"/>
                <w:sz w:val="20"/>
                <w:szCs w:val="20"/>
              </w:rPr>
              <w:t xml:space="preserve">Steroid dependent NS </w:t>
            </w:r>
          </w:p>
        </w:tc>
        <w:tc>
          <w:tcPr>
            <w:tcW w:w="7055" w:type="dxa"/>
          </w:tcPr>
          <w:p w14:paraId="6B6A0C3C" w14:textId="77777777" w:rsidR="00E85C29" w:rsidRPr="00E85C29" w:rsidRDefault="00E85C29" w:rsidP="00E85C29">
            <w:pPr>
              <w:autoSpaceDE w:val="0"/>
              <w:autoSpaceDN w:val="0"/>
              <w:bidi w:val="0"/>
              <w:adjustRightInd w:val="0"/>
              <w:ind w:firstLine="23"/>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Relapses during therapy with </w:t>
            </w:r>
            <w:r w:rsidRPr="00E85C29">
              <w:rPr>
                <w:rFonts w:eastAsia="Calibri"/>
                <w:b/>
                <w:bCs/>
                <w:color w:val="231F20"/>
                <w:spacing w:val="-3"/>
                <w:sz w:val="20"/>
                <w:szCs w:val="20"/>
              </w:rPr>
              <w:t>p</w:t>
            </w:r>
            <w:r w:rsidRPr="00E85C29">
              <w:rPr>
                <w:rFonts w:eastAsia="Calibri"/>
                <w:b/>
                <w:bCs/>
                <w:color w:val="231F20"/>
                <w:sz w:val="20"/>
                <w:szCs w:val="20"/>
              </w:rPr>
              <w:t>r</w:t>
            </w:r>
            <w:r w:rsidRPr="00E85C29">
              <w:rPr>
                <w:rFonts w:eastAsia="Calibri"/>
                <w:b/>
                <w:bCs/>
                <w:color w:val="231F20"/>
                <w:spacing w:val="-3"/>
                <w:sz w:val="20"/>
                <w:szCs w:val="20"/>
              </w:rPr>
              <w:t>e</w:t>
            </w:r>
            <w:r w:rsidRPr="00E85C29">
              <w:rPr>
                <w:rFonts w:eastAsia="Calibri"/>
                <w:b/>
                <w:bCs/>
                <w:color w:val="231F20"/>
                <w:sz w:val="20"/>
                <w:szCs w:val="20"/>
              </w:rPr>
              <w:t>d</w:t>
            </w:r>
            <w:r w:rsidRPr="00E85C29">
              <w:rPr>
                <w:rFonts w:eastAsia="Calibri"/>
                <w:b/>
                <w:bCs/>
                <w:color w:val="231F20"/>
                <w:spacing w:val="-5"/>
                <w:sz w:val="20"/>
                <w:szCs w:val="20"/>
              </w:rPr>
              <w:t>n</w:t>
            </w:r>
            <w:r w:rsidRPr="00E85C29">
              <w:rPr>
                <w:rFonts w:eastAsia="Calibri"/>
                <w:b/>
                <w:bCs/>
                <w:color w:val="231F20"/>
                <w:sz w:val="20"/>
                <w:szCs w:val="20"/>
              </w:rPr>
              <w:t>i</w:t>
            </w:r>
            <w:r w:rsidRPr="00E85C29">
              <w:rPr>
                <w:rFonts w:eastAsia="Calibri"/>
                <w:b/>
                <w:bCs/>
                <w:color w:val="231F20"/>
                <w:spacing w:val="-3"/>
                <w:sz w:val="20"/>
                <w:szCs w:val="20"/>
              </w:rPr>
              <w:t>s</w:t>
            </w:r>
            <w:r w:rsidRPr="00E85C29">
              <w:rPr>
                <w:rFonts w:eastAsia="Calibri"/>
                <w:b/>
                <w:bCs/>
                <w:color w:val="231F20"/>
                <w:sz w:val="20"/>
                <w:szCs w:val="20"/>
              </w:rPr>
              <w:t>o</w:t>
            </w:r>
            <w:r w:rsidRPr="00E85C29">
              <w:rPr>
                <w:rFonts w:eastAsia="Calibri"/>
                <w:b/>
                <w:bCs/>
                <w:color w:val="231F20"/>
                <w:spacing w:val="-4"/>
                <w:sz w:val="20"/>
                <w:szCs w:val="20"/>
              </w:rPr>
              <w:t>n</w:t>
            </w:r>
            <w:r w:rsidRPr="00E85C29">
              <w:rPr>
                <w:rFonts w:eastAsia="Calibri"/>
                <w:b/>
                <w:bCs/>
                <w:color w:val="231F20"/>
                <w:sz w:val="20"/>
                <w:szCs w:val="20"/>
              </w:rPr>
              <w:t>e</w:t>
            </w:r>
            <w:r w:rsidRPr="00E85C29">
              <w:rPr>
                <w:rFonts w:eastAsia="Calibri"/>
                <w:b/>
                <w:bCs/>
                <w:color w:val="231F20"/>
                <w:spacing w:val="-12"/>
                <w:sz w:val="20"/>
                <w:szCs w:val="20"/>
              </w:rPr>
              <w:t xml:space="preserve"> </w:t>
            </w:r>
            <w:r w:rsidRPr="00E85C29">
              <w:rPr>
                <w:rFonts w:eastAsia="Calibri"/>
                <w:b/>
                <w:bCs/>
                <w:color w:val="231F20"/>
                <w:sz w:val="20"/>
                <w:szCs w:val="20"/>
              </w:rPr>
              <w:t>or</w:t>
            </w:r>
            <w:r w:rsidRPr="00E85C29">
              <w:rPr>
                <w:rFonts w:eastAsia="Calibri"/>
                <w:b/>
                <w:bCs/>
                <w:color w:val="231F20"/>
                <w:spacing w:val="-4"/>
                <w:sz w:val="20"/>
                <w:szCs w:val="20"/>
              </w:rPr>
              <w:t xml:space="preserve"> </w:t>
            </w:r>
            <w:r w:rsidRPr="00E85C29">
              <w:rPr>
                <w:rFonts w:eastAsia="Calibri"/>
                <w:b/>
                <w:bCs/>
                <w:color w:val="231F20"/>
                <w:sz w:val="20"/>
                <w:szCs w:val="20"/>
              </w:rPr>
              <w:t>p</w:t>
            </w:r>
            <w:r w:rsidRPr="00E85C29">
              <w:rPr>
                <w:rFonts w:eastAsia="Calibri"/>
                <w:b/>
                <w:bCs/>
                <w:color w:val="231F20"/>
                <w:spacing w:val="-3"/>
                <w:sz w:val="20"/>
                <w:szCs w:val="20"/>
              </w:rPr>
              <w:t>re</w:t>
            </w:r>
            <w:r w:rsidRPr="00E85C29">
              <w:rPr>
                <w:rFonts w:eastAsia="Calibri"/>
                <w:b/>
                <w:bCs/>
                <w:color w:val="231F20"/>
                <w:sz w:val="20"/>
                <w:szCs w:val="20"/>
              </w:rPr>
              <w:t>d</w:t>
            </w:r>
            <w:r w:rsidRPr="00E85C29">
              <w:rPr>
                <w:rFonts w:eastAsia="Calibri"/>
                <w:b/>
                <w:bCs/>
                <w:color w:val="231F20"/>
                <w:spacing w:val="-4"/>
                <w:sz w:val="20"/>
                <w:szCs w:val="20"/>
              </w:rPr>
              <w:t>n</w:t>
            </w:r>
            <w:r w:rsidRPr="00E85C29">
              <w:rPr>
                <w:rFonts w:eastAsia="Calibri"/>
                <w:b/>
                <w:bCs/>
                <w:color w:val="231F20"/>
                <w:sz w:val="20"/>
                <w:szCs w:val="20"/>
              </w:rPr>
              <w:t>i</w:t>
            </w:r>
            <w:r w:rsidRPr="00E85C29">
              <w:rPr>
                <w:rFonts w:eastAsia="Calibri"/>
                <w:b/>
                <w:bCs/>
                <w:color w:val="231F20"/>
                <w:spacing w:val="-3"/>
                <w:sz w:val="20"/>
                <w:szCs w:val="20"/>
              </w:rPr>
              <w:t>s</w:t>
            </w:r>
            <w:r w:rsidRPr="00E85C29">
              <w:rPr>
                <w:rFonts w:eastAsia="Calibri"/>
                <w:b/>
                <w:bCs/>
                <w:color w:val="231F20"/>
                <w:sz w:val="20"/>
                <w:szCs w:val="20"/>
              </w:rPr>
              <w:t>o</w:t>
            </w:r>
            <w:r w:rsidRPr="00E85C29">
              <w:rPr>
                <w:rFonts w:eastAsia="Calibri"/>
                <w:b/>
                <w:bCs/>
                <w:color w:val="231F20"/>
                <w:spacing w:val="-5"/>
                <w:sz w:val="20"/>
                <w:szCs w:val="20"/>
              </w:rPr>
              <w:t>l</w:t>
            </w:r>
            <w:r w:rsidRPr="00E85C29">
              <w:rPr>
                <w:rFonts w:eastAsia="Calibri"/>
                <w:b/>
                <w:bCs/>
                <w:color w:val="231F20"/>
                <w:sz w:val="20"/>
                <w:szCs w:val="20"/>
              </w:rPr>
              <w:t>o</w:t>
            </w:r>
            <w:r w:rsidRPr="00E85C29">
              <w:rPr>
                <w:rFonts w:eastAsia="Calibri"/>
                <w:b/>
                <w:bCs/>
                <w:color w:val="231F20"/>
                <w:spacing w:val="-4"/>
                <w:sz w:val="20"/>
                <w:szCs w:val="20"/>
              </w:rPr>
              <w:t>n</w:t>
            </w:r>
            <w:r w:rsidRPr="00E85C29">
              <w:rPr>
                <w:rFonts w:eastAsia="Calibri"/>
                <w:b/>
                <w:bCs/>
                <w:color w:val="231F20"/>
                <w:sz w:val="20"/>
                <w:szCs w:val="20"/>
              </w:rPr>
              <w:t>e</w:t>
            </w:r>
            <w:r w:rsidRPr="00E85C29">
              <w:rPr>
                <w:rFonts w:eastAsia="Calibri"/>
                <w:b/>
                <w:bCs/>
                <w:color w:val="231F20"/>
                <w:spacing w:val="-14"/>
                <w:sz w:val="20"/>
                <w:szCs w:val="20"/>
              </w:rPr>
              <w:t xml:space="preserve"> (either at full dose or during tapering) or within 15 days of prednisone</w:t>
            </w:r>
            <w:r w:rsidRPr="00E85C29">
              <w:rPr>
                <w:rFonts w:eastAsia="Calibri"/>
                <w:b/>
                <w:bCs/>
                <w:color w:val="231F20"/>
                <w:spacing w:val="-12"/>
                <w:sz w:val="20"/>
                <w:szCs w:val="20"/>
              </w:rPr>
              <w:t xml:space="preserve"> </w:t>
            </w:r>
            <w:r w:rsidRPr="00E85C29">
              <w:rPr>
                <w:rFonts w:eastAsia="Calibri"/>
                <w:b/>
                <w:bCs/>
                <w:color w:val="231F20"/>
                <w:sz w:val="20"/>
                <w:szCs w:val="20"/>
              </w:rPr>
              <w:t>or</w:t>
            </w:r>
            <w:r w:rsidRPr="00E85C29">
              <w:rPr>
                <w:rFonts w:eastAsia="Calibri"/>
                <w:b/>
                <w:bCs/>
                <w:color w:val="231F20"/>
                <w:spacing w:val="-4"/>
                <w:sz w:val="20"/>
                <w:szCs w:val="20"/>
              </w:rPr>
              <w:t xml:space="preserve"> </w:t>
            </w:r>
            <w:r w:rsidRPr="00E85C29">
              <w:rPr>
                <w:rFonts w:eastAsia="Calibri"/>
                <w:b/>
                <w:bCs/>
                <w:color w:val="231F20"/>
                <w:sz w:val="20"/>
                <w:szCs w:val="20"/>
              </w:rPr>
              <w:t>p</w:t>
            </w:r>
            <w:r w:rsidRPr="00E85C29">
              <w:rPr>
                <w:rFonts w:eastAsia="Calibri"/>
                <w:b/>
                <w:bCs/>
                <w:color w:val="231F20"/>
                <w:spacing w:val="-3"/>
                <w:sz w:val="20"/>
                <w:szCs w:val="20"/>
              </w:rPr>
              <w:t>re</w:t>
            </w:r>
            <w:r w:rsidRPr="00E85C29">
              <w:rPr>
                <w:rFonts w:eastAsia="Calibri"/>
                <w:b/>
                <w:bCs/>
                <w:color w:val="231F20"/>
                <w:sz w:val="20"/>
                <w:szCs w:val="20"/>
              </w:rPr>
              <w:t>d</w:t>
            </w:r>
            <w:r w:rsidRPr="00E85C29">
              <w:rPr>
                <w:rFonts w:eastAsia="Calibri"/>
                <w:b/>
                <w:bCs/>
                <w:color w:val="231F20"/>
                <w:spacing w:val="-4"/>
                <w:sz w:val="20"/>
                <w:szCs w:val="20"/>
              </w:rPr>
              <w:t>n</w:t>
            </w:r>
            <w:r w:rsidRPr="00E85C29">
              <w:rPr>
                <w:rFonts w:eastAsia="Calibri"/>
                <w:b/>
                <w:bCs/>
                <w:color w:val="231F20"/>
                <w:sz w:val="20"/>
                <w:szCs w:val="20"/>
              </w:rPr>
              <w:t>i</w:t>
            </w:r>
            <w:r w:rsidRPr="00E85C29">
              <w:rPr>
                <w:rFonts w:eastAsia="Calibri"/>
                <w:b/>
                <w:bCs/>
                <w:color w:val="231F20"/>
                <w:spacing w:val="-3"/>
                <w:sz w:val="20"/>
                <w:szCs w:val="20"/>
              </w:rPr>
              <w:t>s</w:t>
            </w:r>
            <w:r w:rsidRPr="00E85C29">
              <w:rPr>
                <w:rFonts w:eastAsia="Calibri"/>
                <w:b/>
                <w:bCs/>
                <w:color w:val="231F20"/>
                <w:sz w:val="20"/>
                <w:szCs w:val="20"/>
              </w:rPr>
              <w:t>o</w:t>
            </w:r>
            <w:r w:rsidRPr="00E85C29">
              <w:rPr>
                <w:rFonts w:eastAsia="Calibri"/>
                <w:b/>
                <w:bCs/>
                <w:color w:val="231F20"/>
                <w:spacing w:val="-5"/>
                <w:sz w:val="20"/>
                <w:szCs w:val="20"/>
              </w:rPr>
              <w:t>l</w:t>
            </w:r>
            <w:r w:rsidRPr="00E85C29">
              <w:rPr>
                <w:rFonts w:eastAsia="Calibri"/>
                <w:b/>
                <w:bCs/>
                <w:color w:val="231F20"/>
                <w:sz w:val="20"/>
                <w:szCs w:val="20"/>
              </w:rPr>
              <w:t>o</w:t>
            </w:r>
            <w:r w:rsidRPr="00E85C29">
              <w:rPr>
                <w:rFonts w:eastAsia="Calibri"/>
                <w:b/>
                <w:bCs/>
                <w:color w:val="231F20"/>
                <w:spacing w:val="-4"/>
                <w:sz w:val="20"/>
                <w:szCs w:val="20"/>
              </w:rPr>
              <w:t>n</w:t>
            </w:r>
            <w:r w:rsidRPr="00E85C29">
              <w:rPr>
                <w:rFonts w:eastAsia="Calibri"/>
                <w:b/>
                <w:bCs/>
                <w:color w:val="231F20"/>
                <w:sz w:val="20"/>
                <w:szCs w:val="20"/>
              </w:rPr>
              <w:t>e discontinuation.</w:t>
            </w:r>
          </w:p>
        </w:tc>
      </w:tr>
      <w:tr w:rsidR="00E85C29" w:rsidRPr="00E85C29" w14:paraId="265B0CEB" w14:textId="77777777" w:rsidTr="00672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47488CED" w14:textId="77777777" w:rsidR="00E85C29" w:rsidRPr="00E85C29" w:rsidRDefault="00E85C29" w:rsidP="00E85C29">
            <w:pPr>
              <w:bidi w:val="0"/>
              <w:ind w:left="-23" w:firstLine="23"/>
              <w:rPr>
                <w:rFonts w:eastAsia="Calibri"/>
                <w:color w:val="231F20"/>
                <w:sz w:val="20"/>
                <w:szCs w:val="20"/>
              </w:rPr>
            </w:pPr>
            <w:r w:rsidRPr="00E85C29">
              <w:rPr>
                <w:rFonts w:eastAsia="Calibri"/>
                <w:color w:val="231F20"/>
                <w:sz w:val="20"/>
                <w:szCs w:val="20"/>
              </w:rPr>
              <w:t>SRNS</w:t>
            </w:r>
          </w:p>
        </w:tc>
        <w:tc>
          <w:tcPr>
            <w:tcW w:w="7055" w:type="dxa"/>
          </w:tcPr>
          <w:p w14:paraId="455343C1" w14:textId="77777777" w:rsidR="00E85C29" w:rsidRPr="00E85C29" w:rsidRDefault="00E85C29" w:rsidP="00E85C29">
            <w:pPr>
              <w:autoSpaceDE w:val="0"/>
              <w:autoSpaceDN w:val="0"/>
              <w:bidi w:val="0"/>
              <w:adjustRightInd w:val="0"/>
              <w:spacing w:before="54" w:line="193" w:lineRule="exact"/>
              <w:ind w:right="-20"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Lack of complete remission within 4 weeks of treatment with PDN at standard dose.</w:t>
            </w:r>
          </w:p>
        </w:tc>
      </w:tr>
      <w:tr w:rsidR="00E85C29" w:rsidRPr="00E85C29" w14:paraId="076914F1" w14:textId="77777777" w:rsidTr="00672A15">
        <w:tc>
          <w:tcPr>
            <w:cnfStyle w:val="001000000000" w:firstRow="0" w:lastRow="0" w:firstColumn="1" w:lastColumn="0" w:oddVBand="0" w:evenVBand="0" w:oddHBand="0" w:evenHBand="0" w:firstRowFirstColumn="0" w:firstRowLastColumn="0" w:lastRowFirstColumn="0" w:lastRowLastColumn="0"/>
            <w:tcW w:w="2390" w:type="dxa"/>
          </w:tcPr>
          <w:p w14:paraId="0E0B69FE" w14:textId="77777777" w:rsidR="00E85C29" w:rsidRPr="00E85C29" w:rsidRDefault="00E85C29" w:rsidP="00E85C29">
            <w:pPr>
              <w:bidi w:val="0"/>
              <w:ind w:left="-23" w:firstLine="23"/>
              <w:rPr>
                <w:rFonts w:eastAsia="Calibri"/>
                <w:color w:val="231F20"/>
                <w:sz w:val="20"/>
                <w:szCs w:val="20"/>
              </w:rPr>
            </w:pPr>
            <w:r w:rsidRPr="00E85C29">
              <w:rPr>
                <w:rFonts w:eastAsia="Calibri"/>
                <w:color w:val="231F20"/>
                <w:sz w:val="20"/>
                <w:szCs w:val="20"/>
              </w:rPr>
              <w:t>Late Responder NS</w:t>
            </w:r>
          </w:p>
        </w:tc>
        <w:tc>
          <w:tcPr>
            <w:tcW w:w="7055" w:type="dxa"/>
          </w:tcPr>
          <w:p w14:paraId="66EDE7D9" w14:textId="77777777" w:rsidR="00E85C29" w:rsidRPr="00E85C29" w:rsidRDefault="00E85C29" w:rsidP="00E85C29">
            <w:pPr>
              <w:tabs>
                <w:tab w:val="left" w:pos="238"/>
              </w:tabs>
              <w:autoSpaceDE w:val="0"/>
              <w:autoSpaceDN w:val="0"/>
              <w:bidi w:val="0"/>
              <w:adjustRightInd w:val="0"/>
              <w:ind w:left="58"/>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Complete remission at 6 weeks.</w:t>
            </w:r>
          </w:p>
          <w:p w14:paraId="4FE460F9" w14:textId="77777777" w:rsidR="00E85C29" w:rsidRPr="00E85C29" w:rsidRDefault="00E85C29" w:rsidP="00E85C29">
            <w:pPr>
              <w:tabs>
                <w:tab w:val="left" w:pos="238"/>
              </w:tabs>
              <w:autoSpaceDE w:val="0"/>
              <w:autoSpaceDN w:val="0"/>
              <w:bidi w:val="0"/>
              <w:adjustRightInd w:val="0"/>
              <w:ind w:left="58"/>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p>
        </w:tc>
      </w:tr>
      <w:tr w:rsidR="00E85C29" w:rsidRPr="00E85C29" w14:paraId="6C3E4BE0" w14:textId="77777777" w:rsidTr="00672A15">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390" w:type="dxa"/>
          </w:tcPr>
          <w:p w14:paraId="655504EA" w14:textId="77777777" w:rsidR="00E85C29" w:rsidRPr="00E85C29" w:rsidRDefault="00E85C29" w:rsidP="00E85C29">
            <w:pPr>
              <w:bidi w:val="0"/>
              <w:ind w:firstLine="23"/>
              <w:rPr>
                <w:rFonts w:eastAsia="Calibri"/>
                <w:color w:val="231F20"/>
                <w:sz w:val="20"/>
                <w:szCs w:val="20"/>
              </w:rPr>
            </w:pPr>
            <w:r w:rsidRPr="00E85C29">
              <w:rPr>
                <w:rFonts w:eastAsia="Calibri"/>
                <w:color w:val="231F20"/>
                <w:sz w:val="20"/>
                <w:szCs w:val="20"/>
              </w:rPr>
              <w:t>CNI-resistant SRNS</w:t>
            </w:r>
          </w:p>
        </w:tc>
        <w:tc>
          <w:tcPr>
            <w:tcW w:w="7055" w:type="dxa"/>
          </w:tcPr>
          <w:p w14:paraId="09AA7B06" w14:textId="77777777" w:rsidR="00E85C29" w:rsidRPr="00E85C29" w:rsidRDefault="00E85C29" w:rsidP="00E85C29">
            <w:pPr>
              <w:autoSpaceDE w:val="0"/>
              <w:autoSpaceDN w:val="0"/>
              <w:bidi w:val="0"/>
              <w:adjustRightInd w:val="0"/>
              <w:ind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Absence of at least partial remission after 6 months of treatment with a CNI at adequate doses and/or levels.</w:t>
            </w:r>
          </w:p>
        </w:tc>
      </w:tr>
      <w:tr w:rsidR="00E85C29" w:rsidRPr="00E85C29" w14:paraId="6C743F78" w14:textId="77777777" w:rsidTr="00672A15">
        <w:tc>
          <w:tcPr>
            <w:cnfStyle w:val="001000000000" w:firstRow="0" w:lastRow="0" w:firstColumn="1" w:lastColumn="0" w:oddVBand="0" w:evenVBand="0" w:oddHBand="0" w:evenHBand="0" w:firstRowFirstColumn="0" w:firstRowLastColumn="0" w:lastRowFirstColumn="0" w:lastRowLastColumn="0"/>
            <w:tcW w:w="2390" w:type="dxa"/>
          </w:tcPr>
          <w:p w14:paraId="2CF1C125" w14:textId="77777777" w:rsidR="00E85C29" w:rsidRPr="00E85C29" w:rsidRDefault="00E85C29" w:rsidP="00E85C29">
            <w:pPr>
              <w:bidi w:val="0"/>
              <w:ind w:firstLine="23"/>
              <w:rPr>
                <w:rFonts w:eastAsia="Calibri"/>
                <w:color w:val="231F20"/>
                <w:sz w:val="20"/>
                <w:szCs w:val="20"/>
              </w:rPr>
            </w:pPr>
            <w:r w:rsidRPr="00E85C29">
              <w:rPr>
                <w:rFonts w:eastAsia="Calibri"/>
                <w:color w:val="231F20"/>
                <w:sz w:val="20"/>
                <w:szCs w:val="20"/>
              </w:rPr>
              <w:t>Multi-drug-resistant SRNS</w:t>
            </w:r>
          </w:p>
        </w:tc>
        <w:tc>
          <w:tcPr>
            <w:tcW w:w="7055" w:type="dxa"/>
          </w:tcPr>
          <w:p w14:paraId="518B6A27" w14:textId="77777777" w:rsidR="00E85C29" w:rsidRPr="00E85C29" w:rsidRDefault="00E85C29" w:rsidP="00E85C29">
            <w:pPr>
              <w:autoSpaceDE w:val="0"/>
              <w:autoSpaceDN w:val="0"/>
              <w:bidi w:val="0"/>
              <w:adjustRightInd w:val="0"/>
              <w:ind w:firstLine="23"/>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Absence of complete remission after 12 months of treatment with 2 mechanistically distinct steroid-sparing agents at standard doses (see text).</w:t>
            </w:r>
          </w:p>
        </w:tc>
      </w:tr>
      <w:tr w:rsidR="00E85C29" w:rsidRPr="00E85C29" w14:paraId="2B589E89" w14:textId="77777777" w:rsidTr="00672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42B3CE9D" w14:textId="77777777" w:rsidR="00E85C29" w:rsidRPr="00E85C29" w:rsidRDefault="00E85C29" w:rsidP="00E85C29">
            <w:pPr>
              <w:bidi w:val="0"/>
              <w:ind w:firstLine="23"/>
              <w:rPr>
                <w:rFonts w:eastAsia="Calibri"/>
                <w:color w:val="231F20"/>
                <w:sz w:val="20"/>
                <w:szCs w:val="20"/>
              </w:rPr>
            </w:pPr>
            <w:r w:rsidRPr="00E85C29">
              <w:rPr>
                <w:rFonts w:eastAsia="Calibri"/>
                <w:color w:val="231F20"/>
                <w:sz w:val="20"/>
                <w:szCs w:val="20"/>
              </w:rPr>
              <w:t>Secondary steroid resistance</w:t>
            </w:r>
          </w:p>
        </w:tc>
        <w:tc>
          <w:tcPr>
            <w:tcW w:w="7055" w:type="dxa"/>
          </w:tcPr>
          <w:p w14:paraId="070A25CB" w14:textId="77777777" w:rsidR="00E85C29" w:rsidRPr="00E85C29" w:rsidRDefault="00E85C29" w:rsidP="00E85C29">
            <w:pPr>
              <w:autoSpaceDE w:val="0"/>
              <w:autoSpaceDN w:val="0"/>
              <w:bidi w:val="0"/>
              <w:adjustRightInd w:val="0"/>
              <w:ind w:firstLine="23"/>
              <w:cnfStyle w:val="000000100000" w:firstRow="0" w:lastRow="0" w:firstColumn="0" w:lastColumn="0" w:oddVBand="0" w:evenVBand="0" w:oddHBand="1"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Children with initial steroid-sensitivity who in subsequent relapses develop SRNS.</w:t>
            </w:r>
          </w:p>
        </w:tc>
      </w:tr>
      <w:tr w:rsidR="00E85C29" w:rsidRPr="00E85C29" w14:paraId="6F6BCBA4" w14:textId="77777777" w:rsidTr="00672A15">
        <w:tc>
          <w:tcPr>
            <w:cnfStyle w:val="001000000000" w:firstRow="0" w:lastRow="0" w:firstColumn="1" w:lastColumn="0" w:oddVBand="0" w:evenVBand="0" w:oddHBand="0" w:evenHBand="0" w:firstRowFirstColumn="0" w:firstRowLastColumn="0" w:lastRowFirstColumn="0" w:lastRowLastColumn="0"/>
            <w:tcW w:w="2390" w:type="dxa"/>
          </w:tcPr>
          <w:p w14:paraId="01C6B3AF" w14:textId="77777777" w:rsidR="00E85C29" w:rsidRPr="00E85C29" w:rsidRDefault="00E85C29" w:rsidP="00E85C29">
            <w:pPr>
              <w:autoSpaceDE w:val="0"/>
              <w:autoSpaceDN w:val="0"/>
              <w:bidi w:val="0"/>
              <w:adjustRightInd w:val="0"/>
              <w:ind w:firstLine="23"/>
              <w:rPr>
                <w:rFonts w:eastAsia="Calibri"/>
                <w:color w:val="231F20"/>
                <w:sz w:val="20"/>
                <w:szCs w:val="20"/>
              </w:rPr>
            </w:pPr>
            <w:r w:rsidRPr="00E85C29">
              <w:rPr>
                <w:rFonts w:eastAsia="Calibri"/>
                <w:color w:val="231F20"/>
                <w:sz w:val="20"/>
                <w:szCs w:val="20"/>
              </w:rPr>
              <w:t>Recurrent nephrotic syndrome</w:t>
            </w:r>
          </w:p>
          <w:p w14:paraId="3EE7DFBF" w14:textId="77777777" w:rsidR="00E85C29" w:rsidRPr="00E85C29" w:rsidRDefault="00E85C29" w:rsidP="00E85C29">
            <w:pPr>
              <w:autoSpaceDE w:val="0"/>
              <w:autoSpaceDN w:val="0"/>
              <w:bidi w:val="0"/>
              <w:adjustRightInd w:val="0"/>
              <w:ind w:firstLine="23"/>
              <w:rPr>
                <w:rFonts w:eastAsia="Calibri"/>
                <w:color w:val="231F20"/>
                <w:sz w:val="20"/>
                <w:szCs w:val="20"/>
              </w:rPr>
            </w:pPr>
            <w:r w:rsidRPr="00E85C29">
              <w:rPr>
                <w:rFonts w:eastAsia="Calibri"/>
                <w:color w:val="231F20"/>
                <w:sz w:val="20"/>
                <w:szCs w:val="20"/>
              </w:rPr>
              <w:t>post-renal transplantation</w:t>
            </w:r>
          </w:p>
          <w:p w14:paraId="607F6B71" w14:textId="77777777" w:rsidR="00E85C29" w:rsidRPr="00E85C29" w:rsidRDefault="00E85C29" w:rsidP="00E85C29">
            <w:pPr>
              <w:bidi w:val="0"/>
              <w:ind w:firstLine="23"/>
              <w:rPr>
                <w:rFonts w:eastAsia="Calibri"/>
                <w:color w:val="231F20"/>
                <w:sz w:val="20"/>
                <w:szCs w:val="20"/>
              </w:rPr>
            </w:pPr>
          </w:p>
        </w:tc>
        <w:tc>
          <w:tcPr>
            <w:tcW w:w="7055" w:type="dxa"/>
          </w:tcPr>
          <w:p w14:paraId="1349C2B8" w14:textId="77777777" w:rsidR="00E85C29" w:rsidRPr="00E85C29" w:rsidRDefault="00E85C29" w:rsidP="00E85C29">
            <w:pPr>
              <w:autoSpaceDE w:val="0"/>
              <w:autoSpaceDN w:val="0"/>
              <w:bidi w:val="0"/>
              <w:adjustRightInd w:val="0"/>
              <w:ind w:firstLine="23"/>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A child with SRNS presenting post-renal transplantation with a relapse of nephrotic-range proteinuria in the absence of other apparent causes and/or podocyte foot process effacement on kidney biopsy. </w:t>
            </w:r>
          </w:p>
          <w:p w14:paraId="0FBFB934" w14:textId="77777777" w:rsidR="00E85C29" w:rsidRPr="00E85C29" w:rsidRDefault="00E85C29" w:rsidP="00E85C29">
            <w:pPr>
              <w:numPr>
                <w:ilvl w:val="0"/>
                <w:numId w:val="3"/>
              </w:numPr>
              <w:tabs>
                <w:tab w:val="left" w:pos="238"/>
              </w:tabs>
              <w:autoSpaceDE w:val="0"/>
              <w:autoSpaceDN w:val="0"/>
              <w:bidi w:val="0"/>
              <w:adjustRightInd w:val="0"/>
              <w:spacing w:line="254" w:lineRule="auto"/>
              <w:ind w:left="58"/>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This diagnosis should also be considered in case of persistent proteinuria (UPCR </w:t>
            </w:r>
            <w:r w:rsidRPr="00E85C29">
              <w:rPr>
                <w:rFonts w:eastAsia="MsfjglRbcdpjAdvTT3713a231+22"/>
                <w:b/>
                <w:bCs/>
                <w:color w:val="231F20"/>
                <w:sz w:val="20"/>
                <w:szCs w:val="20"/>
              </w:rPr>
              <w:t xml:space="preserve">≥ </w:t>
            </w:r>
            <w:r w:rsidRPr="00E85C29">
              <w:rPr>
                <w:rFonts w:eastAsia="Calibri"/>
                <w:b/>
                <w:bCs/>
                <w:color w:val="231F20"/>
                <w:sz w:val="20"/>
                <w:szCs w:val="20"/>
              </w:rPr>
              <w:t xml:space="preserve">100 mg/mmol (1 mg/mg) in a previously anuric patient, or </w:t>
            </w:r>
          </w:p>
          <w:p w14:paraId="4930C7BF" w14:textId="77777777" w:rsidR="00E85C29" w:rsidRPr="00E85C29" w:rsidRDefault="00E85C29" w:rsidP="00E85C29">
            <w:pPr>
              <w:numPr>
                <w:ilvl w:val="0"/>
                <w:numId w:val="3"/>
              </w:numPr>
              <w:tabs>
                <w:tab w:val="left" w:pos="238"/>
              </w:tabs>
              <w:autoSpaceDE w:val="0"/>
              <w:autoSpaceDN w:val="0"/>
              <w:bidi w:val="0"/>
              <w:adjustRightInd w:val="0"/>
              <w:spacing w:line="254" w:lineRule="auto"/>
              <w:ind w:left="58"/>
              <w:cnfStyle w:val="000000000000" w:firstRow="0" w:lastRow="0" w:firstColumn="0" w:lastColumn="0" w:oddVBand="0" w:evenVBand="0" w:oddHBand="0" w:evenHBand="0" w:firstRowFirstColumn="0" w:firstRowLastColumn="0" w:lastRowFirstColumn="0" w:lastRowLastColumn="0"/>
              <w:rPr>
                <w:rFonts w:eastAsia="Calibri"/>
                <w:b/>
                <w:bCs/>
                <w:color w:val="231F20"/>
                <w:sz w:val="20"/>
                <w:szCs w:val="20"/>
              </w:rPr>
            </w:pPr>
            <w:r w:rsidRPr="00E85C29">
              <w:rPr>
                <w:rFonts w:eastAsia="Calibri"/>
                <w:b/>
                <w:bCs/>
                <w:color w:val="231F20"/>
                <w:sz w:val="20"/>
                <w:szCs w:val="20"/>
              </w:rPr>
              <w:t xml:space="preserve">An increase of UPCR </w:t>
            </w:r>
            <w:r w:rsidRPr="00E85C29">
              <w:rPr>
                <w:rFonts w:eastAsia="MsfjglRbcdpjAdvTT3713a231+22"/>
                <w:b/>
                <w:bCs/>
                <w:color w:val="231F20"/>
                <w:sz w:val="20"/>
                <w:szCs w:val="20"/>
              </w:rPr>
              <w:t xml:space="preserve">≥ </w:t>
            </w:r>
            <w:r w:rsidRPr="00E85C29">
              <w:rPr>
                <w:rFonts w:eastAsia="Calibri"/>
                <w:b/>
                <w:bCs/>
                <w:color w:val="231F20"/>
                <w:sz w:val="20"/>
                <w:szCs w:val="20"/>
              </w:rPr>
              <w:t>100 mg/mmol (1 mg/mg) in a patient with prevalent proteinuria at the time of transplant in the absence of other apparent causes.</w:t>
            </w:r>
          </w:p>
        </w:tc>
      </w:tr>
      <w:tr w:rsidR="00E85C29" w:rsidRPr="00E85C29" w14:paraId="0FD163AB" w14:textId="77777777" w:rsidTr="00672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2"/>
          </w:tcPr>
          <w:p w14:paraId="157049F1" w14:textId="77777777" w:rsidR="00E85C29" w:rsidRPr="00E85C29" w:rsidRDefault="00E85C29" w:rsidP="00E85C29">
            <w:pPr>
              <w:autoSpaceDE w:val="0"/>
              <w:autoSpaceDN w:val="0"/>
              <w:bidi w:val="0"/>
              <w:adjustRightInd w:val="0"/>
              <w:rPr>
                <w:rFonts w:eastAsia="Calibri"/>
                <w:color w:val="231F20"/>
                <w:sz w:val="20"/>
                <w:szCs w:val="20"/>
              </w:rPr>
            </w:pPr>
            <w:r w:rsidRPr="00E85C29">
              <w:rPr>
                <w:rFonts w:eastAsia="Calibri"/>
                <w:color w:val="231F20"/>
                <w:sz w:val="20"/>
                <w:szCs w:val="20"/>
              </w:rPr>
              <w:t>Table abbreviations</w:t>
            </w:r>
          </w:p>
        </w:tc>
      </w:tr>
      <w:tr w:rsidR="00E85C29" w:rsidRPr="00E85C29" w14:paraId="66945870" w14:textId="77777777" w:rsidTr="00672A15">
        <w:trPr>
          <w:trHeight w:val="467"/>
        </w:trPr>
        <w:tc>
          <w:tcPr>
            <w:cnfStyle w:val="001000000000" w:firstRow="0" w:lastRow="0" w:firstColumn="1" w:lastColumn="0" w:oddVBand="0" w:evenVBand="0" w:oddHBand="0" w:evenHBand="0" w:firstRowFirstColumn="0" w:firstRowLastColumn="0" w:lastRowFirstColumn="0" w:lastRowLastColumn="0"/>
            <w:tcW w:w="9445" w:type="dxa"/>
            <w:gridSpan w:val="2"/>
          </w:tcPr>
          <w:p w14:paraId="6EE944AD" w14:textId="77777777" w:rsidR="00E85C29" w:rsidRPr="00E85C29" w:rsidRDefault="00E85C29" w:rsidP="00E85C29">
            <w:pPr>
              <w:autoSpaceDE w:val="0"/>
              <w:autoSpaceDN w:val="0"/>
              <w:bidi w:val="0"/>
              <w:adjustRightInd w:val="0"/>
              <w:rPr>
                <w:rFonts w:eastAsia="Calibri"/>
                <w:color w:val="231F20"/>
                <w:sz w:val="20"/>
                <w:szCs w:val="20"/>
              </w:rPr>
            </w:pPr>
            <w:r w:rsidRPr="00E85C29">
              <w:rPr>
                <w:rFonts w:eastAsia="Calibri"/>
                <w:color w:val="231F20"/>
                <w:sz w:val="20"/>
                <w:szCs w:val="20"/>
              </w:rPr>
              <w:t xml:space="preserve">UPCR urine protein/creatinine ratio, SSNS steroid sensitive nephrotic syndrome, </w:t>
            </w:r>
          </w:p>
          <w:p w14:paraId="05FC8B79" w14:textId="77777777" w:rsidR="00E85C29" w:rsidRPr="00E85C29" w:rsidRDefault="00E85C29" w:rsidP="00E85C29">
            <w:pPr>
              <w:autoSpaceDE w:val="0"/>
              <w:autoSpaceDN w:val="0"/>
              <w:bidi w:val="0"/>
              <w:adjustRightInd w:val="0"/>
              <w:rPr>
                <w:rFonts w:eastAsia="Calibri"/>
                <w:color w:val="231F20"/>
                <w:sz w:val="20"/>
                <w:szCs w:val="20"/>
              </w:rPr>
            </w:pPr>
            <w:r w:rsidRPr="00E85C29">
              <w:rPr>
                <w:rFonts w:eastAsia="Calibri"/>
                <w:color w:val="231F20"/>
                <w:sz w:val="20"/>
                <w:szCs w:val="20"/>
              </w:rPr>
              <w:t xml:space="preserve">SRNS steroid-resistant nephrotic syndrome, PDN prednisolone or prednisone, </w:t>
            </w:r>
          </w:p>
          <w:p w14:paraId="447F66B7" w14:textId="77777777" w:rsidR="00E85C29" w:rsidRPr="00E85C29" w:rsidRDefault="00E85C29" w:rsidP="00E85C29">
            <w:pPr>
              <w:autoSpaceDE w:val="0"/>
              <w:autoSpaceDN w:val="0"/>
              <w:bidi w:val="0"/>
              <w:adjustRightInd w:val="0"/>
              <w:rPr>
                <w:rFonts w:eastAsia="Calibri"/>
                <w:color w:val="231F20"/>
                <w:sz w:val="20"/>
                <w:szCs w:val="20"/>
              </w:rPr>
            </w:pPr>
            <w:r w:rsidRPr="00E85C29">
              <w:rPr>
                <w:rFonts w:eastAsia="Calibri"/>
                <w:color w:val="231F20"/>
                <w:sz w:val="20"/>
                <w:szCs w:val="20"/>
              </w:rPr>
              <w:t xml:space="preserve">MPDN methylprednisolone, </w:t>
            </w:r>
            <w:proofErr w:type="spellStart"/>
            <w:r w:rsidRPr="00E85C29">
              <w:rPr>
                <w:rFonts w:eastAsia="Calibri"/>
                <w:color w:val="231F20"/>
                <w:sz w:val="20"/>
                <w:szCs w:val="20"/>
              </w:rPr>
              <w:t>RAASi</w:t>
            </w:r>
            <w:proofErr w:type="spellEnd"/>
            <w:r w:rsidRPr="00E85C29">
              <w:rPr>
                <w:rFonts w:eastAsia="Calibri"/>
                <w:color w:val="231F20"/>
                <w:sz w:val="20"/>
                <w:szCs w:val="20"/>
              </w:rPr>
              <w:t xml:space="preserve"> renin-angiotensin-aldosterone system, CNI calcineurin inhibitor</w:t>
            </w:r>
          </w:p>
        </w:tc>
      </w:tr>
    </w:tbl>
    <w:p w14:paraId="6411B859" w14:textId="77777777" w:rsidR="00E85C29" w:rsidRPr="00E85C29" w:rsidRDefault="00E85C29" w:rsidP="00E85C29">
      <w:pPr>
        <w:ind w:firstLine="0"/>
        <w:jc w:val="left"/>
        <w:rPr>
          <w:rFonts w:ascii="Times New Roman" w:eastAsia="Times New Roman" w:hAnsi="Times New Roman" w:cs="Times New Roman"/>
          <w:b/>
          <w:bCs/>
          <w:color w:val="4F81BD"/>
          <w:sz w:val="24"/>
          <w:szCs w:val="24"/>
        </w:rPr>
      </w:pPr>
      <w:r w:rsidRPr="00E85C29">
        <w:rPr>
          <w:rFonts w:ascii="Times New Roman" w:eastAsia="Calibri" w:hAnsi="Times New Roman" w:cs="Times New Roman"/>
          <w:b/>
          <w:bCs/>
          <w:sz w:val="24"/>
          <w:szCs w:val="24"/>
        </w:rPr>
        <w:t xml:space="preserve">                                          </w:t>
      </w:r>
      <w:r w:rsidRPr="00E85C29">
        <w:rPr>
          <w:rFonts w:ascii="Times New Roman" w:eastAsia="Calibri" w:hAnsi="Times New Roman" w:cs="Times New Roman"/>
          <w:b/>
          <w:bCs/>
          <w:color w:val="4F81BD"/>
          <w:sz w:val="24"/>
          <w:szCs w:val="24"/>
        </w:rPr>
        <w:t xml:space="preserve">Reproduced with permission from </w:t>
      </w:r>
      <w:r w:rsidRPr="00E85C29">
        <w:rPr>
          <w:rFonts w:ascii="Times New Roman" w:eastAsia="Times New Roman" w:hAnsi="Times New Roman" w:cs="Times New Roman"/>
          <w:b/>
          <w:bCs/>
          <w:color w:val="4F81BD"/>
          <w:sz w:val="24"/>
          <w:szCs w:val="24"/>
        </w:rPr>
        <w:t>IPNA 2020 and KIDIGO 2021.</w:t>
      </w:r>
    </w:p>
    <w:p w14:paraId="16DA0B3F" w14:textId="77777777" w:rsidR="00E85C29" w:rsidRPr="00E85C29" w:rsidRDefault="00E85C29" w:rsidP="00E85C29">
      <w:pPr>
        <w:ind w:left="1080" w:hanging="990"/>
        <w:jc w:val="left"/>
        <w:rPr>
          <w:rFonts w:ascii="Times New Roman" w:eastAsia="Times New Roman" w:hAnsi="Times New Roman" w:cs="Times New Roman"/>
          <w:b/>
          <w:bCs/>
          <w:sz w:val="24"/>
          <w:szCs w:val="24"/>
        </w:rPr>
      </w:pPr>
      <w:r w:rsidRPr="00E85C29">
        <w:rPr>
          <w:rFonts w:ascii="Times New Roman" w:eastAsia="Calibri" w:hAnsi="Times New Roman" w:cs="Times New Roman"/>
          <w:b/>
          <w:bCs/>
          <w:sz w:val="24"/>
          <w:szCs w:val="24"/>
        </w:rPr>
        <w:lastRenderedPageBreak/>
        <w:t xml:space="preserve">Table 2:  Initial workup and follow-up for a child with steroid-resistant </w:t>
      </w:r>
      <w:proofErr w:type="gramStart"/>
      <w:r w:rsidRPr="00E85C29">
        <w:rPr>
          <w:rFonts w:ascii="Times New Roman" w:eastAsia="Calibri" w:hAnsi="Times New Roman" w:cs="Times New Roman"/>
          <w:b/>
          <w:bCs/>
          <w:sz w:val="24"/>
          <w:szCs w:val="24"/>
        </w:rPr>
        <w:t>nephrotic  syndrome</w:t>
      </w:r>
      <w:proofErr w:type="gramEnd"/>
      <w:r w:rsidRPr="00E85C29">
        <w:rPr>
          <w:rFonts w:ascii="Times New Roman" w:eastAsia="Calibri" w:hAnsi="Times New Roman" w:cs="Times New Roman"/>
          <w:b/>
          <w:bCs/>
          <w:sz w:val="24"/>
          <w:szCs w:val="24"/>
        </w:rPr>
        <w:t xml:space="preserve"> (IPNA 2020).                                  </w:t>
      </w:r>
    </w:p>
    <w:tbl>
      <w:tblPr>
        <w:tblStyle w:val="GridTable4-Accent121"/>
        <w:tblW w:w="0" w:type="auto"/>
        <w:tblLayout w:type="fixed"/>
        <w:tblLook w:val="04A0" w:firstRow="1" w:lastRow="0" w:firstColumn="1" w:lastColumn="0" w:noHBand="0" w:noVBand="1"/>
      </w:tblPr>
      <w:tblGrid>
        <w:gridCol w:w="5148"/>
        <w:gridCol w:w="1507"/>
        <w:gridCol w:w="2561"/>
      </w:tblGrid>
      <w:tr w:rsidR="00E85C29" w:rsidRPr="00E85C29" w14:paraId="5D2868F0" w14:textId="77777777" w:rsidTr="00672A15">
        <w:trPr>
          <w:cnfStyle w:val="100000000000" w:firstRow="1" w:lastRow="0" w:firstColumn="0" w:lastColumn="0" w:oddVBand="0" w:evenVBand="0" w:oddHBand="0"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9216" w:type="dxa"/>
            <w:gridSpan w:val="3"/>
            <w:shd w:val="clear" w:color="auto" w:fill="548DD4"/>
          </w:tcPr>
          <w:p w14:paraId="45EE2C5B" w14:textId="77777777" w:rsidR="00E85C29" w:rsidRPr="00E85C29" w:rsidRDefault="00E85C29" w:rsidP="00E85C29">
            <w:pPr>
              <w:bidi w:val="0"/>
              <w:rPr>
                <w:rFonts w:eastAsia="Calibri"/>
                <w:sz w:val="20"/>
                <w:szCs w:val="20"/>
              </w:rPr>
            </w:pPr>
            <w:r w:rsidRPr="00E85C29">
              <w:rPr>
                <w:rFonts w:eastAsia="Calibri"/>
                <w:sz w:val="20"/>
                <w:szCs w:val="20"/>
              </w:rPr>
              <w:t xml:space="preserve">Table 2                                                                                                       </w:t>
            </w:r>
            <w:proofErr w:type="spellStart"/>
            <w:r w:rsidRPr="00E85C29">
              <w:rPr>
                <w:rFonts w:eastAsia="Calibri"/>
                <w:sz w:val="20"/>
                <w:szCs w:val="20"/>
              </w:rPr>
              <w:t>Pediatr</w:t>
            </w:r>
            <w:proofErr w:type="spellEnd"/>
            <w:r w:rsidRPr="00E85C29">
              <w:rPr>
                <w:rFonts w:eastAsia="Calibri"/>
                <w:sz w:val="20"/>
                <w:szCs w:val="20"/>
              </w:rPr>
              <w:t xml:space="preserve"> </w:t>
            </w:r>
            <w:proofErr w:type="spellStart"/>
            <w:r w:rsidRPr="00E85C29">
              <w:rPr>
                <w:rFonts w:eastAsia="Calibri"/>
                <w:sz w:val="20"/>
                <w:szCs w:val="20"/>
              </w:rPr>
              <w:t>Nephrol</w:t>
            </w:r>
            <w:proofErr w:type="spellEnd"/>
            <w:r w:rsidRPr="00E85C29">
              <w:rPr>
                <w:rFonts w:eastAsia="Calibri"/>
                <w:sz w:val="20"/>
                <w:szCs w:val="20"/>
              </w:rPr>
              <w:t xml:space="preserve"> (2020) 35:1529–1561 </w:t>
            </w:r>
          </w:p>
        </w:tc>
      </w:tr>
      <w:tr w:rsidR="00E85C29" w:rsidRPr="00E85C29" w14:paraId="12F05AE1" w14:textId="77777777" w:rsidTr="00672A15">
        <w:trPr>
          <w:cnfStyle w:val="000000100000" w:firstRow="0" w:lastRow="0" w:firstColumn="0" w:lastColumn="0" w:oddVBand="0" w:evenVBand="0" w:oddHBand="1"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5148" w:type="dxa"/>
          </w:tcPr>
          <w:p w14:paraId="724E9CC5" w14:textId="77777777" w:rsidR="00E85C29" w:rsidRPr="00E85C29" w:rsidRDefault="00E85C29" w:rsidP="00E85C29">
            <w:pPr>
              <w:bidi w:val="0"/>
              <w:jc w:val="center"/>
              <w:rPr>
                <w:rFonts w:eastAsia="Calibri"/>
                <w:sz w:val="20"/>
                <w:szCs w:val="20"/>
              </w:rPr>
            </w:pPr>
            <w:r w:rsidRPr="00E85C29">
              <w:rPr>
                <w:rFonts w:eastAsia="Calibri"/>
                <w:sz w:val="20"/>
                <w:szCs w:val="20"/>
              </w:rPr>
              <w:t>Investigations</w:t>
            </w:r>
          </w:p>
        </w:tc>
        <w:tc>
          <w:tcPr>
            <w:tcW w:w="1507" w:type="dxa"/>
          </w:tcPr>
          <w:p w14:paraId="4CE12CC0" w14:textId="77777777" w:rsidR="00E85C29" w:rsidRPr="00E85C29" w:rsidRDefault="00E85C29" w:rsidP="00E85C29">
            <w:pPr>
              <w:bidi w:val="0"/>
              <w:jc w:val="center"/>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Initial work up</w:t>
            </w:r>
          </w:p>
        </w:tc>
        <w:tc>
          <w:tcPr>
            <w:tcW w:w="2561" w:type="dxa"/>
          </w:tcPr>
          <w:p w14:paraId="757E8CE6" w14:textId="77777777" w:rsidR="00E85C29" w:rsidRPr="00E85C29" w:rsidRDefault="00E85C29" w:rsidP="00E85C29">
            <w:pPr>
              <w:bidi w:val="0"/>
              <w:jc w:val="center"/>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Follow-up mentoring</w:t>
            </w:r>
          </w:p>
        </w:tc>
      </w:tr>
      <w:tr w:rsidR="00E85C29" w:rsidRPr="00E85C29" w14:paraId="4DC44A8A" w14:textId="77777777" w:rsidTr="00672A15">
        <w:trPr>
          <w:trHeight w:val="265"/>
        </w:trPr>
        <w:tc>
          <w:tcPr>
            <w:cnfStyle w:val="001000000000" w:firstRow="0" w:lastRow="0" w:firstColumn="1" w:lastColumn="0" w:oddVBand="0" w:evenVBand="0" w:oddHBand="0" w:evenHBand="0" w:firstRowFirstColumn="0" w:firstRowLastColumn="0" w:lastRowFirstColumn="0" w:lastRowLastColumn="0"/>
            <w:tcW w:w="5148" w:type="dxa"/>
            <w:shd w:val="clear" w:color="auto" w:fill="B8CCE4"/>
          </w:tcPr>
          <w:p w14:paraId="29DB1F04" w14:textId="77777777" w:rsidR="00E85C29" w:rsidRPr="00E85C29" w:rsidRDefault="00E85C29" w:rsidP="00E85C29">
            <w:pPr>
              <w:bidi w:val="0"/>
              <w:rPr>
                <w:rFonts w:eastAsia="Calibri"/>
                <w:sz w:val="20"/>
                <w:szCs w:val="20"/>
              </w:rPr>
            </w:pPr>
            <w:r w:rsidRPr="00E85C29">
              <w:rPr>
                <w:rFonts w:eastAsia="Calibri"/>
                <w:sz w:val="20"/>
                <w:szCs w:val="20"/>
              </w:rPr>
              <w:t>Clinical Evaluation</w:t>
            </w:r>
          </w:p>
        </w:tc>
        <w:tc>
          <w:tcPr>
            <w:tcW w:w="1507" w:type="dxa"/>
            <w:shd w:val="clear" w:color="auto" w:fill="B8CCE4"/>
          </w:tcPr>
          <w:p w14:paraId="5641958C"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tc>
        <w:tc>
          <w:tcPr>
            <w:tcW w:w="2561" w:type="dxa"/>
            <w:shd w:val="clear" w:color="auto" w:fill="B8CCE4"/>
          </w:tcPr>
          <w:p w14:paraId="2D13056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tc>
      </w:tr>
      <w:tr w:rsidR="00E85C29" w:rsidRPr="00E85C29" w14:paraId="002156D1" w14:textId="77777777" w:rsidTr="00672A15">
        <w:trPr>
          <w:cnfStyle w:val="000000100000" w:firstRow="0" w:lastRow="0" w:firstColumn="0" w:lastColumn="0" w:oddVBand="0" w:evenVBand="0" w:oddHBand="1" w:evenHBand="0" w:firstRowFirstColumn="0" w:firstRowLastColumn="0" w:lastRowFirstColumn="0" w:lastRowLastColumn="0"/>
          <w:trHeight w:val="2506"/>
        </w:trPr>
        <w:tc>
          <w:tcPr>
            <w:cnfStyle w:val="001000000000" w:firstRow="0" w:lastRow="0" w:firstColumn="1" w:lastColumn="0" w:oddVBand="0" w:evenVBand="0" w:oddHBand="0" w:evenHBand="0" w:firstRowFirstColumn="0" w:firstRowLastColumn="0" w:lastRowFirstColumn="0" w:lastRowLastColumn="0"/>
            <w:tcW w:w="5148" w:type="dxa"/>
            <w:shd w:val="clear" w:color="auto" w:fill="FFFFFF"/>
          </w:tcPr>
          <w:p w14:paraId="7E6C7A74" w14:textId="77777777" w:rsidR="00E85C29" w:rsidRPr="00E85C29" w:rsidRDefault="00E85C29" w:rsidP="00E85C29">
            <w:pPr>
              <w:bidi w:val="0"/>
              <w:rPr>
                <w:rFonts w:eastAsia="Calibri"/>
                <w:sz w:val="20"/>
                <w:szCs w:val="20"/>
              </w:rPr>
            </w:pPr>
            <w:r w:rsidRPr="00E85C29">
              <w:rPr>
                <w:rFonts w:eastAsia="Calibri"/>
                <w:sz w:val="20"/>
                <w:szCs w:val="20"/>
              </w:rPr>
              <w:t xml:space="preserve">Patient history </w:t>
            </w:r>
          </w:p>
          <w:p w14:paraId="22A2AAAE" w14:textId="77777777" w:rsidR="00E85C29" w:rsidRPr="00E85C29" w:rsidRDefault="00E85C29" w:rsidP="00E85C29">
            <w:pPr>
              <w:bidi w:val="0"/>
              <w:ind w:left="270" w:hanging="180"/>
              <w:rPr>
                <w:rFonts w:eastAsia="Calibri"/>
                <w:sz w:val="20"/>
                <w:szCs w:val="20"/>
              </w:rPr>
            </w:pPr>
            <w:r w:rsidRPr="00E85C29">
              <w:rPr>
                <w:rFonts w:eastAsia="Calibri"/>
                <w:sz w:val="20"/>
                <w:szCs w:val="20"/>
              </w:rPr>
              <w:t xml:space="preserve">– Including results of dipstick assessments at home, physical   activity, fever episodes, pain, abdominal discomfort, swelling, fatigue, school attendance, adherence to medication, menstrual cycle in female adolescents                                                               </w:t>
            </w:r>
          </w:p>
          <w:p w14:paraId="557A9679" w14:textId="77777777" w:rsidR="00E85C29" w:rsidRPr="00E85C29" w:rsidRDefault="00E85C29" w:rsidP="00E85C29">
            <w:pPr>
              <w:bidi w:val="0"/>
              <w:ind w:left="270" w:hanging="180"/>
              <w:rPr>
                <w:rFonts w:eastAsia="Calibri"/>
                <w:sz w:val="20"/>
                <w:szCs w:val="20"/>
              </w:rPr>
            </w:pPr>
            <w:r w:rsidRPr="00E85C29">
              <w:rPr>
                <w:rFonts w:eastAsia="Calibri"/>
                <w:sz w:val="20"/>
                <w:szCs w:val="20"/>
              </w:rPr>
              <w:t xml:space="preserve">- Search for risk factors for secondary causes                                       As appropriate (sickle cell disease, HIV, SLE, </w:t>
            </w:r>
            <w:proofErr w:type="spellStart"/>
            <w:r w:rsidRPr="00E85C29">
              <w:rPr>
                <w:rFonts w:eastAsia="Calibri"/>
                <w:sz w:val="20"/>
                <w:szCs w:val="20"/>
              </w:rPr>
              <w:t>HepB</w:t>
            </w:r>
            <w:proofErr w:type="spellEnd"/>
            <w:r w:rsidRPr="00E85C29">
              <w:rPr>
                <w:rFonts w:eastAsia="Calibri"/>
                <w:sz w:val="20"/>
                <w:szCs w:val="20"/>
              </w:rPr>
              <w:t xml:space="preserve">, malaria, parvovirus B19)                                                                                              </w:t>
            </w:r>
          </w:p>
          <w:p w14:paraId="5AEB81D0" w14:textId="77777777" w:rsidR="00E85C29" w:rsidRPr="00E85C29" w:rsidRDefault="00E85C29" w:rsidP="00E85C29">
            <w:pPr>
              <w:bidi w:val="0"/>
              <w:rPr>
                <w:rFonts w:eastAsia="Calibri"/>
                <w:sz w:val="20"/>
                <w:szCs w:val="20"/>
              </w:rPr>
            </w:pPr>
            <w:r w:rsidRPr="00E85C29">
              <w:rPr>
                <w:rFonts w:eastAsia="Calibri"/>
                <w:sz w:val="20"/>
                <w:szCs w:val="20"/>
              </w:rPr>
              <w:t xml:space="preserve"> - Check for tuberculosis in endemic areas before</w:t>
            </w:r>
          </w:p>
          <w:p w14:paraId="17DFEAF2" w14:textId="77777777" w:rsidR="00E85C29" w:rsidRPr="00E85C29" w:rsidRDefault="00E85C29" w:rsidP="00E85C29">
            <w:pPr>
              <w:bidi w:val="0"/>
              <w:ind w:left="810" w:hanging="720"/>
              <w:rPr>
                <w:rFonts w:eastAsia="Calibri"/>
              </w:rPr>
            </w:pPr>
            <w:r w:rsidRPr="00E85C29">
              <w:rPr>
                <w:rFonts w:eastAsia="Calibri"/>
                <w:sz w:val="20"/>
                <w:szCs w:val="20"/>
              </w:rPr>
              <w:t xml:space="preserve"> starting immunosuppressant drugs</w:t>
            </w:r>
            <w:r w:rsidRPr="00E85C29">
              <w:rPr>
                <w:rFonts w:ascii="Calibri" w:eastAsia="Calibri" w:hAnsi="Calibri" w:cs="Arial"/>
              </w:rPr>
              <w:t xml:space="preserve">  </w:t>
            </w:r>
          </w:p>
        </w:tc>
        <w:tc>
          <w:tcPr>
            <w:tcW w:w="1507" w:type="dxa"/>
            <w:shd w:val="clear" w:color="auto" w:fill="FFFFFF"/>
          </w:tcPr>
          <w:p w14:paraId="04450C5A"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ascii="Segoe UI Symbol" w:eastAsia="Calibri" w:hAnsi="Segoe UI Symbol" w:cs="Segoe UI Symbol"/>
              </w:rPr>
            </w:pPr>
          </w:p>
          <w:p w14:paraId="67F78247"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ascii="Segoe UI Symbol" w:eastAsia="Calibri" w:hAnsi="Segoe UI Symbol" w:cs="Segoe UI Symbol"/>
              </w:rPr>
            </w:pPr>
            <w:r w:rsidRPr="00E85C29">
              <w:rPr>
                <w:rFonts w:ascii="Segoe UI Symbol" w:eastAsia="Calibri" w:hAnsi="Segoe UI Symbol" w:cs="Segoe UI Symbol"/>
              </w:rPr>
              <w:t>✓</w:t>
            </w:r>
          </w:p>
          <w:p w14:paraId="1D4DD6BB"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ascii="Segoe UI Symbol" w:eastAsia="Calibri" w:hAnsi="Segoe UI Symbol" w:cs="Segoe UI Symbol"/>
              </w:rPr>
            </w:pPr>
          </w:p>
          <w:p w14:paraId="4E337DDA"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ascii="Segoe UI Symbol" w:eastAsia="Calibri" w:hAnsi="Segoe UI Symbol" w:cs="Segoe UI Symbol"/>
              </w:rPr>
            </w:pPr>
            <w:r w:rsidRPr="00E85C29">
              <w:rPr>
                <w:rFonts w:ascii="Segoe UI Symbol" w:eastAsia="Calibri" w:hAnsi="Segoe UI Symbol" w:cs="Segoe UI Symbol"/>
              </w:rPr>
              <w:t>✓</w:t>
            </w:r>
          </w:p>
          <w:p w14:paraId="286FFDB2"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eastAsia="Calibri"/>
                <w:b/>
                <w:bCs/>
              </w:rPr>
            </w:pPr>
            <w:r w:rsidRPr="00E85C29">
              <w:rPr>
                <w:rFonts w:ascii="Segoe UI Symbol" w:eastAsia="Calibri" w:hAnsi="Segoe UI Symbol" w:cs="Segoe UI Symbol"/>
              </w:rPr>
              <w:t>✓</w:t>
            </w:r>
          </w:p>
        </w:tc>
        <w:tc>
          <w:tcPr>
            <w:tcW w:w="2561" w:type="dxa"/>
            <w:shd w:val="clear" w:color="auto" w:fill="FFFFFF"/>
          </w:tcPr>
          <w:p w14:paraId="6B6465E9"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p w14:paraId="05A68A18"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Every 3 months</w:t>
            </w:r>
          </w:p>
          <w:p w14:paraId="610C644D"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p w14:paraId="3370D6E8"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p w14:paraId="0AF16291"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As appropriate</w:t>
            </w:r>
          </w:p>
          <w:p w14:paraId="695F17CF" w14:textId="77777777" w:rsidR="00E85C29" w:rsidRPr="00E85C29" w:rsidRDefault="00E85C29" w:rsidP="00E85C29">
            <w:pPr>
              <w:bidi w:val="0"/>
              <w:spacing w:line="254" w:lineRule="auto"/>
              <w:cnfStyle w:val="000000100000" w:firstRow="0" w:lastRow="0" w:firstColumn="0" w:lastColumn="0" w:oddVBand="0" w:evenVBand="0" w:oddHBand="1" w:evenHBand="0" w:firstRowFirstColumn="0" w:firstRowLastColumn="0" w:lastRowFirstColumn="0" w:lastRowLastColumn="0"/>
              <w:rPr>
                <w:rFonts w:eastAsia="Calibri"/>
                <w:b/>
                <w:bCs/>
              </w:rPr>
            </w:pPr>
            <w:r w:rsidRPr="00E85C29">
              <w:rPr>
                <w:rFonts w:eastAsia="Calibri"/>
                <w:b/>
                <w:bCs/>
                <w:sz w:val="20"/>
                <w:szCs w:val="20"/>
              </w:rPr>
              <w:t>As appropriate</w:t>
            </w:r>
          </w:p>
        </w:tc>
      </w:tr>
      <w:tr w:rsidR="00E85C29" w:rsidRPr="00E85C29" w14:paraId="0B0CC0C9" w14:textId="77777777" w:rsidTr="00672A15">
        <w:tc>
          <w:tcPr>
            <w:cnfStyle w:val="001000000000" w:firstRow="0" w:lastRow="0" w:firstColumn="1" w:lastColumn="0" w:oddVBand="0" w:evenVBand="0" w:oddHBand="0" w:evenHBand="0" w:firstRowFirstColumn="0" w:firstRowLastColumn="0" w:lastRowFirstColumn="0" w:lastRowLastColumn="0"/>
            <w:tcW w:w="5148" w:type="dxa"/>
          </w:tcPr>
          <w:p w14:paraId="1A0C31A5" w14:textId="77777777" w:rsidR="00E85C29" w:rsidRPr="00E85C29" w:rsidRDefault="00E85C29" w:rsidP="00E85C29">
            <w:pPr>
              <w:bidi w:val="0"/>
              <w:rPr>
                <w:rFonts w:eastAsia="Calibri"/>
                <w:sz w:val="20"/>
                <w:szCs w:val="20"/>
              </w:rPr>
            </w:pPr>
            <w:r w:rsidRPr="00E85C29">
              <w:rPr>
                <w:rFonts w:eastAsia="Calibri"/>
                <w:sz w:val="20"/>
                <w:szCs w:val="20"/>
              </w:rPr>
              <w:t>Physical examination</w:t>
            </w:r>
          </w:p>
          <w:p w14:paraId="60D956BD" w14:textId="77777777" w:rsidR="00E85C29" w:rsidRPr="00E85C29" w:rsidRDefault="00E85C29" w:rsidP="00E85C29">
            <w:pPr>
              <w:bidi w:val="0"/>
              <w:ind w:left="90"/>
              <w:rPr>
                <w:rFonts w:eastAsia="Calibri"/>
                <w:sz w:val="20"/>
                <w:szCs w:val="20"/>
              </w:rPr>
            </w:pPr>
            <w:r w:rsidRPr="00E85C29">
              <w:rPr>
                <w:rFonts w:eastAsia="Calibri"/>
                <w:sz w:val="20"/>
                <w:szCs w:val="20"/>
              </w:rPr>
              <w:t xml:space="preserve">- Assessing fluid status including signs of edema (e.g.,   ascites, pericardial &amp; pleural effusions), tetany, lymphadenopathy                                                                                           - Drug toxicity (e.g., eyes, skin) Every 3 months -  </w:t>
            </w:r>
          </w:p>
          <w:p w14:paraId="0CE18A07" w14:textId="77777777" w:rsidR="00E85C29" w:rsidRPr="00E85C29" w:rsidRDefault="00E85C29" w:rsidP="00E85C29">
            <w:pPr>
              <w:bidi w:val="0"/>
              <w:ind w:left="90"/>
              <w:rPr>
                <w:rFonts w:eastAsia="Calibri"/>
                <w:sz w:val="20"/>
                <w:szCs w:val="20"/>
              </w:rPr>
            </w:pPr>
            <w:r w:rsidRPr="00E85C29">
              <w:rPr>
                <w:rFonts w:eastAsia="Calibri"/>
                <w:sz w:val="20"/>
                <w:szCs w:val="20"/>
              </w:rPr>
              <w:t xml:space="preserve">- Skeletal status                                                                                                    - Extrarenal features, e.g., dysmorphic features </w:t>
            </w:r>
          </w:p>
          <w:p w14:paraId="4378F3C7" w14:textId="77777777" w:rsidR="00E85C29" w:rsidRPr="00E85C29" w:rsidRDefault="00E85C29" w:rsidP="00E85C29">
            <w:pPr>
              <w:bidi w:val="0"/>
              <w:ind w:left="90"/>
              <w:rPr>
                <w:rFonts w:eastAsia="Calibri"/>
                <w:sz w:val="20"/>
                <w:szCs w:val="20"/>
              </w:rPr>
            </w:pPr>
            <w:r w:rsidRPr="00E85C29">
              <w:rPr>
                <w:rFonts w:eastAsia="Calibri"/>
                <w:sz w:val="20"/>
                <w:szCs w:val="20"/>
              </w:rPr>
              <w:t xml:space="preserve">   ambiguous genitalia                                                                                                </w:t>
            </w:r>
          </w:p>
          <w:p w14:paraId="122CECD7" w14:textId="77777777" w:rsidR="00E85C29" w:rsidRPr="00E85C29" w:rsidRDefault="00E85C29" w:rsidP="00E85C29">
            <w:pPr>
              <w:bidi w:val="0"/>
              <w:ind w:left="90"/>
              <w:rPr>
                <w:rFonts w:eastAsia="Calibri"/>
                <w:sz w:val="20"/>
                <w:szCs w:val="20"/>
              </w:rPr>
            </w:pPr>
            <w:r w:rsidRPr="00E85C29">
              <w:rPr>
                <w:rFonts w:eastAsia="Calibri"/>
                <w:sz w:val="20"/>
                <w:szCs w:val="20"/>
              </w:rPr>
              <w:t>- Full neurological examination &amp; standardized</w:t>
            </w:r>
          </w:p>
          <w:p w14:paraId="6086BBE3" w14:textId="77777777" w:rsidR="00E85C29" w:rsidRPr="00E85C29" w:rsidRDefault="00E85C29" w:rsidP="00E85C29">
            <w:pPr>
              <w:bidi w:val="0"/>
              <w:ind w:left="90"/>
              <w:rPr>
                <w:rFonts w:eastAsia="Calibri"/>
                <w:sz w:val="20"/>
                <w:szCs w:val="20"/>
              </w:rPr>
            </w:pPr>
            <w:r w:rsidRPr="00E85C29">
              <w:rPr>
                <w:rFonts w:eastAsia="Calibri"/>
                <w:sz w:val="20"/>
                <w:szCs w:val="20"/>
              </w:rPr>
              <w:t xml:space="preserve">   assessment of cognitive status                                                                                       </w:t>
            </w:r>
          </w:p>
          <w:p w14:paraId="2BE2CDC1" w14:textId="77777777" w:rsidR="00E85C29" w:rsidRPr="00E85C29" w:rsidRDefault="00E85C29" w:rsidP="00E85C29">
            <w:pPr>
              <w:numPr>
                <w:ilvl w:val="0"/>
                <w:numId w:val="4"/>
              </w:numPr>
              <w:tabs>
                <w:tab w:val="left" w:pos="180"/>
              </w:tabs>
              <w:bidi w:val="0"/>
              <w:spacing w:line="254" w:lineRule="auto"/>
              <w:ind w:left="90" w:firstLine="0"/>
              <w:rPr>
                <w:rFonts w:eastAsia="Calibri"/>
                <w:sz w:val="20"/>
                <w:szCs w:val="20"/>
              </w:rPr>
            </w:pPr>
            <w:r w:rsidRPr="00E85C29">
              <w:rPr>
                <w:rFonts w:eastAsia="Calibri"/>
                <w:sz w:val="20"/>
                <w:szCs w:val="20"/>
              </w:rPr>
              <w:t xml:space="preserve">Pubertal status: Tanner stage, testicular volume in boys  </w:t>
            </w:r>
          </w:p>
          <w:p w14:paraId="36FC3A3C" w14:textId="77777777" w:rsidR="00E85C29" w:rsidRPr="00E85C29" w:rsidRDefault="00E85C29" w:rsidP="00E85C29">
            <w:pPr>
              <w:tabs>
                <w:tab w:val="left" w:pos="180"/>
              </w:tabs>
              <w:bidi w:val="0"/>
              <w:ind w:left="90"/>
              <w:rPr>
                <w:rFonts w:eastAsia="Calibri"/>
                <w:sz w:val="20"/>
                <w:szCs w:val="20"/>
              </w:rPr>
            </w:pPr>
            <w:r w:rsidRPr="00E85C29">
              <w:rPr>
                <w:rFonts w:eastAsia="Calibri"/>
                <w:sz w:val="20"/>
                <w:szCs w:val="20"/>
              </w:rPr>
              <w:t xml:space="preserve">    ( in patients aged &gt; 10 years)      </w:t>
            </w:r>
          </w:p>
          <w:p w14:paraId="0552D077" w14:textId="77777777" w:rsidR="00E85C29" w:rsidRPr="00E85C29" w:rsidRDefault="00E85C29" w:rsidP="00E85C29">
            <w:pPr>
              <w:tabs>
                <w:tab w:val="left" w:pos="180"/>
              </w:tabs>
              <w:bidi w:val="0"/>
              <w:ind w:left="90"/>
              <w:rPr>
                <w:rFonts w:eastAsia="Calibri"/>
                <w:sz w:val="20"/>
                <w:szCs w:val="20"/>
              </w:rPr>
            </w:pPr>
            <w:r w:rsidRPr="00E85C29">
              <w:rPr>
                <w:rFonts w:eastAsia="Calibri"/>
                <w:sz w:val="20"/>
                <w:szCs w:val="20"/>
              </w:rPr>
              <w:t xml:space="preserve">                                                  </w:t>
            </w:r>
          </w:p>
          <w:p w14:paraId="55140F57" w14:textId="77777777" w:rsidR="00E85C29" w:rsidRPr="00E85C29" w:rsidRDefault="00E85C29" w:rsidP="00E85C29">
            <w:pPr>
              <w:tabs>
                <w:tab w:val="left" w:pos="180"/>
              </w:tabs>
              <w:bidi w:val="0"/>
              <w:ind w:left="90"/>
              <w:rPr>
                <w:rFonts w:eastAsia="Calibri"/>
                <w:sz w:val="20"/>
                <w:szCs w:val="20"/>
              </w:rPr>
            </w:pPr>
            <w:r w:rsidRPr="00E85C29">
              <w:rPr>
                <w:rFonts w:eastAsia="Calibri"/>
                <w:sz w:val="20"/>
                <w:szCs w:val="20"/>
              </w:rPr>
              <w:t xml:space="preserve"> - Vital parameters: blood pressure       </w:t>
            </w:r>
          </w:p>
          <w:p w14:paraId="7D9D5997" w14:textId="77777777" w:rsidR="00E85C29" w:rsidRPr="00E85C29" w:rsidRDefault="00E85C29" w:rsidP="00E85C29">
            <w:pPr>
              <w:tabs>
                <w:tab w:val="left" w:pos="180"/>
              </w:tabs>
              <w:bidi w:val="0"/>
              <w:ind w:left="90"/>
              <w:rPr>
                <w:rFonts w:eastAsia="Calibri"/>
                <w:sz w:val="20"/>
                <w:szCs w:val="20"/>
              </w:rPr>
            </w:pPr>
            <w:r w:rsidRPr="00E85C29">
              <w:rPr>
                <w:rFonts w:eastAsia="Calibri"/>
                <w:sz w:val="20"/>
                <w:szCs w:val="20"/>
              </w:rPr>
              <w:t xml:space="preserve">                                                                     </w:t>
            </w:r>
          </w:p>
          <w:p w14:paraId="1882DFA8" w14:textId="77777777" w:rsidR="00E85C29" w:rsidRPr="00E85C29" w:rsidRDefault="00E85C29" w:rsidP="00E85C29">
            <w:pPr>
              <w:numPr>
                <w:ilvl w:val="0"/>
                <w:numId w:val="4"/>
              </w:numPr>
              <w:tabs>
                <w:tab w:val="left" w:pos="180"/>
              </w:tabs>
              <w:bidi w:val="0"/>
              <w:spacing w:line="256" w:lineRule="auto"/>
              <w:ind w:left="427"/>
              <w:contextualSpacing/>
              <w:rPr>
                <w:rFonts w:eastAsia="Calibri"/>
                <w:sz w:val="20"/>
                <w:szCs w:val="20"/>
                <w:lang w:val="en-GB"/>
              </w:rPr>
            </w:pPr>
            <w:r w:rsidRPr="00E85C29">
              <w:rPr>
                <w:rFonts w:eastAsia="Calibri"/>
                <w:sz w:val="20"/>
                <w:szCs w:val="20"/>
                <w:lang w:val="en-GB"/>
              </w:rPr>
              <w:t xml:space="preserve">Anthropometry  </w:t>
            </w:r>
          </w:p>
          <w:p w14:paraId="6FCAF5C9" w14:textId="77777777" w:rsidR="00E85C29" w:rsidRPr="00E85C29" w:rsidRDefault="00E85C29" w:rsidP="00E85C29">
            <w:pPr>
              <w:tabs>
                <w:tab w:val="left" w:pos="180"/>
              </w:tabs>
              <w:bidi w:val="0"/>
              <w:spacing w:line="256" w:lineRule="auto"/>
              <w:ind w:left="427"/>
              <w:contextualSpacing/>
              <w:rPr>
                <w:rFonts w:eastAsia="Calibri"/>
                <w:sz w:val="20"/>
                <w:szCs w:val="20"/>
                <w:lang w:val="en-GB"/>
              </w:rPr>
            </w:pPr>
            <w:r w:rsidRPr="00E85C29">
              <w:rPr>
                <w:rFonts w:eastAsia="Calibri"/>
                <w:sz w:val="20"/>
                <w:szCs w:val="20"/>
                <w:lang w:val="en-GB"/>
              </w:rPr>
              <w:t xml:space="preserve">Growth chart: height/length, weight,                                                                                                    Head circumference &lt; 2 years </w:t>
            </w:r>
          </w:p>
          <w:p w14:paraId="58442457" w14:textId="77777777" w:rsidR="00E85C29" w:rsidRPr="00E85C29" w:rsidRDefault="00E85C29" w:rsidP="00E85C29">
            <w:pPr>
              <w:tabs>
                <w:tab w:val="left" w:pos="180"/>
              </w:tabs>
              <w:bidi w:val="0"/>
              <w:spacing w:line="256" w:lineRule="auto"/>
              <w:ind w:left="427"/>
              <w:contextualSpacing/>
              <w:rPr>
                <w:rFonts w:eastAsia="Calibri"/>
                <w:sz w:val="20"/>
                <w:szCs w:val="20"/>
                <w:lang w:val="en-GB"/>
              </w:rPr>
            </w:pPr>
            <w:r w:rsidRPr="00E85C29">
              <w:rPr>
                <w:rFonts w:eastAsia="Calibri"/>
                <w:sz w:val="20"/>
                <w:szCs w:val="20"/>
                <w:lang w:val="en-GB"/>
              </w:rPr>
              <w:t xml:space="preserve">Calculation of BMI and annual height velocity                                                </w:t>
            </w:r>
          </w:p>
          <w:p w14:paraId="4933156A" w14:textId="77777777" w:rsidR="00E85C29" w:rsidRPr="00E85C29" w:rsidRDefault="00E85C29" w:rsidP="00E85C29">
            <w:pPr>
              <w:numPr>
                <w:ilvl w:val="0"/>
                <w:numId w:val="4"/>
              </w:numPr>
              <w:bidi w:val="0"/>
              <w:spacing w:line="254" w:lineRule="auto"/>
              <w:ind w:left="270" w:hanging="180"/>
              <w:rPr>
                <w:rFonts w:eastAsia="Calibri"/>
                <w:sz w:val="20"/>
                <w:szCs w:val="20"/>
              </w:rPr>
            </w:pPr>
            <w:r w:rsidRPr="00E85C29">
              <w:rPr>
                <w:rFonts w:eastAsia="Calibri"/>
                <w:sz w:val="20"/>
                <w:szCs w:val="20"/>
              </w:rPr>
              <w:t xml:space="preserve">Vaccination status </w:t>
            </w:r>
          </w:p>
          <w:p w14:paraId="47C96E5B" w14:textId="77777777" w:rsidR="00E85C29" w:rsidRPr="00E85C29" w:rsidRDefault="00E85C29" w:rsidP="00E85C29">
            <w:pPr>
              <w:bidi w:val="0"/>
              <w:ind w:left="270" w:hanging="180"/>
              <w:rPr>
                <w:rFonts w:eastAsia="Calibri"/>
                <w:sz w:val="20"/>
                <w:szCs w:val="20"/>
              </w:rPr>
            </w:pPr>
            <w:r w:rsidRPr="00E85C29">
              <w:rPr>
                <w:rFonts w:eastAsia="Calibri"/>
                <w:sz w:val="20"/>
                <w:szCs w:val="20"/>
              </w:rPr>
              <w:t xml:space="preserve">    Check and complete, especially for encapsulated bacteria— Pneumococcal, Meningococcal, Hemophilus Influenza, and Varicella-Zoster.</w:t>
            </w:r>
          </w:p>
          <w:p w14:paraId="159B73A6" w14:textId="77777777" w:rsidR="00E85C29" w:rsidRPr="00E85C29" w:rsidRDefault="00E85C29" w:rsidP="00E85C29">
            <w:pPr>
              <w:numPr>
                <w:ilvl w:val="0"/>
                <w:numId w:val="4"/>
              </w:numPr>
              <w:bidi w:val="0"/>
              <w:spacing w:line="254" w:lineRule="auto"/>
              <w:ind w:left="270" w:hanging="180"/>
              <w:rPr>
                <w:rFonts w:eastAsia="Calibri"/>
                <w:sz w:val="20"/>
                <w:szCs w:val="20"/>
              </w:rPr>
            </w:pPr>
            <w:r w:rsidRPr="00E85C29">
              <w:rPr>
                <w:rFonts w:eastAsia="Calibri"/>
                <w:sz w:val="20"/>
                <w:szCs w:val="20"/>
              </w:rPr>
              <w:t>Family history.</w:t>
            </w:r>
          </w:p>
          <w:p w14:paraId="07B071F0" w14:textId="77777777" w:rsidR="00E85C29" w:rsidRPr="00E85C29" w:rsidRDefault="00E85C29" w:rsidP="00E85C29">
            <w:pPr>
              <w:numPr>
                <w:ilvl w:val="0"/>
                <w:numId w:val="4"/>
              </w:numPr>
              <w:bidi w:val="0"/>
              <w:spacing w:line="254" w:lineRule="auto"/>
              <w:ind w:left="270" w:hanging="180"/>
              <w:rPr>
                <w:rFonts w:eastAsia="Calibri"/>
                <w:sz w:val="20"/>
                <w:szCs w:val="20"/>
              </w:rPr>
            </w:pPr>
            <w:r w:rsidRPr="00E85C29">
              <w:rPr>
                <w:rFonts w:eastAsia="Calibri"/>
                <w:sz w:val="20"/>
                <w:szCs w:val="20"/>
              </w:rPr>
              <w:t>Renal and extrarenal manifestations.</w:t>
            </w:r>
          </w:p>
          <w:p w14:paraId="170FB45F" w14:textId="77777777" w:rsidR="00E85C29" w:rsidRPr="00E85C29" w:rsidRDefault="00E85C29" w:rsidP="00E85C29">
            <w:pPr>
              <w:numPr>
                <w:ilvl w:val="0"/>
                <w:numId w:val="4"/>
              </w:numPr>
              <w:bidi w:val="0"/>
              <w:spacing w:line="254" w:lineRule="auto"/>
              <w:ind w:left="270" w:hanging="180"/>
              <w:rPr>
                <w:rFonts w:eastAsia="Calibri"/>
                <w:sz w:val="20"/>
                <w:szCs w:val="20"/>
              </w:rPr>
            </w:pPr>
            <w:r w:rsidRPr="00E85C29">
              <w:rPr>
                <w:rFonts w:eastAsia="Calibri"/>
                <w:sz w:val="20"/>
                <w:szCs w:val="20"/>
              </w:rPr>
              <w:t>Consanguinity</w:t>
            </w:r>
            <w:r w:rsidRPr="00E85C29">
              <w:rPr>
                <w:rFonts w:ascii="Calibri" w:eastAsia="Calibri" w:hAnsi="Calibri" w:cs="Arial"/>
              </w:rPr>
              <w:t xml:space="preserve">                                            </w:t>
            </w:r>
          </w:p>
        </w:tc>
        <w:tc>
          <w:tcPr>
            <w:tcW w:w="1507" w:type="dxa"/>
          </w:tcPr>
          <w:p w14:paraId="50874C1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Pr>
            </w:pPr>
            <w:r w:rsidRPr="00E85C29">
              <w:rPr>
                <w:rFonts w:ascii="Segoe UI Symbol" w:eastAsia="Calibri" w:hAnsi="Segoe UI Symbol" w:cs="Segoe UI Symbol"/>
              </w:rPr>
              <w:t>✓</w:t>
            </w:r>
          </w:p>
          <w:p w14:paraId="7180102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Pr>
            </w:pPr>
            <w:r w:rsidRPr="00E85C29">
              <w:rPr>
                <w:rFonts w:ascii="Segoe UI Symbol" w:eastAsia="Calibri" w:hAnsi="Segoe UI Symbol" w:cs="Segoe UI Symbol"/>
              </w:rPr>
              <w:t>✓</w:t>
            </w:r>
          </w:p>
          <w:p w14:paraId="58F8D8F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Pr>
            </w:pPr>
            <w:r w:rsidRPr="00E85C29">
              <w:rPr>
                <w:rFonts w:ascii="Segoe UI Symbol" w:eastAsia="Calibri" w:hAnsi="Segoe UI Symbol" w:cs="Segoe UI Symbol"/>
              </w:rPr>
              <w:t>✓</w:t>
            </w:r>
          </w:p>
          <w:p w14:paraId="5DA9A240"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Pr>
            </w:pPr>
            <w:r w:rsidRPr="00E85C29">
              <w:rPr>
                <w:rFonts w:ascii="Segoe UI Symbol" w:eastAsia="Calibri" w:hAnsi="Segoe UI Symbol" w:cs="Segoe UI Symbol"/>
              </w:rPr>
              <w:t>✓</w:t>
            </w:r>
          </w:p>
          <w:p w14:paraId="4FC25581"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Pr>
            </w:pPr>
            <w:r w:rsidRPr="00E85C29">
              <w:rPr>
                <w:rFonts w:ascii="Segoe UI Symbol" w:eastAsia="Calibri" w:hAnsi="Segoe UI Symbol" w:cs="Segoe UI Symbol"/>
              </w:rPr>
              <w:t>✓</w:t>
            </w:r>
          </w:p>
          <w:p w14:paraId="6D57110C"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Pr>
            </w:pPr>
          </w:p>
          <w:p w14:paraId="4035FBBC"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Pr>
            </w:pPr>
          </w:p>
        </w:tc>
        <w:tc>
          <w:tcPr>
            <w:tcW w:w="2561" w:type="dxa"/>
          </w:tcPr>
          <w:p w14:paraId="7207373B"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As appropriate</w:t>
            </w:r>
          </w:p>
          <w:p w14:paraId="19DECDC5"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1388B172"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Every 3 months</w:t>
            </w:r>
          </w:p>
          <w:p w14:paraId="7E0C22B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Every 3 months </w:t>
            </w:r>
          </w:p>
          <w:p w14:paraId="329C276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Every 3 months</w:t>
            </w:r>
          </w:p>
          <w:p w14:paraId="2B9FCC45"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As appropriate</w:t>
            </w:r>
          </w:p>
          <w:p w14:paraId="2C6C3B9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4F372FD4"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Every 12 months or </w:t>
            </w:r>
          </w:p>
          <w:p w14:paraId="1332AA4A"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as appropriate</w:t>
            </w:r>
          </w:p>
          <w:p w14:paraId="19BB9D4C"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4D8E19DE"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Every 12 months </w:t>
            </w:r>
          </w:p>
          <w:p w14:paraId="5F832865"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45B1A73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Every 3 months; yearly 24h ambulatory BP monitoring hypertension, if feasible.</w:t>
            </w:r>
          </w:p>
          <w:p w14:paraId="4B690B3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w:t>
            </w:r>
          </w:p>
          <w:p w14:paraId="17DF870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w:t>
            </w:r>
          </w:p>
          <w:p w14:paraId="754C2022"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Every 3 months (monthly in infants)    </w:t>
            </w:r>
          </w:p>
          <w:p w14:paraId="0479BD94"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Every 12 month or as    appropriate                                                                                                                 </w:t>
            </w:r>
          </w:p>
          <w:p w14:paraId="4D6A88BE"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rPr>
            </w:pPr>
            <w:r w:rsidRPr="00E85C29">
              <w:rPr>
                <w:rFonts w:eastAsia="Calibri"/>
                <w:b/>
                <w:bCs/>
                <w:sz w:val="20"/>
                <w:szCs w:val="20"/>
              </w:rPr>
              <w:t xml:space="preserve">Every 12 month or as    appropriate                                                                                                                                                                                                                                                  </w:t>
            </w:r>
          </w:p>
        </w:tc>
      </w:tr>
      <w:tr w:rsidR="00E85C29" w:rsidRPr="00E85C29" w14:paraId="52AA5547" w14:textId="77777777" w:rsidTr="00672A1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148" w:type="dxa"/>
            <w:shd w:val="clear" w:color="auto" w:fill="B8CCE4"/>
          </w:tcPr>
          <w:p w14:paraId="034C97BF" w14:textId="77777777" w:rsidR="00E85C29" w:rsidRPr="00E85C29" w:rsidRDefault="00E85C29" w:rsidP="00E85C29">
            <w:pPr>
              <w:bidi w:val="0"/>
              <w:rPr>
                <w:rFonts w:eastAsia="Calibri"/>
                <w:sz w:val="20"/>
                <w:szCs w:val="20"/>
              </w:rPr>
            </w:pPr>
            <w:r w:rsidRPr="00E85C29">
              <w:rPr>
                <w:rFonts w:eastAsia="Calibri"/>
                <w:sz w:val="20"/>
                <w:szCs w:val="20"/>
              </w:rPr>
              <w:t>Biochemistry</w:t>
            </w:r>
          </w:p>
        </w:tc>
        <w:tc>
          <w:tcPr>
            <w:tcW w:w="1507" w:type="dxa"/>
            <w:shd w:val="clear" w:color="auto" w:fill="B8CCE4"/>
          </w:tcPr>
          <w:p w14:paraId="2C661AC2"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rPr>
            </w:pPr>
          </w:p>
        </w:tc>
        <w:tc>
          <w:tcPr>
            <w:tcW w:w="2561" w:type="dxa"/>
            <w:shd w:val="clear" w:color="auto" w:fill="B8CCE4"/>
          </w:tcPr>
          <w:p w14:paraId="641D49F0"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rPr>
            </w:pPr>
          </w:p>
        </w:tc>
      </w:tr>
      <w:tr w:rsidR="00E85C29" w:rsidRPr="00E85C29" w14:paraId="7468CB16" w14:textId="77777777" w:rsidTr="00672A15">
        <w:trPr>
          <w:trHeight w:val="238"/>
        </w:trPr>
        <w:tc>
          <w:tcPr>
            <w:cnfStyle w:val="001000000000" w:firstRow="0" w:lastRow="0" w:firstColumn="1" w:lastColumn="0" w:oddVBand="0" w:evenVBand="0" w:oddHBand="0" w:evenHBand="0" w:firstRowFirstColumn="0" w:firstRowLastColumn="0" w:lastRowFirstColumn="0" w:lastRowLastColumn="0"/>
            <w:tcW w:w="5148" w:type="dxa"/>
            <w:shd w:val="clear" w:color="auto" w:fill="FFFFFF"/>
          </w:tcPr>
          <w:p w14:paraId="6B965D81" w14:textId="77777777" w:rsidR="00E85C29" w:rsidRPr="00E85C29" w:rsidRDefault="00E85C29" w:rsidP="00E85C29">
            <w:pPr>
              <w:bidi w:val="0"/>
              <w:rPr>
                <w:rFonts w:eastAsia="Calibri"/>
                <w:sz w:val="20"/>
                <w:szCs w:val="20"/>
                <w:u w:val="single"/>
              </w:rPr>
            </w:pPr>
            <w:r w:rsidRPr="00E85C29">
              <w:rPr>
                <w:rFonts w:eastAsia="Calibri"/>
                <w:sz w:val="20"/>
                <w:szCs w:val="20"/>
                <w:u w:val="single"/>
              </w:rPr>
              <w:t>Urine</w:t>
            </w:r>
          </w:p>
          <w:p w14:paraId="028E2078" w14:textId="77777777" w:rsidR="00E85C29" w:rsidRPr="00E85C29" w:rsidRDefault="00E85C29" w:rsidP="00E85C29">
            <w:pPr>
              <w:bidi w:val="0"/>
              <w:rPr>
                <w:rFonts w:eastAsia="Calibri"/>
                <w:sz w:val="20"/>
                <w:szCs w:val="20"/>
              </w:rPr>
            </w:pPr>
            <w:r w:rsidRPr="00E85C29">
              <w:rPr>
                <w:rFonts w:eastAsia="Calibri"/>
                <w:sz w:val="20"/>
                <w:szCs w:val="20"/>
              </w:rPr>
              <w:t xml:space="preserve">Spot urine (first morning void) or 24 h urine:  protein/creatinine                                                     </w:t>
            </w:r>
          </w:p>
          <w:p w14:paraId="21803FC9" w14:textId="77777777" w:rsidR="00E85C29" w:rsidRPr="00E85C29" w:rsidRDefault="00E85C29" w:rsidP="00E85C29">
            <w:pPr>
              <w:bidi w:val="0"/>
              <w:rPr>
                <w:rFonts w:eastAsia="Calibri"/>
                <w:sz w:val="20"/>
                <w:szCs w:val="20"/>
              </w:rPr>
            </w:pPr>
            <w:r w:rsidRPr="00E85C29">
              <w:rPr>
                <w:rFonts w:eastAsia="Calibri"/>
                <w:sz w:val="20"/>
                <w:szCs w:val="20"/>
              </w:rPr>
              <w:t xml:space="preserve">Urinalysis including hematuria            </w:t>
            </w:r>
          </w:p>
          <w:p w14:paraId="501BD198" w14:textId="77777777" w:rsidR="00E85C29" w:rsidRPr="00E85C29" w:rsidRDefault="00E85C29" w:rsidP="00E85C29">
            <w:pPr>
              <w:bidi w:val="0"/>
              <w:rPr>
                <w:rFonts w:eastAsia="Calibri"/>
                <w:sz w:val="20"/>
                <w:szCs w:val="20"/>
              </w:rPr>
            </w:pPr>
            <w:r w:rsidRPr="00E85C29">
              <w:rPr>
                <w:rFonts w:eastAsia="Calibri"/>
                <w:sz w:val="20"/>
                <w:szCs w:val="20"/>
              </w:rPr>
              <w:t xml:space="preserve">Spot urine: calcium/creatinine ratio, low molecular weight proteinuria (e.g., α1-microglobulin/creatinine ratio </w:t>
            </w:r>
          </w:p>
          <w:p w14:paraId="5644A150" w14:textId="77777777" w:rsidR="00E85C29" w:rsidRPr="00E85C29" w:rsidRDefault="00E85C29" w:rsidP="00E85C29">
            <w:pPr>
              <w:bidi w:val="0"/>
              <w:rPr>
                <w:rFonts w:eastAsia="Calibri"/>
                <w:sz w:val="20"/>
                <w:szCs w:val="20"/>
                <w:u w:val="single"/>
              </w:rPr>
            </w:pPr>
            <w:r w:rsidRPr="00E85C29">
              <w:rPr>
                <w:rFonts w:eastAsia="Calibri"/>
                <w:sz w:val="20"/>
                <w:szCs w:val="20"/>
                <w:u w:val="single"/>
              </w:rPr>
              <w:t xml:space="preserve"> </w:t>
            </w:r>
          </w:p>
          <w:p w14:paraId="21ED65E3" w14:textId="77777777" w:rsidR="00E85C29" w:rsidRPr="00E85C29" w:rsidRDefault="00E85C29" w:rsidP="00E85C29">
            <w:pPr>
              <w:bidi w:val="0"/>
              <w:rPr>
                <w:rFonts w:eastAsia="Calibri"/>
                <w:sz w:val="20"/>
                <w:szCs w:val="20"/>
              </w:rPr>
            </w:pPr>
            <w:r w:rsidRPr="00E85C29">
              <w:rPr>
                <w:rFonts w:eastAsia="Calibri"/>
                <w:sz w:val="20"/>
                <w:szCs w:val="20"/>
                <w:u w:val="single"/>
              </w:rPr>
              <w:t>Blood</w:t>
            </w:r>
            <w:r w:rsidRPr="00E85C29">
              <w:rPr>
                <w:rFonts w:eastAsia="Calibri"/>
                <w:sz w:val="20"/>
                <w:szCs w:val="20"/>
              </w:rPr>
              <w:t xml:space="preserve"> </w:t>
            </w:r>
          </w:p>
          <w:p w14:paraId="2B6A778E" w14:textId="77777777" w:rsidR="00E85C29" w:rsidRPr="00E85C29" w:rsidRDefault="00E85C29" w:rsidP="00E85C29">
            <w:pPr>
              <w:bidi w:val="0"/>
              <w:rPr>
                <w:rFonts w:eastAsia="Calibri"/>
                <w:sz w:val="20"/>
                <w:szCs w:val="20"/>
              </w:rPr>
            </w:pPr>
            <w:r w:rsidRPr="00E85C29">
              <w:rPr>
                <w:rFonts w:eastAsia="Calibri"/>
                <w:sz w:val="20"/>
                <w:szCs w:val="20"/>
              </w:rPr>
              <w:t>Complete blood count (CBC)</w:t>
            </w:r>
          </w:p>
          <w:p w14:paraId="2E793E01" w14:textId="77777777" w:rsidR="00E85C29" w:rsidRPr="00E85C29" w:rsidRDefault="00E85C29" w:rsidP="00E85C29">
            <w:pPr>
              <w:bidi w:val="0"/>
              <w:rPr>
                <w:rFonts w:eastAsia="Calibri"/>
                <w:sz w:val="20"/>
                <w:szCs w:val="20"/>
              </w:rPr>
            </w:pPr>
            <w:r w:rsidRPr="00E85C29">
              <w:rPr>
                <w:rFonts w:eastAsia="Calibri"/>
                <w:sz w:val="20"/>
                <w:szCs w:val="20"/>
              </w:rPr>
              <w:t xml:space="preserve">Creatinine, BUN, or urea </w:t>
            </w:r>
          </w:p>
          <w:p w14:paraId="7C4C87C6" w14:textId="77777777" w:rsidR="00E85C29" w:rsidRPr="00E85C29" w:rsidRDefault="00E85C29" w:rsidP="00E85C29">
            <w:pPr>
              <w:bidi w:val="0"/>
              <w:rPr>
                <w:rFonts w:eastAsia="Calibri"/>
                <w:sz w:val="20"/>
                <w:szCs w:val="20"/>
              </w:rPr>
            </w:pPr>
            <w:r w:rsidRPr="00E85C29">
              <w:rPr>
                <w:rFonts w:eastAsia="Calibri"/>
                <w:sz w:val="20"/>
                <w:szCs w:val="20"/>
              </w:rPr>
              <w:t xml:space="preserve">Electrolytes (including ionized calcium, potassium* and albumin corrected albumin if available) </w:t>
            </w:r>
          </w:p>
          <w:p w14:paraId="1F01A7D9" w14:textId="77777777" w:rsidR="00E85C29" w:rsidRPr="00E85C29" w:rsidRDefault="00E85C29" w:rsidP="00E85C29">
            <w:pPr>
              <w:bidi w:val="0"/>
              <w:rPr>
                <w:rFonts w:eastAsia="Calibri"/>
                <w:sz w:val="20"/>
                <w:szCs w:val="20"/>
              </w:rPr>
            </w:pPr>
            <w:r w:rsidRPr="00E85C29">
              <w:rPr>
                <w:rFonts w:eastAsia="Calibri"/>
                <w:sz w:val="20"/>
                <w:szCs w:val="20"/>
              </w:rPr>
              <w:t>Serum albumin, total protein</w:t>
            </w:r>
          </w:p>
          <w:p w14:paraId="1D90FF7C" w14:textId="77777777" w:rsidR="00E85C29" w:rsidRPr="00E85C29" w:rsidRDefault="00E85C29" w:rsidP="00E85C29">
            <w:pPr>
              <w:bidi w:val="0"/>
              <w:rPr>
                <w:rFonts w:eastAsia="Calibri"/>
                <w:sz w:val="20"/>
                <w:szCs w:val="20"/>
              </w:rPr>
            </w:pPr>
            <w:r w:rsidRPr="00E85C29">
              <w:rPr>
                <w:rFonts w:eastAsia="Calibri"/>
                <w:sz w:val="20"/>
                <w:szCs w:val="20"/>
              </w:rPr>
              <w:t xml:space="preserve">Blood gas analysis (HCO3)   </w:t>
            </w:r>
          </w:p>
          <w:p w14:paraId="5EA5EEBE" w14:textId="77777777" w:rsidR="00E85C29" w:rsidRPr="00E85C29" w:rsidRDefault="00E85C29" w:rsidP="00E85C29">
            <w:pPr>
              <w:bidi w:val="0"/>
              <w:rPr>
                <w:rFonts w:eastAsia="Calibri"/>
                <w:sz w:val="20"/>
                <w:szCs w:val="20"/>
              </w:rPr>
            </w:pPr>
            <w:r w:rsidRPr="00E85C29">
              <w:rPr>
                <w:rFonts w:eastAsia="Calibri"/>
                <w:sz w:val="20"/>
                <w:szCs w:val="20"/>
              </w:rPr>
              <w:t xml:space="preserve">C-reactive protein                                                                        </w:t>
            </w:r>
          </w:p>
          <w:p w14:paraId="1EC4DFCB" w14:textId="77777777" w:rsidR="00E85C29" w:rsidRPr="00E85C29" w:rsidRDefault="00E85C29" w:rsidP="00E85C29">
            <w:pPr>
              <w:bidi w:val="0"/>
              <w:rPr>
                <w:rFonts w:eastAsia="Calibri"/>
                <w:sz w:val="20"/>
                <w:szCs w:val="20"/>
              </w:rPr>
            </w:pPr>
            <w:r w:rsidRPr="00E85C29">
              <w:rPr>
                <w:rFonts w:eastAsia="Calibri"/>
                <w:sz w:val="20"/>
                <w:szCs w:val="20"/>
              </w:rPr>
              <w:lastRenderedPageBreak/>
              <w:t xml:space="preserve">Estimated </w:t>
            </w:r>
            <w:proofErr w:type="spellStart"/>
            <w:r w:rsidRPr="00E85C29">
              <w:rPr>
                <w:rFonts w:eastAsia="Calibri"/>
                <w:sz w:val="20"/>
                <w:szCs w:val="20"/>
              </w:rPr>
              <w:t>GFR</w:t>
            </w:r>
            <w:r w:rsidRPr="00E85C29">
              <w:rPr>
                <w:rFonts w:eastAsia="Calibri"/>
                <w:sz w:val="20"/>
                <w:szCs w:val="20"/>
                <w:vertAlign w:val="superscript"/>
              </w:rPr>
              <w:t>b</w:t>
            </w:r>
            <w:proofErr w:type="spellEnd"/>
            <w:r w:rsidRPr="00E85C29">
              <w:rPr>
                <w:rFonts w:eastAsia="Calibri"/>
                <w:sz w:val="20"/>
                <w:szCs w:val="20"/>
              </w:rPr>
              <w:t xml:space="preserve">                                                                          </w:t>
            </w:r>
          </w:p>
          <w:p w14:paraId="01CA3063" w14:textId="77777777" w:rsidR="00E85C29" w:rsidRPr="00E85C29" w:rsidRDefault="00E85C29" w:rsidP="00E85C29">
            <w:pPr>
              <w:bidi w:val="0"/>
              <w:rPr>
                <w:rFonts w:eastAsia="Calibri"/>
                <w:sz w:val="20"/>
                <w:szCs w:val="20"/>
              </w:rPr>
            </w:pPr>
            <w:r w:rsidRPr="00E85C29">
              <w:rPr>
                <w:rFonts w:eastAsia="Calibri"/>
                <w:sz w:val="20"/>
                <w:szCs w:val="20"/>
              </w:rPr>
              <w:t xml:space="preserve"> ALP, PTH, 25(OH) vitamin D                                                                                                                                                                                                            </w:t>
            </w:r>
          </w:p>
          <w:p w14:paraId="44AEFDF0" w14:textId="77777777" w:rsidR="00E85C29" w:rsidRPr="00E85C29" w:rsidRDefault="00E85C29" w:rsidP="00E85C29">
            <w:pPr>
              <w:bidi w:val="0"/>
              <w:rPr>
                <w:rFonts w:eastAsia="Calibri"/>
                <w:sz w:val="20"/>
                <w:szCs w:val="20"/>
              </w:rPr>
            </w:pPr>
            <w:r w:rsidRPr="00E85C29">
              <w:rPr>
                <w:rFonts w:eastAsia="Calibri"/>
                <w:sz w:val="20"/>
                <w:szCs w:val="20"/>
              </w:rPr>
              <w:t xml:space="preserve">Lipid profile   (LDL- and HDL-cholesterol, triglycerides) </w:t>
            </w:r>
          </w:p>
          <w:p w14:paraId="0850ADF8" w14:textId="77777777" w:rsidR="00E85C29" w:rsidRPr="00E85C29" w:rsidRDefault="00E85C29" w:rsidP="00E85C29">
            <w:pPr>
              <w:bidi w:val="0"/>
              <w:rPr>
                <w:rFonts w:eastAsia="Calibri"/>
                <w:sz w:val="20"/>
                <w:szCs w:val="20"/>
              </w:rPr>
            </w:pPr>
            <w:r w:rsidRPr="00E85C29">
              <w:rPr>
                <w:rFonts w:eastAsia="Calibri"/>
                <w:sz w:val="20"/>
                <w:szCs w:val="20"/>
              </w:rPr>
              <w:t xml:space="preserve">                                                                                                         </w:t>
            </w:r>
          </w:p>
          <w:p w14:paraId="1A2EBC0B" w14:textId="77777777" w:rsidR="00E85C29" w:rsidRPr="00E85C29" w:rsidRDefault="00E85C29" w:rsidP="00E85C29">
            <w:pPr>
              <w:bidi w:val="0"/>
              <w:rPr>
                <w:rFonts w:eastAsia="Calibri"/>
                <w:sz w:val="20"/>
                <w:szCs w:val="20"/>
              </w:rPr>
            </w:pPr>
            <w:r w:rsidRPr="00E85C29">
              <w:rPr>
                <w:rFonts w:eastAsia="Calibri"/>
                <w:sz w:val="20"/>
                <w:szCs w:val="20"/>
              </w:rPr>
              <w:t>Baseline coagulation tests (</w:t>
            </w:r>
            <w:proofErr w:type="spellStart"/>
            <w:r w:rsidRPr="00E85C29">
              <w:rPr>
                <w:rFonts w:eastAsia="Calibri"/>
                <w:sz w:val="20"/>
                <w:szCs w:val="20"/>
              </w:rPr>
              <w:t>prothrombine</w:t>
            </w:r>
            <w:proofErr w:type="spellEnd"/>
            <w:r w:rsidRPr="00E85C29">
              <w:rPr>
                <w:rFonts w:eastAsia="Calibri"/>
                <w:sz w:val="20"/>
                <w:szCs w:val="20"/>
              </w:rPr>
              <w:t xml:space="preserve"> time (INR),</w:t>
            </w:r>
          </w:p>
          <w:p w14:paraId="0DF0A746" w14:textId="77777777" w:rsidR="00E85C29" w:rsidRPr="00E85C29" w:rsidRDefault="00E85C29" w:rsidP="00E85C29">
            <w:pPr>
              <w:bidi w:val="0"/>
              <w:rPr>
                <w:rFonts w:eastAsia="Calibri"/>
                <w:sz w:val="20"/>
                <w:szCs w:val="20"/>
              </w:rPr>
            </w:pPr>
            <w:r w:rsidRPr="00E85C29">
              <w:rPr>
                <w:rFonts w:eastAsia="Calibri"/>
                <w:sz w:val="20"/>
                <w:szCs w:val="20"/>
              </w:rPr>
              <w:t xml:space="preserve"> </w:t>
            </w:r>
            <w:proofErr w:type="spellStart"/>
            <w:r w:rsidRPr="00E85C29">
              <w:rPr>
                <w:rFonts w:eastAsia="Calibri"/>
                <w:sz w:val="20"/>
                <w:szCs w:val="20"/>
              </w:rPr>
              <w:t>aPTT</w:t>
            </w:r>
            <w:proofErr w:type="spellEnd"/>
            <w:r w:rsidRPr="00E85C29">
              <w:rPr>
                <w:rFonts w:eastAsia="Calibri"/>
                <w:sz w:val="20"/>
                <w:szCs w:val="20"/>
              </w:rPr>
              <w:t xml:space="preserve">, fibrinogen, ATIII), detailed </w:t>
            </w:r>
            <w:proofErr w:type="spellStart"/>
            <w:r w:rsidRPr="00E85C29">
              <w:rPr>
                <w:rFonts w:eastAsia="Calibri"/>
                <w:sz w:val="20"/>
                <w:szCs w:val="20"/>
              </w:rPr>
              <w:t>thrombophilic</w:t>
            </w:r>
            <w:proofErr w:type="spellEnd"/>
            <w:r w:rsidRPr="00E85C29">
              <w:rPr>
                <w:rFonts w:eastAsia="Calibri"/>
                <w:sz w:val="20"/>
                <w:szCs w:val="20"/>
              </w:rPr>
              <w:t xml:space="preserve"> screening in patients with reported previous thrombotic events, central venous lines, persistent nephrotic range proteinuria and/or increased familial history for thrombotic events.</w:t>
            </w:r>
          </w:p>
          <w:p w14:paraId="644DE186" w14:textId="77777777" w:rsidR="00E85C29" w:rsidRPr="00E85C29" w:rsidRDefault="00E85C29" w:rsidP="00E85C29">
            <w:pPr>
              <w:bidi w:val="0"/>
              <w:rPr>
                <w:rFonts w:eastAsia="Calibri"/>
                <w:sz w:val="20"/>
                <w:szCs w:val="20"/>
              </w:rPr>
            </w:pPr>
          </w:p>
          <w:p w14:paraId="1AD1BB42" w14:textId="77777777" w:rsidR="00E85C29" w:rsidRPr="00E85C29" w:rsidRDefault="00E85C29" w:rsidP="00E85C29">
            <w:pPr>
              <w:bidi w:val="0"/>
              <w:rPr>
                <w:rFonts w:eastAsia="Calibri"/>
                <w:sz w:val="20"/>
                <w:szCs w:val="20"/>
              </w:rPr>
            </w:pPr>
            <w:r w:rsidRPr="00E85C29">
              <w:rPr>
                <w:rFonts w:eastAsia="Calibri"/>
                <w:sz w:val="20"/>
                <w:szCs w:val="20"/>
              </w:rPr>
              <w:t xml:space="preserve">Thyroid function (T3, FT4, TSH)                                               </w:t>
            </w:r>
          </w:p>
          <w:p w14:paraId="7B0983D4" w14:textId="77777777" w:rsidR="00E85C29" w:rsidRPr="00E85C29" w:rsidRDefault="00E85C29" w:rsidP="00E85C29">
            <w:pPr>
              <w:bidi w:val="0"/>
              <w:rPr>
                <w:rFonts w:eastAsia="Calibri"/>
                <w:sz w:val="20"/>
                <w:szCs w:val="20"/>
              </w:rPr>
            </w:pPr>
          </w:p>
          <w:p w14:paraId="37134657" w14:textId="77777777" w:rsidR="00E85C29" w:rsidRPr="00E85C29" w:rsidRDefault="00E85C29" w:rsidP="00E85C29">
            <w:pPr>
              <w:bidi w:val="0"/>
              <w:rPr>
                <w:rFonts w:eastAsia="Calibri"/>
                <w:sz w:val="20"/>
                <w:szCs w:val="20"/>
              </w:rPr>
            </w:pPr>
          </w:p>
          <w:p w14:paraId="797E47DA" w14:textId="77777777" w:rsidR="00E85C29" w:rsidRPr="00E85C29" w:rsidRDefault="00E85C29" w:rsidP="00E85C29">
            <w:pPr>
              <w:bidi w:val="0"/>
              <w:rPr>
                <w:rFonts w:eastAsia="Calibri"/>
                <w:sz w:val="20"/>
                <w:szCs w:val="20"/>
              </w:rPr>
            </w:pPr>
          </w:p>
          <w:p w14:paraId="7C9764A3" w14:textId="77777777" w:rsidR="00E85C29" w:rsidRPr="00E85C29" w:rsidRDefault="00E85C29" w:rsidP="00E85C29">
            <w:pPr>
              <w:bidi w:val="0"/>
              <w:rPr>
                <w:rFonts w:eastAsia="Calibri"/>
                <w:sz w:val="20"/>
                <w:szCs w:val="20"/>
              </w:rPr>
            </w:pPr>
            <w:r w:rsidRPr="00E85C29">
              <w:rPr>
                <w:rFonts w:eastAsia="Calibri"/>
                <w:sz w:val="20"/>
                <w:szCs w:val="20"/>
              </w:rPr>
              <w:t xml:space="preserve"> Immunoglobulin G              </w:t>
            </w:r>
          </w:p>
          <w:p w14:paraId="56FCB787" w14:textId="77777777" w:rsidR="00E85C29" w:rsidRPr="00E85C29" w:rsidRDefault="00E85C29" w:rsidP="00E85C29">
            <w:pPr>
              <w:bidi w:val="0"/>
              <w:rPr>
                <w:rFonts w:eastAsia="Calibri"/>
                <w:sz w:val="20"/>
                <w:szCs w:val="20"/>
              </w:rPr>
            </w:pPr>
            <w:r w:rsidRPr="00E85C29">
              <w:rPr>
                <w:rFonts w:eastAsia="Calibri"/>
                <w:sz w:val="20"/>
                <w:szCs w:val="20"/>
              </w:rPr>
              <w:t xml:space="preserve">                                                      </w:t>
            </w:r>
          </w:p>
          <w:p w14:paraId="381988B1" w14:textId="77777777" w:rsidR="00E85C29" w:rsidRPr="00E85C29" w:rsidRDefault="00E85C29" w:rsidP="00E85C29">
            <w:pPr>
              <w:bidi w:val="0"/>
              <w:rPr>
                <w:rFonts w:eastAsia="Calibri"/>
                <w:sz w:val="20"/>
                <w:szCs w:val="20"/>
              </w:rPr>
            </w:pPr>
            <w:r w:rsidRPr="00E85C29">
              <w:rPr>
                <w:rFonts w:eastAsia="Calibri"/>
                <w:sz w:val="20"/>
                <w:szCs w:val="20"/>
              </w:rPr>
              <w:t xml:space="preserve"> </w:t>
            </w:r>
          </w:p>
          <w:p w14:paraId="469DAF30" w14:textId="77777777" w:rsidR="00E85C29" w:rsidRPr="00E85C29" w:rsidRDefault="00E85C29" w:rsidP="00E85C29">
            <w:pPr>
              <w:bidi w:val="0"/>
              <w:rPr>
                <w:rFonts w:eastAsia="Calibri"/>
                <w:sz w:val="20"/>
                <w:szCs w:val="20"/>
              </w:rPr>
            </w:pPr>
          </w:p>
          <w:p w14:paraId="2A56A9D1" w14:textId="77777777" w:rsidR="00E85C29" w:rsidRPr="00E85C29" w:rsidRDefault="00E85C29" w:rsidP="00E85C29">
            <w:pPr>
              <w:bidi w:val="0"/>
              <w:rPr>
                <w:rFonts w:eastAsia="Calibri"/>
                <w:sz w:val="20"/>
                <w:szCs w:val="20"/>
              </w:rPr>
            </w:pPr>
          </w:p>
          <w:p w14:paraId="59BD878C" w14:textId="77777777" w:rsidR="00E85C29" w:rsidRPr="00E85C29" w:rsidRDefault="00E85C29" w:rsidP="00E85C29">
            <w:pPr>
              <w:bidi w:val="0"/>
              <w:rPr>
                <w:rFonts w:eastAsia="Calibri"/>
                <w:sz w:val="20"/>
                <w:szCs w:val="20"/>
              </w:rPr>
            </w:pPr>
          </w:p>
          <w:p w14:paraId="5705F0C8" w14:textId="77777777" w:rsidR="00E85C29" w:rsidRPr="00E85C29" w:rsidRDefault="00E85C29" w:rsidP="00E85C29">
            <w:pPr>
              <w:bidi w:val="0"/>
              <w:rPr>
                <w:rFonts w:eastAsia="Calibri"/>
                <w:sz w:val="20"/>
                <w:szCs w:val="20"/>
              </w:rPr>
            </w:pPr>
          </w:p>
          <w:p w14:paraId="19F30A37" w14:textId="77777777" w:rsidR="00E85C29" w:rsidRPr="00E85C29" w:rsidRDefault="00E85C29" w:rsidP="00E85C29">
            <w:pPr>
              <w:bidi w:val="0"/>
              <w:rPr>
                <w:rFonts w:eastAsia="Calibri"/>
                <w:sz w:val="20"/>
                <w:szCs w:val="20"/>
              </w:rPr>
            </w:pPr>
            <w:r w:rsidRPr="00E85C29">
              <w:rPr>
                <w:rFonts w:eastAsia="Calibri"/>
                <w:sz w:val="20"/>
                <w:szCs w:val="20"/>
              </w:rPr>
              <w:t xml:space="preserve">Glucose/fasting glucose                                                           </w:t>
            </w:r>
          </w:p>
          <w:p w14:paraId="1BDBA67E" w14:textId="77777777" w:rsidR="00E85C29" w:rsidRPr="00E85C29" w:rsidRDefault="00E85C29" w:rsidP="00E85C29">
            <w:pPr>
              <w:bidi w:val="0"/>
              <w:rPr>
                <w:rFonts w:eastAsia="Calibri"/>
                <w:sz w:val="20"/>
                <w:szCs w:val="20"/>
              </w:rPr>
            </w:pPr>
            <w:r w:rsidRPr="00E85C29">
              <w:rPr>
                <w:rFonts w:eastAsia="Calibri"/>
                <w:sz w:val="20"/>
                <w:szCs w:val="20"/>
              </w:rPr>
              <w:t xml:space="preserve"> HbA1c                                                                                             </w:t>
            </w:r>
          </w:p>
          <w:p w14:paraId="548EE053" w14:textId="77777777" w:rsidR="00E85C29" w:rsidRPr="00E85C29" w:rsidRDefault="00E85C29" w:rsidP="00E85C29">
            <w:pPr>
              <w:bidi w:val="0"/>
              <w:rPr>
                <w:rFonts w:eastAsia="Calibri"/>
                <w:sz w:val="20"/>
                <w:szCs w:val="20"/>
              </w:rPr>
            </w:pPr>
            <w:r w:rsidRPr="00E85C29">
              <w:rPr>
                <w:rFonts w:eastAsia="Calibri"/>
                <w:sz w:val="20"/>
                <w:szCs w:val="20"/>
              </w:rPr>
              <w:t xml:space="preserve"> C3, antinuclear antibodies</w:t>
            </w:r>
          </w:p>
          <w:p w14:paraId="0840C4F8" w14:textId="77777777" w:rsidR="00E85C29" w:rsidRPr="00E85C29" w:rsidRDefault="00E85C29" w:rsidP="00E85C29">
            <w:pPr>
              <w:bidi w:val="0"/>
              <w:rPr>
                <w:rFonts w:eastAsia="Calibri"/>
                <w:sz w:val="20"/>
                <w:szCs w:val="20"/>
              </w:rPr>
            </w:pPr>
            <w:r w:rsidRPr="00E85C29">
              <w:rPr>
                <w:rFonts w:eastAsia="Calibri"/>
                <w:sz w:val="20"/>
                <w:szCs w:val="20"/>
              </w:rPr>
              <w:t xml:space="preserve"> ds-DNA, ENA, ANCA                                                               </w:t>
            </w:r>
          </w:p>
          <w:p w14:paraId="37D11864" w14:textId="77777777" w:rsidR="00E85C29" w:rsidRPr="00E85C29" w:rsidRDefault="00E85C29" w:rsidP="00E85C29">
            <w:pPr>
              <w:bidi w:val="0"/>
              <w:rPr>
                <w:rFonts w:eastAsia="Calibri"/>
                <w:sz w:val="20"/>
                <w:szCs w:val="20"/>
              </w:rPr>
            </w:pPr>
            <w:r w:rsidRPr="00E85C29">
              <w:rPr>
                <w:rFonts w:eastAsia="Calibri"/>
                <w:sz w:val="20"/>
                <w:szCs w:val="20"/>
              </w:rPr>
              <w:t>HBs-Ag, anti-HCV-IgG, syphilis, and HIV tests                       Vaccination status including blood titer tests</w:t>
            </w:r>
            <w:r w:rsidRPr="00E85C29">
              <w:rPr>
                <w:rFonts w:ascii="Calibri" w:eastAsia="Calibri" w:hAnsi="Calibri" w:cs="Arial"/>
              </w:rPr>
              <w:t xml:space="preserve">         </w:t>
            </w:r>
            <w:r w:rsidRPr="00E85C29">
              <w:rPr>
                <w:rFonts w:ascii="Segoe UI Symbol" w:eastAsia="Calibri" w:hAnsi="Segoe UI Symbol" w:cs="Segoe UI Symbol"/>
              </w:rPr>
              <w:t xml:space="preserve">               </w:t>
            </w:r>
            <w:r w:rsidRPr="00E85C29">
              <w:rPr>
                <w:rFonts w:ascii="Calibri" w:eastAsia="Calibri" w:hAnsi="Calibri" w:cs="Arial"/>
              </w:rPr>
              <w:t xml:space="preserve"> </w:t>
            </w:r>
            <w:r w:rsidRPr="00E85C29">
              <w:rPr>
                <w:rFonts w:eastAsia="Calibri"/>
                <w:sz w:val="20"/>
                <w:szCs w:val="20"/>
              </w:rPr>
              <w:t xml:space="preserve">                       </w:t>
            </w:r>
          </w:p>
        </w:tc>
        <w:tc>
          <w:tcPr>
            <w:tcW w:w="1507" w:type="dxa"/>
            <w:shd w:val="clear" w:color="auto" w:fill="FFFFFF"/>
          </w:tcPr>
          <w:p w14:paraId="6BA173F1"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lastRenderedPageBreak/>
              <w:t>✓</w:t>
            </w:r>
          </w:p>
          <w:p w14:paraId="2BE9C68F"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427325E7"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Conditional</w:t>
            </w:r>
          </w:p>
          <w:p w14:paraId="5681F378"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526639A7"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36BEAD8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4C152462"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6221B0D8"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418A483A"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7101B947"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6A2DBB52"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77783398"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59604341"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5D010A5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0BF5F9B5"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76794947"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lastRenderedPageBreak/>
              <w:t>✓</w:t>
            </w:r>
          </w:p>
          <w:p w14:paraId="25FD0F4C"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78409CAA"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b/>
                <w:bCs/>
                <w:sz w:val="20"/>
                <w:szCs w:val="20"/>
              </w:rPr>
            </w:pPr>
          </w:p>
          <w:p w14:paraId="61C71F97"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2F13CB2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b/>
                <w:bCs/>
                <w:sz w:val="20"/>
                <w:szCs w:val="20"/>
              </w:rPr>
            </w:pPr>
          </w:p>
          <w:p w14:paraId="2566900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b/>
                <w:bCs/>
                <w:sz w:val="20"/>
                <w:szCs w:val="20"/>
              </w:rPr>
            </w:pPr>
          </w:p>
          <w:p w14:paraId="6AB15BF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3121649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691C396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p w14:paraId="7AD455F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rPr>
            </w:pPr>
          </w:p>
          <w:p w14:paraId="3EF24A6E"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rPr>
            </w:pPr>
          </w:p>
          <w:p w14:paraId="701E413D"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rPr>
            </w:pPr>
          </w:p>
          <w:p w14:paraId="53B9B4D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rPr>
            </w:pPr>
          </w:p>
          <w:p w14:paraId="165BD40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rPr>
            </w:pPr>
          </w:p>
          <w:p w14:paraId="5BE2F427"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rPr>
            </w:pPr>
            <w:r w:rsidRPr="00E85C29">
              <w:rPr>
                <w:rFonts w:eastAsia="Calibri"/>
                <w:b/>
                <w:bCs/>
                <w:sz w:val="20"/>
                <w:szCs w:val="20"/>
              </w:rPr>
              <w:t>Conditional</w:t>
            </w:r>
          </w:p>
        </w:tc>
        <w:tc>
          <w:tcPr>
            <w:tcW w:w="2561" w:type="dxa"/>
            <w:shd w:val="clear" w:color="auto" w:fill="FFFFFF"/>
          </w:tcPr>
          <w:p w14:paraId="2CBD588E"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lastRenderedPageBreak/>
              <w:t>Essential Every 3 months (more frequently until remission)</w:t>
            </w:r>
          </w:p>
          <w:p w14:paraId="76FB1800"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Every 6–12</w:t>
            </w:r>
          </w:p>
          <w:p w14:paraId="19D49EBB"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0CDA209D" w14:textId="77777777" w:rsidR="00E85C29" w:rsidRPr="00E85C29" w:rsidRDefault="00E85C29" w:rsidP="00E85C29">
            <w:pPr>
              <w:bidi w:val="0"/>
              <w:spacing w:line="254" w:lineRule="auto"/>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2721CEC0" w14:textId="77777777" w:rsidR="00E85C29" w:rsidRPr="00E85C29" w:rsidRDefault="00E85C29" w:rsidP="00E85C29">
            <w:pPr>
              <w:bidi w:val="0"/>
              <w:ind w:left="5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Essential </w:t>
            </w:r>
          </w:p>
          <w:p w14:paraId="57055991" w14:textId="77777777" w:rsidR="00E85C29" w:rsidRPr="00E85C29" w:rsidRDefault="00E85C29" w:rsidP="00E85C29">
            <w:pPr>
              <w:bidi w:val="0"/>
              <w:ind w:left="5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Every 3 months (more frequently until remission)</w:t>
            </w:r>
          </w:p>
          <w:p w14:paraId="0349E3E6" w14:textId="77777777" w:rsidR="00E85C29" w:rsidRPr="00E85C29" w:rsidRDefault="00E85C29" w:rsidP="00E85C29">
            <w:pPr>
              <w:bidi w:val="0"/>
              <w:ind w:left="5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and in CKD stage 4–5)</w:t>
            </w:r>
          </w:p>
          <w:p w14:paraId="44B8A853" w14:textId="77777777" w:rsidR="00E85C29" w:rsidRPr="00E85C29" w:rsidRDefault="00E85C29" w:rsidP="00E85C29">
            <w:pPr>
              <w:bidi w:val="0"/>
              <w:ind w:left="5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Every day or every other day when using high dose diuretics                                                                                                        </w:t>
            </w:r>
          </w:p>
          <w:p w14:paraId="7B1E53B7"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w:t>
            </w:r>
          </w:p>
          <w:p w14:paraId="557E82F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As required (clinical decision)</w:t>
            </w:r>
          </w:p>
          <w:p w14:paraId="71736F15"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lastRenderedPageBreak/>
              <w:t>Every 3 months (more frequently in CKD stage 4).</w:t>
            </w:r>
          </w:p>
          <w:p w14:paraId="747976A8" w14:textId="77777777" w:rsidR="00E85C29" w:rsidRPr="00E85C29" w:rsidRDefault="00E85C29" w:rsidP="00E85C29">
            <w:pPr>
              <w:bidi w:val="0"/>
              <w:ind w:left="72" w:hanging="18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Every 12 months (more   frequently in  patients with CKD stages(  3-  5)  </w:t>
            </w:r>
          </w:p>
          <w:p w14:paraId="72C9F8F3" w14:textId="77777777" w:rsidR="00E85C29" w:rsidRPr="00E85C29" w:rsidRDefault="00E85C29" w:rsidP="00E85C29">
            <w:pPr>
              <w:bidi w:val="0"/>
              <w:ind w:left="162" w:hanging="27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Every 12 months or as appropriate</w:t>
            </w:r>
          </w:p>
          <w:p w14:paraId="49606E1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At diagnosis and then as   appropriate, e.g., in case of relapses.</w:t>
            </w:r>
          </w:p>
          <w:p w14:paraId="136C9D9C"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Every 12 months or as appropriate especially in    patients with prolonged proteinuria. </w:t>
            </w:r>
          </w:p>
          <w:p w14:paraId="48E72C0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In case of recurrent infections</w:t>
            </w:r>
          </w:p>
          <w:p w14:paraId="679212BD"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69E5CDF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Every 6 months or as </w:t>
            </w:r>
            <w:proofErr w:type="spellStart"/>
            <w:r w:rsidRPr="00E85C29">
              <w:rPr>
                <w:rFonts w:eastAsia="Calibri"/>
                <w:b/>
                <w:bCs/>
                <w:sz w:val="20"/>
                <w:szCs w:val="20"/>
              </w:rPr>
              <w:t>appro</w:t>
            </w:r>
            <w:proofErr w:type="spellEnd"/>
          </w:p>
          <w:p w14:paraId="301AD5B2"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Every 12 months or as </w:t>
            </w:r>
            <w:proofErr w:type="spellStart"/>
            <w:r w:rsidRPr="00E85C29">
              <w:rPr>
                <w:rFonts w:eastAsia="Calibri"/>
                <w:b/>
                <w:bCs/>
                <w:sz w:val="20"/>
                <w:szCs w:val="20"/>
              </w:rPr>
              <w:t>appro</w:t>
            </w:r>
            <w:proofErr w:type="spellEnd"/>
          </w:p>
          <w:p w14:paraId="1084CF28"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As appropriate </w:t>
            </w:r>
          </w:p>
          <w:p w14:paraId="520BDB91"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As appropriate                                                                                                       </w:t>
            </w:r>
          </w:p>
          <w:p w14:paraId="2BF31FB2"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Before prednisolone &amp; as app</w:t>
            </w:r>
          </w:p>
          <w:p w14:paraId="2913B73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rPr>
            </w:pPr>
            <w:r w:rsidRPr="00E85C29">
              <w:rPr>
                <w:rFonts w:eastAsia="Calibri"/>
                <w:b/>
                <w:bCs/>
                <w:sz w:val="20"/>
                <w:szCs w:val="20"/>
              </w:rPr>
              <w:t xml:space="preserve">Yearly or as appropriate                                                                                       </w:t>
            </w:r>
          </w:p>
        </w:tc>
      </w:tr>
      <w:tr w:rsidR="00E85C29" w:rsidRPr="00E85C29" w14:paraId="1027C206" w14:textId="77777777" w:rsidTr="00672A15">
        <w:trPr>
          <w:cnfStyle w:val="000000100000" w:firstRow="0" w:lastRow="0" w:firstColumn="0" w:lastColumn="0" w:oddVBand="0" w:evenVBand="0" w:oddHBand="1"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5148" w:type="dxa"/>
            <w:shd w:val="clear" w:color="auto" w:fill="B8CCE4"/>
          </w:tcPr>
          <w:p w14:paraId="734412D6" w14:textId="77777777" w:rsidR="00E85C29" w:rsidRPr="00E85C29" w:rsidRDefault="00E85C29" w:rsidP="00E85C29">
            <w:pPr>
              <w:bidi w:val="0"/>
              <w:rPr>
                <w:rFonts w:eastAsia="Calibri"/>
                <w:sz w:val="20"/>
                <w:szCs w:val="20"/>
              </w:rPr>
            </w:pPr>
            <w:r w:rsidRPr="00E85C29">
              <w:rPr>
                <w:rFonts w:eastAsia="Calibri"/>
                <w:sz w:val="20"/>
                <w:szCs w:val="20"/>
              </w:rPr>
              <w:lastRenderedPageBreak/>
              <w:t>Genetics</w:t>
            </w:r>
          </w:p>
        </w:tc>
        <w:tc>
          <w:tcPr>
            <w:tcW w:w="1507" w:type="dxa"/>
            <w:shd w:val="clear" w:color="auto" w:fill="B8CCE4"/>
          </w:tcPr>
          <w:p w14:paraId="159381B9"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rPr>
            </w:pPr>
          </w:p>
        </w:tc>
        <w:tc>
          <w:tcPr>
            <w:tcW w:w="2561" w:type="dxa"/>
            <w:shd w:val="clear" w:color="auto" w:fill="B8CCE4"/>
          </w:tcPr>
          <w:p w14:paraId="56E451EC"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rPr>
            </w:pPr>
          </w:p>
        </w:tc>
      </w:tr>
      <w:tr w:rsidR="00E85C29" w:rsidRPr="00E85C29" w14:paraId="0CA3874E" w14:textId="77777777" w:rsidTr="00672A15">
        <w:trPr>
          <w:trHeight w:val="1561"/>
        </w:trPr>
        <w:tc>
          <w:tcPr>
            <w:cnfStyle w:val="001000000000" w:firstRow="0" w:lastRow="0" w:firstColumn="1" w:lastColumn="0" w:oddVBand="0" w:evenVBand="0" w:oddHBand="0" w:evenHBand="0" w:firstRowFirstColumn="0" w:firstRowLastColumn="0" w:lastRowFirstColumn="0" w:lastRowLastColumn="0"/>
            <w:tcW w:w="5148" w:type="dxa"/>
            <w:shd w:val="clear" w:color="auto" w:fill="FFFFFF"/>
          </w:tcPr>
          <w:p w14:paraId="604B1A3F" w14:textId="77777777" w:rsidR="00E85C29" w:rsidRPr="00E85C29" w:rsidRDefault="00E85C29" w:rsidP="00E85C29">
            <w:pPr>
              <w:bidi w:val="0"/>
              <w:rPr>
                <w:rFonts w:eastAsia="Calibri"/>
                <w:sz w:val="20"/>
                <w:szCs w:val="20"/>
              </w:rPr>
            </w:pPr>
            <w:r w:rsidRPr="00E85C29">
              <w:rPr>
                <w:rFonts w:eastAsia="Calibri"/>
                <w:sz w:val="20"/>
                <w:szCs w:val="20"/>
              </w:rPr>
              <w:t xml:space="preserve"> Next-generation sequencing (NGS)/Whole Exome</w:t>
            </w:r>
          </w:p>
          <w:p w14:paraId="3C3ADA53" w14:textId="77777777" w:rsidR="00E85C29" w:rsidRPr="00E85C29" w:rsidRDefault="00E85C29" w:rsidP="00E85C29">
            <w:pPr>
              <w:bidi w:val="0"/>
              <w:rPr>
                <w:rFonts w:eastAsia="Calibri"/>
                <w:sz w:val="20"/>
                <w:szCs w:val="20"/>
              </w:rPr>
            </w:pPr>
            <w:r w:rsidRPr="00E85C29">
              <w:rPr>
                <w:rFonts w:eastAsia="Calibri"/>
                <w:sz w:val="20"/>
                <w:szCs w:val="20"/>
              </w:rPr>
              <w:t xml:space="preserve"> Sequencing (WES)                                                           </w:t>
            </w:r>
          </w:p>
        </w:tc>
        <w:tc>
          <w:tcPr>
            <w:tcW w:w="1507" w:type="dxa"/>
            <w:shd w:val="clear" w:color="auto" w:fill="FFFFFF"/>
          </w:tcPr>
          <w:p w14:paraId="38D66A2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b/>
                <w:bCs/>
                <w:sz w:val="20"/>
                <w:szCs w:val="20"/>
              </w:rPr>
              <w:t>✓</w:t>
            </w:r>
          </w:p>
        </w:tc>
        <w:tc>
          <w:tcPr>
            <w:tcW w:w="2561" w:type="dxa"/>
            <w:shd w:val="clear" w:color="auto" w:fill="FFFFFF"/>
          </w:tcPr>
          <w:p w14:paraId="14B36FBA"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Extended screening   for patients with SRNS depending on new findings (Table 3); </w:t>
            </w:r>
          </w:p>
          <w:p w14:paraId="42D1FB5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whole exome sequencing if indicated    transplantation, if not previously performed. </w:t>
            </w:r>
          </w:p>
        </w:tc>
      </w:tr>
      <w:tr w:rsidR="00E85C29" w:rsidRPr="00E85C29" w14:paraId="5C804B27" w14:textId="77777777" w:rsidTr="00672A15">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5148" w:type="dxa"/>
            <w:shd w:val="clear" w:color="auto" w:fill="B8CCE4"/>
          </w:tcPr>
          <w:p w14:paraId="788A813E" w14:textId="77777777" w:rsidR="00E85C29" w:rsidRPr="00E85C29" w:rsidRDefault="00E85C29" w:rsidP="00E85C29">
            <w:pPr>
              <w:bidi w:val="0"/>
              <w:rPr>
                <w:rFonts w:eastAsia="Calibri"/>
                <w:sz w:val="20"/>
                <w:szCs w:val="20"/>
              </w:rPr>
            </w:pPr>
            <w:r w:rsidRPr="00E85C29">
              <w:rPr>
                <w:rFonts w:eastAsia="Calibri"/>
                <w:sz w:val="20"/>
                <w:szCs w:val="20"/>
              </w:rPr>
              <w:t>Drug-specific monitoring</w:t>
            </w:r>
          </w:p>
          <w:p w14:paraId="748D136B" w14:textId="77777777" w:rsidR="00E85C29" w:rsidRPr="00E85C29" w:rsidRDefault="00E85C29" w:rsidP="00E85C29">
            <w:pPr>
              <w:bidi w:val="0"/>
              <w:rPr>
                <w:rFonts w:eastAsia="Calibri"/>
                <w:sz w:val="20"/>
                <w:szCs w:val="20"/>
              </w:rPr>
            </w:pPr>
          </w:p>
        </w:tc>
        <w:tc>
          <w:tcPr>
            <w:tcW w:w="1507" w:type="dxa"/>
            <w:shd w:val="clear" w:color="auto" w:fill="B8CCE4"/>
          </w:tcPr>
          <w:p w14:paraId="632EDF4A"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c>
          <w:tcPr>
            <w:tcW w:w="2561" w:type="dxa"/>
            <w:shd w:val="clear" w:color="auto" w:fill="B8CCE4"/>
          </w:tcPr>
          <w:p w14:paraId="1838F79F"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r>
      <w:tr w:rsidR="00E85C29" w:rsidRPr="00E85C29" w14:paraId="4CB2B121" w14:textId="77777777" w:rsidTr="00672A15">
        <w:trPr>
          <w:trHeight w:val="80"/>
        </w:trPr>
        <w:tc>
          <w:tcPr>
            <w:cnfStyle w:val="001000000000" w:firstRow="0" w:lastRow="0" w:firstColumn="1" w:lastColumn="0" w:oddVBand="0" w:evenVBand="0" w:oddHBand="0" w:evenHBand="0" w:firstRowFirstColumn="0" w:firstRowLastColumn="0" w:lastRowFirstColumn="0" w:lastRowLastColumn="0"/>
            <w:tcW w:w="5148" w:type="dxa"/>
            <w:shd w:val="clear" w:color="auto" w:fill="auto"/>
          </w:tcPr>
          <w:p w14:paraId="40D00071" w14:textId="77777777" w:rsidR="00E85C29" w:rsidRPr="00E85C29" w:rsidRDefault="00E85C29" w:rsidP="00E85C29">
            <w:pPr>
              <w:bidi w:val="0"/>
              <w:rPr>
                <w:rFonts w:eastAsia="Calibri"/>
                <w:sz w:val="20"/>
                <w:szCs w:val="20"/>
              </w:rPr>
            </w:pPr>
            <w:proofErr w:type="spellStart"/>
            <w:r w:rsidRPr="00E85C29">
              <w:rPr>
                <w:rFonts w:eastAsia="Calibri"/>
                <w:sz w:val="20"/>
                <w:szCs w:val="20"/>
              </w:rPr>
              <w:t>CsA</w:t>
            </w:r>
            <w:proofErr w:type="spellEnd"/>
            <w:r w:rsidRPr="00E85C29">
              <w:rPr>
                <w:rFonts w:eastAsia="Calibri"/>
                <w:sz w:val="20"/>
                <w:szCs w:val="20"/>
              </w:rPr>
              <w:t xml:space="preserve">: and </w:t>
            </w:r>
            <w:proofErr w:type="spellStart"/>
            <w:r w:rsidRPr="00E85C29">
              <w:rPr>
                <w:rFonts w:eastAsia="Calibri"/>
                <w:sz w:val="20"/>
                <w:szCs w:val="20"/>
              </w:rPr>
              <w:t>Tacrolimus</w:t>
            </w:r>
            <w:proofErr w:type="spellEnd"/>
            <w:r w:rsidRPr="00E85C29">
              <w:rPr>
                <w:rFonts w:eastAsia="Calibri"/>
                <w:sz w:val="20"/>
                <w:szCs w:val="20"/>
              </w:rPr>
              <w:t xml:space="preserve">: Drug trough levels </w:t>
            </w:r>
          </w:p>
          <w:p w14:paraId="06ADD0C3" w14:textId="77777777" w:rsidR="00E85C29" w:rsidRPr="00E85C29" w:rsidRDefault="00E85C29" w:rsidP="00E85C29">
            <w:pPr>
              <w:jc w:val="right"/>
              <w:rPr>
                <w:rFonts w:eastAsia="Calibri"/>
                <w:sz w:val="20"/>
                <w:szCs w:val="20"/>
              </w:rPr>
            </w:pPr>
          </w:p>
          <w:p w14:paraId="552E76EB" w14:textId="77777777" w:rsidR="00E85C29" w:rsidRPr="00E85C29" w:rsidRDefault="00E85C29" w:rsidP="00E85C29">
            <w:pPr>
              <w:bidi w:val="0"/>
              <w:rPr>
                <w:rFonts w:eastAsia="Calibri"/>
                <w:sz w:val="20"/>
                <w:szCs w:val="20"/>
              </w:rPr>
            </w:pPr>
          </w:p>
        </w:tc>
        <w:tc>
          <w:tcPr>
            <w:tcW w:w="1507" w:type="dxa"/>
            <w:shd w:val="clear" w:color="auto" w:fill="auto"/>
          </w:tcPr>
          <w:p w14:paraId="72950A68"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Weekly during titration    (for 4 weeks)</w:t>
            </w:r>
          </w:p>
        </w:tc>
        <w:tc>
          <w:tcPr>
            <w:tcW w:w="2561" w:type="dxa"/>
            <w:shd w:val="clear" w:color="auto" w:fill="auto"/>
          </w:tcPr>
          <w:p w14:paraId="5ABD2D58"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Thereafter every 3 months or as appropriate </w:t>
            </w:r>
          </w:p>
          <w:p w14:paraId="268162A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tc>
      </w:tr>
      <w:tr w:rsidR="00E85C29" w:rsidRPr="00E85C29" w14:paraId="6C3B92B5" w14:textId="77777777" w:rsidTr="00672A15">
        <w:trPr>
          <w:cnfStyle w:val="000000100000" w:firstRow="0" w:lastRow="0" w:firstColumn="0" w:lastColumn="0" w:oddVBand="0" w:evenVBand="0" w:oddHBand="1" w:evenHBand="0" w:firstRowFirstColumn="0" w:firstRowLastColumn="0" w:lastRowFirstColumn="0" w:lastRowLastColumn="0"/>
          <w:trHeight w:val="2515"/>
        </w:trPr>
        <w:tc>
          <w:tcPr>
            <w:cnfStyle w:val="001000000000" w:firstRow="0" w:lastRow="0" w:firstColumn="1" w:lastColumn="0" w:oddVBand="0" w:evenVBand="0" w:oddHBand="0" w:evenHBand="0" w:firstRowFirstColumn="0" w:firstRowLastColumn="0" w:lastRowFirstColumn="0" w:lastRowLastColumn="0"/>
            <w:tcW w:w="5148" w:type="dxa"/>
            <w:shd w:val="clear" w:color="auto" w:fill="FFFFFF"/>
          </w:tcPr>
          <w:p w14:paraId="7E42209E" w14:textId="77777777" w:rsidR="00E85C29" w:rsidRPr="00E85C29" w:rsidRDefault="00E85C29" w:rsidP="00E85C29">
            <w:pPr>
              <w:bidi w:val="0"/>
              <w:rPr>
                <w:rFonts w:eastAsia="Calibri"/>
                <w:sz w:val="20"/>
                <w:szCs w:val="20"/>
              </w:rPr>
            </w:pPr>
            <w:r w:rsidRPr="00E85C29">
              <w:rPr>
                <w:rFonts w:eastAsia="Calibri"/>
                <w:sz w:val="20"/>
                <w:szCs w:val="20"/>
              </w:rPr>
              <w:t xml:space="preserve">MMF: mycophenolic acid kinetic (2 h) c </w:t>
            </w:r>
          </w:p>
          <w:p w14:paraId="49EA413D" w14:textId="77777777" w:rsidR="00E85C29" w:rsidRPr="00E85C29" w:rsidRDefault="00E85C29" w:rsidP="00E85C29">
            <w:pPr>
              <w:bidi w:val="0"/>
              <w:rPr>
                <w:rFonts w:eastAsia="Calibri"/>
                <w:sz w:val="20"/>
                <w:szCs w:val="20"/>
              </w:rPr>
            </w:pPr>
            <w:r w:rsidRPr="00E85C29">
              <w:rPr>
                <w:rFonts w:eastAsia="Calibri"/>
                <w:sz w:val="20"/>
                <w:szCs w:val="20"/>
              </w:rPr>
              <w:t xml:space="preserve"> </w:t>
            </w:r>
          </w:p>
          <w:p w14:paraId="3AD5941B" w14:textId="77777777" w:rsidR="00E85C29" w:rsidRPr="00E85C29" w:rsidRDefault="00E85C29" w:rsidP="00E85C29">
            <w:pPr>
              <w:bidi w:val="0"/>
              <w:rPr>
                <w:rFonts w:eastAsia="Calibri"/>
                <w:sz w:val="20"/>
                <w:szCs w:val="20"/>
              </w:rPr>
            </w:pPr>
          </w:p>
          <w:p w14:paraId="2E9FAC92" w14:textId="77777777" w:rsidR="00E85C29" w:rsidRPr="00E85C29" w:rsidRDefault="00E85C29" w:rsidP="00E85C29">
            <w:pPr>
              <w:bidi w:val="0"/>
              <w:rPr>
                <w:rFonts w:eastAsia="Calibri"/>
                <w:sz w:val="20"/>
                <w:szCs w:val="20"/>
              </w:rPr>
            </w:pPr>
            <w:r w:rsidRPr="00E85C29">
              <w:rPr>
                <w:rFonts w:eastAsia="Calibri"/>
                <w:sz w:val="20"/>
                <w:szCs w:val="20"/>
              </w:rPr>
              <w:t>Rituximab – CD19 B cell count: baseline</w:t>
            </w:r>
          </w:p>
          <w:p w14:paraId="3EAC31EF" w14:textId="77777777" w:rsidR="00E85C29" w:rsidRPr="00E85C29" w:rsidRDefault="00E85C29" w:rsidP="00E85C29">
            <w:pPr>
              <w:bidi w:val="0"/>
              <w:rPr>
                <w:rFonts w:eastAsia="Calibri"/>
                <w:sz w:val="20"/>
                <w:szCs w:val="20"/>
              </w:rPr>
            </w:pPr>
          </w:p>
          <w:p w14:paraId="6F046FF1" w14:textId="77777777" w:rsidR="00E85C29" w:rsidRPr="00E85C29" w:rsidRDefault="00E85C29" w:rsidP="00E85C29">
            <w:pPr>
              <w:bidi w:val="0"/>
              <w:rPr>
                <w:rFonts w:eastAsia="Calibri"/>
                <w:sz w:val="20"/>
                <w:szCs w:val="20"/>
              </w:rPr>
            </w:pPr>
          </w:p>
          <w:p w14:paraId="184773C1" w14:textId="77777777" w:rsidR="00E85C29" w:rsidRPr="00E85C29" w:rsidRDefault="00E85C29" w:rsidP="00E85C29">
            <w:pPr>
              <w:bidi w:val="0"/>
              <w:rPr>
                <w:rFonts w:eastAsia="Calibri"/>
                <w:sz w:val="20"/>
                <w:szCs w:val="20"/>
              </w:rPr>
            </w:pPr>
            <w:r w:rsidRPr="00E85C29">
              <w:rPr>
                <w:rFonts w:eastAsia="Calibri"/>
                <w:sz w:val="20"/>
                <w:szCs w:val="20"/>
              </w:rPr>
              <w:t>Statins: creatinine kinase (CK) – If on statins, every 6 months</w:t>
            </w:r>
          </w:p>
          <w:p w14:paraId="083068B1" w14:textId="77777777" w:rsidR="00E85C29" w:rsidRPr="00E85C29" w:rsidRDefault="00E85C29" w:rsidP="00E85C29">
            <w:pPr>
              <w:bidi w:val="0"/>
              <w:rPr>
                <w:rFonts w:eastAsia="Calibri"/>
                <w:sz w:val="20"/>
                <w:szCs w:val="20"/>
              </w:rPr>
            </w:pPr>
            <w:r w:rsidRPr="00E85C29">
              <w:rPr>
                <w:rFonts w:eastAsia="Calibri"/>
                <w:sz w:val="20"/>
                <w:szCs w:val="20"/>
              </w:rPr>
              <w:t xml:space="preserve"> Prolonged glucocorticoid therapy Conditional  </w:t>
            </w:r>
          </w:p>
          <w:p w14:paraId="442CFCE8" w14:textId="77777777" w:rsidR="00E85C29" w:rsidRPr="00E85C29" w:rsidRDefault="00E85C29" w:rsidP="00E85C29">
            <w:pPr>
              <w:bidi w:val="0"/>
              <w:rPr>
                <w:rFonts w:eastAsia="Calibri"/>
                <w:sz w:val="20"/>
                <w:szCs w:val="20"/>
              </w:rPr>
            </w:pPr>
          </w:p>
          <w:p w14:paraId="0CEF2960" w14:textId="77777777" w:rsidR="00E85C29" w:rsidRPr="00E85C29" w:rsidRDefault="00E85C29" w:rsidP="00E85C29">
            <w:pPr>
              <w:bidi w:val="0"/>
              <w:rPr>
                <w:rFonts w:eastAsia="Calibri"/>
                <w:sz w:val="20"/>
                <w:szCs w:val="20"/>
              </w:rPr>
            </w:pPr>
            <w:r w:rsidRPr="00E85C29">
              <w:rPr>
                <w:rFonts w:eastAsia="Calibri"/>
                <w:sz w:val="20"/>
                <w:szCs w:val="20"/>
              </w:rPr>
              <w:t>Ophthalmological examination for cataract</w:t>
            </w:r>
          </w:p>
          <w:p w14:paraId="4E12FA3A" w14:textId="77777777" w:rsidR="00E85C29" w:rsidRPr="00E85C29" w:rsidRDefault="00E85C29" w:rsidP="00E85C29">
            <w:pPr>
              <w:bidi w:val="0"/>
              <w:rPr>
                <w:rFonts w:eastAsia="Calibri"/>
                <w:sz w:val="20"/>
                <w:szCs w:val="20"/>
              </w:rPr>
            </w:pPr>
            <w:r w:rsidRPr="00E85C29">
              <w:rPr>
                <w:rFonts w:eastAsia="Calibri"/>
                <w:sz w:val="20"/>
                <w:szCs w:val="20"/>
              </w:rPr>
              <w:t xml:space="preserve">  and   intraocular pressure </w:t>
            </w:r>
          </w:p>
          <w:p w14:paraId="49165F4F" w14:textId="77777777" w:rsidR="00E85C29" w:rsidRPr="00E85C29" w:rsidRDefault="00E85C29" w:rsidP="00E85C29">
            <w:pPr>
              <w:bidi w:val="0"/>
              <w:rPr>
                <w:rFonts w:eastAsia="Calibri"/>
                <w:sz w:val="20"/>
                <w:szCs w:val="20"/>
              </w:rPr>
            </w:pPr>
            <w:r w:rsidRPr="00E85C29">
              <w:rPr>
                <w:rFonts w:eastAsia="Calibri"/>
                <w:sz w:val="20"/>
                <w:szCs w:val="20"/>
              </w:rPr>
              <w:t>Bone mineral density by lumbar DEXA</w:t>
            </w:r>
          </w:p>
        </w:tc>
        <w:tc>
          <w:tcPr>
            <w:tcW w:w="1507" w:type="dxa"/>
            <w:shd w:val="clear" w:color="auto" w:fill="FFFFFF"/>
          </w:tcPr>
          <w:p w14:paraId="7A53242D"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AUC after 4 weeks of treatment.</w:t>
            </w:r>
          </w:p>
          <w:p w14:paraId="629FC151"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p w14:paraId="25C81AB7"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 xml:space="preserve">1 month after the first dose (nadir) </w:t>
            </w:r>
          </w:p>
          <w:p w14:paraId="08B5B39A"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every 6 months</w:t>
            </w:r>
          </w:p>
          <w:p w14:paraId="3DB7DB9C"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Conditional</w:t>
            </w:r>
          </w:p>
        </w:tc>
        <w:tc>
          <w:tcPr>
            <w:tcW w:w="2561" w:type="dxa"/>
            <w:shd w:val="clear" w:color="auto" w:fill="FFFFFF"/>
          </w:tcPr>
          <w:p w14:paraId="5170C025"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Thereafter every 6–12 months or as appropriate.</w:t>
            </w:r>
          </w:p>
          <w:p w14:paraId="6D88286D"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p w14:paraId="1B83C766"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Every 1–3 months until B cell recovery</w:t>
            </w:r>
          </w:p>
          <w:p w14:paraId="298559D1"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p w14:paraId="7BD35E85"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every 6 months</w:t>
            </w:r>
          </w:p>
          <w:p w14:paraId="76DE0BF9"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p w14:paraId="3F7E52CF"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Conditional</w:t>
            </w:r>
          </w:p>
        </w:tc>
      </w:tr>
      <w:tr w:rsidR="00E85C29" w:rsidRPr="00E85C29" w14:paraId="5D11A1E6" w14:textId="77777777" w:rsidTr="00672A15">
        <w:trPr>
          <w:trHeight w:val="323"/>
        </w:trPr>
        <w:tc>
          <w:tcPr>
            <w:cnfStyle w:val="001000000000" w:firstRow="0" w:lastRow="0" w:firstColumn="1" w:lastColumn="0" w:oddVBand="0" w:evenVBand="0" w:oddHBand="0" w:evenHBand="0" w:firstRowFirstColumn="0" w:firstRowLastColumn="0" w:lastRowFirstColumn="0" w:lastRowLastColumn="0"/>
            <w:tcW w:w="5148" w:type="dxa"/>
            <w:shd w:val="clear" w:color="auto" w:fill="B8CCE4"/>
          </w:tcPr>
          <w:p w14:paraId="44781CD8" w14:textId="77777777" w:rsidR="00E85C29" w:rsidRPr="00E85C29" w:rsidRDefault="00E85C29" w:rsidP="00E85C29">
            <w:pPr>
              <w:bidi w:val="0"/>
              <w:rPr>
                <w:rFonts w:eastAsia="Calibri"/>
                <w:sz w:val="20"/>
                <w:szCs w:val="20"/>
              </w:rPr>
            </w:pPr>
            <w:r w:rsidRPr="00E85C29">
              <w:rPr>
                <w:rFonts w:eastAsia="Calibri"/>
                <w:sz w:val="20"/>
                <w:szCs w:val="20"/>
              </w:rPr>
              <w:t>Imaging</w:t>
            </w:r>
          </w:p>
        </w:tc>
        <w:tc>
          <w:tcPr>
            <w:tcW w:w="1507" w:type="dxa"/>
            <w:shd w:val="clear" w:color="auto" w:fill="B8CCE4"/>
          </w:tcPr>
          <w:p w14:paraId="4EF7644F"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tc>
        <w:tc>
          <w:tcPr>
            <w:tcW w:w="2561" w:type="dxa"/>
            <w:shd w:val="clear" w:color="auto" w:fill="B8CCE4"/>
          </w:tcPr>
          <w:p w14:paraId="03CFFC60"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tc>
      </w:tr>
      <w:tr w:rsidR="00E85C29" w:rsidRPr="00E85C29" w14:paraId="1C3D4C1D" w14:textId="77777777" w:rsidTr="00672A1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48" w:type="dxa"/>
            <w:shd w:val="clear" w:color="auto" w:fill="auto"/>
          </w:tcPr>
          <w:p w14:paraId="087CE926" w14:textId="77777777" w:rsidR="00E85C29" w:rsidRPr="00E85C29" w:rsidRDefault="00E85C29" w:rsidP="00E85C29">
            <w:pPr>
              <w:bidi w:val="0"/>
              <w:rPr>
                <w:rFonts w:eastAsia="Calibri"/>
                <w:sz w:val="20"/>
                <w:szCs w:val="20"/>
              </w:rPr>
            </w:pPr>
            <w:r w:rsidRPr="00E85C29">
              <w:rPr>
                <w:rFonts w:eastAsia="Calibri"/>
                <w:sz w:val="20"/>
                <w:szCs w:val="20"/>
              </w:rPr>
              <w:t xml:space="preserve">Renal ultrasound: renal echogenicity and size of kidneys </w:t>
            </w:r>
          </w:p>
          <w:p w14:paraId="3B08FC32" w14:textId="77777777" w:rsidR="00E85C29" w:rsidRPr="00E85C29" w:rsidRDefault="00E85C29" w:rsidP="00E85C29">
            <w:pPr>
              <w:bidi w:val="0"/>
              <w:rPr>
                <w:rFonts w:eastAsia="Calibri"/>
                <w:sz w:val="20"/>
                <w:szCs w:val="20"/>
              </w:rPr>
            </w:pPr>
          </w:p>
          <w:p w14:paraId="62BFD624" w14:textId="77777777" w:rsidR="00E85C29" w:rsidRPr="00E85C29" w:rsidRDefault="00E85C29" w:rsidP="00E85C29">
            <w:pPr>
              <w:jc w:val="right"/>
              <w:rPr>
                <w:rFonts w:eastAsia="Calibri"/>
                <w:sz w:val="20"/>
                <w:szCs w:val="20"/>
              </w:rPr>
            </w:pPr>
          </w:p>
        </w:tc>
        <w:tc>
          <w:tcPr>
            <w:tcW w:w="1507" w:type="dxa"/>
            <w:shd w:val="clear" w:color="auto" w:fill="auto"/>
          </w:tcPr>
          <w:p w14:paraId="748703F5" w14:textId="77777777" w:rsidR="00E85C29" w:rsidRPr="00E85C29" w:rsidRDefault="00E85C29" w:rsidP="00E85C29">
            <w:pPr>
              <w:bidi w:val="0"/>
              <w:ind w:left="-18" w:right="-18"/>
              <w:cnfStyle w:val="000000100000" w:firstRow="0" w:lastRow="0" w:firstColumn="0" w:lastColumn="0" w:oddVBand="0" w:evenVBand="0" w:oddHBand="1" w:evenHBand="0" w:firstRowFirstColumn="0" w:firstRowLastColumn="0" w:lastRowFirstColumn="0" w:lastRowLastColumn="0"/>
              <w:rPr>
                <w:rFonts w:ascii="Segoe UI Symbol" w:eastAsia="Calibri" w:hAnsi="Segoe UI Symbol" w:cs="Segoe UI Symbol"/>
                <w:sz w:val="20"/>
                <w:szCs w:val="20"/>
              </w:rPr>
            </w:pPr>
            <w:r w:rsidRPr="00E85C29">
              <w:rPr>
                <w:rFonts w:ascii="Segoe UI Symbol" w:eastAsia="Calibri" w:hAnsi="Segoe UI Symbol" w:cs="Segoe UI Symbol"/>
                <w:sz w:val="20"/>
                <w:szCs w:val="20"/>
              </w:rPr>
              <w:t>✓</w:t>
            </w:r>
          </w:p>
          <w:p w14:paraId="7AAFC8E2" w14:textId="77777777" w:rsidR="00E85C29" w:rsidRPr="00E85C29" w:rsidRDefault="00E85C29" w:rsidP="00E85C29">
            <w:pPr>
              <w:ind w:left="-18" w:right="-18"/>
              <w:jc w:val="right"/>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c>
          <w:tcPr>
            <w:tcW w:w="2561" w:type="dxa"/>
            <w:shd w:val="clear" w:color="auto" w:fill="auto"/>
          </w:tcPr>
          <w:p w14:paraId="44BA821C"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r w:rsidRPr="00E85C29">
              <w:rPr>
                <w:rFonts w:eastAsia="Calibri"/>
                <w:b/>
                <w:bCs/>
                <w:sz w:val="20"/>
                <w:szCs w:val="20"/>
              </w:rPr>
              <w:t xml:space="preserve">At presentation (mandatory prerenal   biopsy) </w:t>
            </w:r>
          </w:p>
          <w:p w14:paraId="421E3753" w14:textId="77777777" w:rsidR="00E85C29" w:rsidRPr="00E85C29" w:rsidRDefault="00E85C29" w:rsidP="00E85C29">
            <w:pPr>
              <w:jc w:val="right"/>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r>
      <w:tr w:rsidR="00E85C29" w:rsidRPr="00E85C29" w14:paraId="36611501" w14:textId="77777777" w:rsidTr="00672A15">
        <w:trPr>
          <w:trHeight w:val="2330"/>
        </w:trPr>
        <w:tc>
          <w:tcPr>
            <w:cnfStyle w:val="001000000000" w:firstRow="0" w:lastRow="0" w:firstColumn="1" w:lastColumn="0" w:oddVBand="0" w:evenVBand="0" w:oddHBand="0" w:evenHBand="0" w:firstRowFirstColumn="0" w:firstRowLastColumn="0" w:lastRowFirstColumn="0" w:lastRowLastColumn="0"/>
            <w:tcW w:w="5148" w:type="dxa"/>
            <w:shd w:val="clear" w:color="auto" w:fill="FFFFFF"/>
          </w:tcPr>
          <w:p w14:paraId="769DA9A8" w14:textId="77777777" w:rsidR="00E85C29" w:rsidRPr="00E85C29" w:rsidRDefault="00E85C29" w:rsidP="00E85C29">
            <w:pPr>
              <w:bidi w:val="0"/>
              <w:rPr>
                <w:rFonts w:eastAsia="Calibri"/>
                <w:sz w:val="20"/>
                <w:szCs w:val="20"/>
              </w:rPr>
            </w:pPr>
            <w:r w:rsidRPr="00E85C29">
              <w:rPr>
                <w:rFonts w:eastAsia="Calibri"/>
                <w:sz w:val="20"/>
                <w:szCs w:val="20"/>
              </w:rPr>
              <w:lastRenderedPageBreak/>
              <w:t xml:space="preserve">Ultrasound of abdomen &amp; pleural space (ascites, effusions, thrombosis)     </w:t>
            </w:r>
          </w:p>
          <w:p w14:paraId="198289EB" w14:textId="77777777" w:rsidR="00E85C29" w:rsidRPr="00E85C29" w:rsidRDefault="00E85C29" w:rsidP="00E85C29">
            <w:pPr>
              <w:bidi w:val="0"/>
              <w:rPr>
                <w:rFonts w:eastAsia="Calibri"/>
                <w:sz w:val="20"/>
                <w:szCs w:val="20"/>
              </w:rPr>
            </w:pPr>
            <w:r w:rsidRPr="00E85C29">
              <w:rPr>
                <w:rFonts w:eastAsia="Calibri"/>
                <w:sz w:val="20"/>
                <w:szCs w:val="20"/>
              </w:rPr>
              <w:t xml:space="preserve"> </w:t>
            </w:r>
          </w:p>
          <w:p w14:paraId="3FF1C7D3" w14:textId="77777777" w:rsidR="00E85C29" w:rsidRPr="00E85C29" w:rsidRDefault="00E85C29" w:rsidP="00E85C29">
            <w:pPr>
              <w:bidi w:val="0"/>
              <w:rPr>
                <w:rFonts w:eastAsia="Calibri"/>
                <w:sz w:val="20"/>
                <w:szCs w:val="20"/>
              </w:rPr>
            </w:pPr>
            <w:r w:rsidRPr="00E85C29">
              <w:rPr>
                <w:rFonts w:eastAsia="Calibri"/>
                <w:sz w:val="20"/>
                <w:szCs w:val="20"/>
              </w:rPr>
              <w:t xml:space="preserve">Cardiac ultrasound (left ventricular mass, effusions) </w:t>
            </w:r>
          </w:p>
          <w:p w14:paraId="398BC01F" w14:textId="77777777" w:rsidR="00E85C29" w:rsidRPr="00E85C29" w:rsidRDefault="00E85C29" w:rsidP="00E85C29">
            <w:pPr>
              <w:bidi w:val="0"/>
              <w:rPr>
                <w:rFonts w:eastAsia="Calibri"/>
                <w:sz w:val="20"/>
                <w:szCs w:val="20"/>
              </w:rPr>
            </w:pPr>
          </w:p>
          <w:p w14:paraId="41563044" w14:textId="77777777" w:rsidR="00E85C29" w:rsidRPr="00E85C29" w:rsidRDefault="00E85C29" w:rsidP="00E85C29">
            <w:pPr>
              <w:bidi w:val="0"/>
              <w:rPr>
                <w:rFonts w:eastAsia="Calibri"/>
                <w:sz w:val="20"/>
                <w:szCs w:val="20"/>
              </w:rPr>
            </w:pPr>
          </w:p>
          <w:p w14:paraId="228673BA" w14:textId="77777777" w:rsidR="00E85C29" w:rsidRPr="00E85C29" w:rsidRDefault="00E85C29" w:rsidP="00E85C29">
            <w:pPr>
              <w:bidi w:val="0"/>
              <w:rPr>
                <w:rFonts w:eastAsia="Calibri"/>
                <w:sz w:val="20"/>
                <w:szCs w:val="20"/>
              </w:rPr>
            </w:pPr>
            <w:r w:rsidRPr="00E85C29">
              <w:rPr>
                <w:rFonts w:eastAsia="Calibri"/>
                <w:sz w:val="20"/>
                <w:szCs w:val="20"/>
              </w:rPr>
              <w:t xml:space="preserve">Chest X-ray                                                                                                                       </w:t>
            </w:r>
          </w:p>
          <w:p w14:paraId="1B1263F0" w14:textId="77777777" w:rsidR="00E85C29" w:rsidRPr="00E85C29" w:rsidRDefault="00E85C29" w:rsidP="00E85C29">
            <w:pPr>
              <w:bidi w:val="0"/>
              <w:rPr>
                <w:rFonts w:eastAsia="Calibri"/>
                <w:sz w:val="20"/>
                <w:szCs w:val="20"/>
              </w:rPr>
            </w:pPr>
            <w:r w:rsidRPr="00E85C29">
              <w:rPr>
                <w:rFonts w:eastAsia="Calibri"/>
                <w:sz w:val="20"/>
                <w:szCs w:val="20"/>
              </w:rPr>
              <w:t xml:space="preserve">                                                                                                                                                      </w:t>
            </w:r>
          </w:p>
          <w:p w14:paraId="2B90BEF6" w14:textId="77777777" w:rsidR="00E85C29" w:rsidRPr="00E85C29" w:rsidRDefault="00E85C29" w:rsidP="00E85C29">
            <w:pPr>
              <w:bidi w:val="0"/>
              <w:rPr>
                <w:rFonts w:eastAsia="Calibri"/>
                <w:sz w:val="20"/>
                <w:szCs w:val="20"/>
              </w:rPr>
            </w:pPr>
            <w:r w:rsidRPr="00E85C29">
              <w:rPr>
                <w:rFonts w:eastAsia="Calibri"/>
                <w:sz w:val="20"/>
                <w:szCs w:val="20"/>
              </w:rPr>
              <w:t xml:space="preserve"> X-ray of the left wrist (bone age assessment</w:t>
            </w:r>
          </w:p>
          <w:p w14:paraId="6AFAB5DC" w14:textId="77777777" w:rsidR="00E85C29" w:rsidRPr="00E85C29" w:rsidRDefault="00E85C29" w:rsidP="00E85C29">
            <w:pPr>
              <w:bidi w:val="0"/>
              <w:rPr>
                <w:rFonts w:eastAsia="Calibri"/>
                <w:sz w:val="20"/>
                <w:szCs w:val="20"/>
              </w:rPr>
            </w:pPr>
            <w:r w:rsidRPr="00E85C29">
              <w:rPr>
                <w:rFonts w:eastAsia="Calibri"/>
                <w:sz w:val="20"/>
                <w:szCs w:val="20"/>
              </w:rPr>
              <w:t xml:space="preserve">       in children aged &gt; 5 years, mineralization)                     </w:t>
            </w:r>
          </w:p>
        </w:tc>
        <w:tc>
          <w:tcPr>
            <w:tcW w:w="1507" w:type="dxa"/>
            <w:shd w:val="clear" w:color="auto" w:fill="FFFFFF"/>
          </w:tcPr>
          <w:p w14:paraId="2F1FB89A" w14:textId="77777777" w:rsidR="00E85C29" w:rsidRPr="00E85C29" w:rsidRDefault="00E85C29" w:rsidP="00E85C29">
            <w:pPr>
              <w:bidi w:val="0"/>
              <w:ind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sz w:val="20"/>
                <w:szCs w:val="20"/>
              </w:rPr>
            </w:pPr>
            <w:r w:rsidRPr="00E85C29">
              <w:rPr>
                <w:rFonts w:ascii="Segoe UI Symbol" w:eastAsia="Calibri" w:hAnsi="Segoe UI Symbol" w:cs="Segoe UI Symbol"/>
                <w:sz w:val="20"/>
                <w:szCs w:val="20"/>
              </w:rPr>
              <w:t>✓</w:t>
            </w:r>
          </w:p>
          <w:p w14:paraId="6EF9B333"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sz w:val="20"/>
                <w:szCs w:val="20"/>
              </w:rPr>
            </w:pPr>
          </w:p>
          <w:p w14:paraId="7C5CA1C3"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sz w:val="20"/>
                <w:szCs w:val="20"/>
              </w:rPr>
            </w:pPr>
          </w:p>
          <w:p w14:paraId="08B6A7F6"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sz w:val="20"/>
                <w:szCs w:val="20"/>
              </w:rPr>
            </w:pPr>
            <w:r w:rsidRPr="00E85C29">
              <w:rPr>
                <w:rFonts w:ascii="Segoe UI Symbol" w:eastAsia="Calibri" w:hAnsi="Segoe UI Symbol" w:cs="Segoe UI Symbol"/>
                <w:sz w:val="20"/>
                <w:szCs w:val="20"/>
              </w:rPr>
              <w:t>✓</w:t>
            </w:r>
          </w:p>
          <w:p w14:paraId="62562E0E"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sz w:val="20"/>
                <w:szCs w:val="20"/>
              </w:rPr>
            </w:pPr>
          </w:p>
          <w:p w14:paraId="1F31B6F0"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sz w:val="20"/>
                <w:szCs w:val="20"/>
              </w:rPr>
            </w:pPr>
            <w:r w:rsidRPr="00E85C29">
              <w:rPr>
                <w:rFonts w:ascii="Segoe UI Symbol" w:eastAsia="Calibri" w:hAnsi="Segoe UI Symbol" w:cs="Segoe UI Symbol"/>
                <w:sz w:val="20"/>
                <w:szCs w:val="20"/>
              </w:rPr>
              <w:t>✓</w:t>
            </w:r>
          </w:p>
          <w:p w14:paraId="5143E596"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sz w:val="20"/>
                <w:szCs w:val="20"/>
              </w:rPr>
            </w:pPr>
          </w:p>
          <w:p w14:paraId="34CB8183"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sz w:val="20"/>
                <w:szCs w:val="20"/>
              </w:rPr>
              <w:t>✓</w:t>
            </w:r>
          </w:p>
        </w:tc>
        <w:tc>
          <w:tcPr>
            <w:tcW w:w="2561" w:type="dxa"/>
            <w:shd w:val="clear" w:color="auto" w:fill="FFFFFF"/>
          </w:tcPr>
          <w:p w14:paraId="7E344625"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as appropriate  </w:t>
            </w:r>
          </w:p>
          <w:p w14:paraId="3673E530"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172C4412"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w:t>
            </w:r>
          </w:p>
          <w:p w14:paraId="183C3405"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Every 12 months in hypertensive patients or in case of severe edema </w:t>
            </w:r>
          </w:p>
          <w:p w14:paraId="58A4503F"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Optional If indicated</w:t>
            </w:r>
          </w:p>
          <w:p w14:paraId="32A7761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w:t>
            </w:r>
          </w:p>
          <w:p w14:paraId="5D699409"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 Every 12 months or as appropriate                                                                                                                            </w:t>
            </w:r>
          </w:p>
        </w:tc>
      </w:tr>
      <w:tr w:rsidR="00E85C29" w:rsidRPr="00E85C29" w14:paraId="6F19FCC9" w14:textId="77777777" w:rsidTr="00672A1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48" w:type="dxa"/>
            <w:shd w:val="clear" w:color="auto" w:fill="B8CCE4"/>
          </w:tcPr>
          <w:p w14:paraId="456FAB3E" w14:textId="77777777" w:rsidR="00E85C29" w:rsidRPr="00E85C29" w:rsidRDefault="00E85C29" w:rsidP="00E85C29">
            <w:pPr>
              <w:bidi w:val="0"/>
              <w:rPr>
                <w:rFonts w:eastAsia="Calibri"/>
                <w:sz w:val="20"/>
                <w:szCs w:val="20"/>
              </w:rPr>
            </w:pPr>
            <w:r w:rsidRPr="00E85C29">
              <w:rPr>
                <w:rFonts w:eastAsia="Calibri"/>
                <w:sz w:val="20"/>
                <w:szCs w:val="20"/>
              </w:rPr>
              <w:t>Histopathological Renal Biopsy</w:t>
            </w:r>
          </w:p>
        </w:tc>
        <w:tc>
          <w:tcPr>
            <w:tcW w:w="1507" w:type="dxa"/>
            <w:shd w:val="clear" w:color="auto" w:fill="B8CCE4"/>
          </w:tcPr>
          <w:p w14:paraId="6809483B" w14:textId="77777777" w:rsidR="00E85C29" w:rsidRPr="00E85C29" w:rsidRDefault="00E85C29" w:rsidP="00E85C29">
            <w:pPr>
              <w:bidi w:val="0"/>
              <w:ind w:left="-18" w:right="-18"/>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c>
          <w:tcPr>
            <w:tcW w:w="2561" w:type="dxa"/>
            <w:shd w:val="clear" w:color="auto" w:fill="B8CCE4"/>
          </w:tcPr>
          <w:p w14:paraId="4724F00D"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r>
      <w:tr w:rsidR="00E85C29" w:rsidRPr="00E85C29" w14:paraId="7D979EE4" w14:textId="77777777" w:rsidTr="00672A15">
        <w:trPr>
          <w:trHeight w:val="1831"/>
        </w:trPr>
        <w:tc>
          <w:tcPr>
            <w:cnfStyle w:val="001000000000" w:firstRow="0" w:lastRow="0" w:firstColumn="1" w:lastColumn="0" w:oddVBand="0" w:evenVBand="0" w:oddHBand="0" w:evenHBand="0" w:firstRowFirstColumn="0" w:firstRowLastColumn="0" w:lastRowFirstColumn="0" w:lastRowLastColumn="0"/>
            <w:tcW w:w="5148" w:type="dxa"/>
            <w:shd w:val="clear" w:color="auto" w:fill="FFFFFF"/>
          </w:tcPr>
          <w:p w14:paraId="53039198" w14:textId="77777777" w:rsidR="00E85C29" w:rsidRPr="00E85C29" w:rsidRDefault="00E85C29" w:rsidP="00E85C29">
            <w:pPr>
              <w:bidi w:val="0"/>
              <w:rPr>
                <w:rFonts w:eastAsia="Calibri"/>
                <w:sz w:val="20"/>
                <w:szCs w:val="20"/>
              </w:rPr>
            </w:pPr>
          </w:p>
          <w:p w14:paraId="4AF567AF" w14:textId="77777777" w:rsidR="00E85C29" w:rsidRPr="00E85C29" w:rsidRDefault="00E85C29" w:rsidP="00E85C29">
            <w:pPr>
              <w:bidi w:val="0"/>
              <w:rPr>
                <w:rFonts w:eastAsia="Calibri"/>
                <w:sz w:val="20"/>
                <w:szCs w:val="20"/>
              </w:rPr>
            </w:pPr>
          </w:p>
        </w:tc>
        <w:tc>
          <w:tcPr>
            <w:tcW w:w="1507" w:type="dxa"/>
            <w:shd w:val="clear" w:color="auto" w:fill="FFFFFF"/>
          </w:tcPr>
          <w:p w14:paraId="43977AE4"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rsidRPr="00E85C29">
              <w:rPr>
                <w:rFonts w:ascii="Calibri" w:eastAsia="Calibri" w:hAnsi="Calibri" w:cs="Arial"/>
              </w:rPr>
              <w:t xml:space="preserve">                                     </w:t>
            </w:r>
            <w:r w:rsidRPr="00E85C29">
              <w:rPr>
                <w:rFonts w:ascii="Segoe UI Symbol" w:eastAsia="Calibri" w:hAnsi="Segoe UI Symbol" w:cs="Segoe UI Symbol"/>
              </w:rPr>
              <w:t>✓</w:t>
            </w:r>
            <w:r w:rsidRPr="00E85C29">
              <w:rPr>
                <w:rFonts w:ascii="Calibri" w:eastAsia="Calibri" w:hAnsi="Calibri" w:cs="Arial"/>
              </w:rPr>
              <w:t xml:space="preserve">                       </w:t>
            </w:r>
          </w:p>
          <w:p w14:paraId="25526043"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tc>
        <w:tc>
          <w:tcPr>
            <w:tcW w:w="2561" w:type="dxa"/>
            <w:shd w:val="clear" w:color="auto" w:fill="FFFFFF"/>
          </w:tcPr>
          <w:p w14:paraId="64439F3D"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E85C29">
              <w:rPr>
                <w:rFonts w:eastAsia="Calibri"/>
                <w:sz w:val="20"/>
                <w:szCs w:val="20"/>
              </w:rPr>
              <w:t>See text: at diagnosis, and subsequently if indicated: in case of unexplained drop in eGFR, unexplained increase in</w:t>
            </w:r>
          </w:p>
          <w:p w14:paraId="1140CA25"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E85C29">
              <w:rPr>
                <w:rFonts w:eastAsia="Calibri"/>
                <w:sz w:val="20"/>
                <w:szCs w:val="20"/>
              </w:rPr>
              <w:t xml:space="preserve">proteinuria, to rule out and/or to monitor CNI   nephrotoxicity during prolonged (&lt; 2 years) treatment. </w:t>
            </w:r>
          </w:p>
        </w:tc>
      </w:tr>
      <w:tr w:rsidR="00E85C29" w:rsidRPr="00E85C29" w14:paraId="010CEE7C" w14:textId="77777777" w:rsidTr="00672A1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148" w:type="dxa"/>
            <w:shd w:val="clear" w:color="auto" w:fill="B8CCE4"/>
          </w:tcPr>
          <w:p w14:paraId="3CB78C89" w14:textId="77777777" w:rsidR="00E85C29" w:rsidRPr="00E85C29" w:rsidRDefault="00E85C29" w:rsidP="00E85C29">
            <w:pPr>
              <w:bidi w:val="0"/>
              <w:rPr>
                <w:rFonts w:eastAsia="Calibri"/>
                <w:sz w:val="20"/>
                <w:szCs w:val="20"/>
              </w:rPr>
            </w:pPr>
            <w:r w:rsidRPr="00E85C29">
              <w:rPr>
                <w:rFonts w:eastAsia="Calibri"/>
                <w:sz w:val="20"/>
                <w:szCs w:val="20"/>
              </w:rPr>
              <w:t>Dietary assessment</w:t>
            </w:r>
          </w:p>
        </w:tc>
        <w:tc>
          <w:tcPr>
            <w:tcW w:w="1507" w:type="dxa"/>
            <w:shd w:val="clear" w:color="auto" w:fill="B8CCE4"/>
          </w:tcPr>
          <w:p w14:paraId="68973969"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c>
          <w:tcPr>
            <w:tcW w:w="2561" w:type="dxa"/>
            <w:shd w:val="clear" w:color="auto" w:fill="B8CCE4"/>
          </w:tcPr>
          <w:p w14:paraId="0C826297"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r>
      <w:tr w:rsidR="00E85C29" w:rsidRPr="00E85C29" w14:paraId="414C06AE" w14:textId="77777777" w:rsidTr="00672A15">
        <w:trPr>
          <w:trHeight w:val="895"/>
        </w:trPr>
        <w:tc>
          <w:tcPr>
            <w:cnfStyle w:val="001000000000" w:firstRow="0" w:lastRow="0" w:firstColumn="1" w:lastColumn="0" w:oddVBand="0" w:evenVBand="0" w:oddHBand="0" w:evenHBand="0" w:firstRowFirstColumn="0" w:firstRowLastColumn="0" w:lastRowFirstColumn="0" w:lastRowLastColumn="0"/>
            <w:tcW w:w="5148" w:type="dxa"/>
            <w:shd w:val="clear" w:color="auto" w:fill="FFFFFF"/>
          </w:tcPr>
          <w:p w14:paraId="6825C44A" w14:textId="77777777" w:rsidR="00E85C29" w:rsidRPr="00E85C29" w:rsidRDefault="00E85C29" w:rsidP="00E85C29">
            <w:pPr>
              <w:bidi w:val="0"/>
              <w:rPr>
                <w:rFonts w:eastAsia="Calibri"/>
                <w:sz w:val="20"/>
                <w:szCs w:val="20"/>
              </w:rPr>
            </w:pPr>
            <w:r w:rsidRPr="00E85C29">
              <w:rPr>
                <w:rFonts w:eastAsia="Calibri"/>
                <w:sz w:val="20"/>
                <w:szCs w:val="20"/>
              </w:rPr>
              <w:t xml:space="preserve">Dietician review and advice by a dietician </w:t>
            </w:r>
          </w:p>
          <w:p w14:paraId="0BE84266" w14:textId="77777777" w:rsidR="00E85C29" w:rsidRPr="00E85C29" w:rsidRDefault="00E85C29" w:rsidP="00E85C29">
            <w:pPr>
              <w:bidi w:val="0"/>
              <w:rPr>
                <w:rFonts w:eastAsia="Calibri"/>
                <w:sz w:val="20"/>
                <w:szCs w:val="20"/>
              </w:rPr>
            </w:pPr>
            <w:r w:rsidRPr="00E85C29">
              <w:rPr>
                <w:rFonts w:eastAsia="Calibri"/>
                <w:sz w:val="20"/>
                <w:szCs w:val="20"/>
              </w:rPr>
              <w:t>regarding salt, potassium, caloric and protein</w:t>
            </w:r>
          </w:p>
          <w:p w14:paraId="6847F721" w14:textId="77777777" w:rsidR="00E85C29" w:rsidRPr="00E85C29" w:rsidRDefault="00E85C29" w:rsidP="00E85C29">
            <w:pPr>
              <w:bidi w:val="0"/>
              <w:rPr>
                <w:rFonts w:eastAsia="Calibri"/>
                <w:sz w:val="20"/>
                <w:szCs w:val="20"/>
              </w:rPr>
            </w:pPr>
            <w:r w:rsidRPr="00E85C29">
              <w:rPr>
                <w:rFonts w:eastAsia="Calibri"/>
                <w:sz w:val="20"/>
                <w:szCs w:val="20"/>
              </w:rPr>
              <w:t xml:space="preserve"> intake   </w:t>
            </w:r>
          </w:p>
          <w:p w14:paraId="2BE0900C" w14:textId="77777777" w:rsidR="00E85C29" w:rsidRPr="00E85C29" w:rsidRDefault="00E85C29" w:rsidP="00E85C29">
            <w:pPr>
              <w:bidi w:val="0"/>
              <w:rPr>
                <w:rFonts w:eastAsia="Calibri"/>
                <w:sz w:val="20"/>
                <w:szCs w:val="20"/>
              </w:rPr>
            </w:pPr>
            <w:r w:rsidRPr="00E85C29">
              <w:rPr>
                <w:rFonts w:eastAsia="Calibri"/>
                <w:sz w:val="20"/>
                <w:szCs w:val="20"/>
              </w:rPr>
              <w:t xml:space="preserve">                                                    </w:t>
            </w:r>
          </w:p>
        </w:tc>
        <w:tc>
          <w:tcPr>
            <w:tcW w:w="1507" w:type="dxa"/>
            <w:shd w:val="clear" w:color="auto" w:fill="FFFFFF"/>
          </w:tcPr>
          <w:p w14:paraId="6102D4C7"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rPr>
              <w:t>✓</w:t>
            </w:r>
          </w:p>
        </w:tc>
        <w:tc>
          <w:tcPr>
            <w:tcW w:w="2561" w:type="dxa"/>
            <w:shd w:val="clear" w:color="auto" w:fill="FFFFFF"/>
          </w:tcPr>
          <w:p w14:paraId="44A9CDE1"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Every 3 months (more frequently in   infants, malnourished patients, and patients with CKD stage 4–5)                                                                                                                                                                                      </w:t>
            </w:r>
          </w:p>
        </w:tc>
      </w:tr>
      <w:tr w:rsidR="00E85C29" w:rsidRPr="00E85C29" w14:paraId="2B7EBE57" w14:textId="77777777" w:rsidTr="00672A1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148" w:type="dxa"/>
            <w:shd w:val="clear" w:color="auto" w:fill="B8CCE4"/>
          </w:tcPr>
          <w:p w14:paraId="1CA9282A" w14:textId="77777777" w:rsidR="00E85C29" w:rsidRPr="00E85C29" w:rsidRDefault="00E85C29" w:rsidP="00E85C29">
            <w:pPr>
              <w:bidi w:val="0"/>
              <w:rPr>
                <w:rFonts w:eastAsia="Calibri"/>
                <w:sz w:val="20"/>
                <w:szCs w:val="20"/>
              </w:rPr>
            </w:pPr>
            <w:r w:rsidRPr="00E85C29">
              <w:rPr>
                <w:rFonts w:eastAsia="Calibri"/>
                <w:sz w:val="20"/>
                <w:szCs w:val="20"/>
              </w:rPr>
              <w:t>Assessment for extrarenal involvement</w:t>
            </w:r>
          </w:p>
        </w:tc>
        <w:tc>
          <w:tcPr>
            <w:tcW w:w="1507" w:type="dxa"/>
            <w:shd w:val="clear" w:color="auto" w:fill="B8CCE4"/>
          </w:tcPr>
          <w:p w14:paraId="20769CC4" w14:textId="77777777" w:rsidR="00E85C29" w:rsidRPr="00E85C29" w:rsidRDefault="00E85C29" w:rsidP="00E85C29">
            <w:pPr>
              <w:bidi w:val="0"/>
              <w:ind w:left="-18" w:right="-18"/>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c>
          <w:tcPr>
            <w:tcW w:w="2561" w:type="dxa"/>
            <w:shd w:val="clear" w:color="auto" w:fill="B8CCE4"/>
          </w:tcPr>
          <w:p w14:paraId="0168C5F3" w14:textId="77777777" w:rsidR="00E85C29" w:rsidRPr="00E85C29" w:rsidRDefault="00E85C29" w:rsidP="00E85C29">
            <w:pPr>
              <w:bidi w:val="0"/>
              <w:cnfStyle w:val="000000100000" w:firstRow="0" w:lastRow="0" w:firstColumn="0" w:lastColumn="0" w:oddVBand="0" w:evenVBand="0" w:oddHBand="1" w:evenHBand="0" w:firstRowFirstColumn="0" w:firstRowLastColumn="0" w:lastRowFirstColumn="0" w:lastRowLastColumn="0"/>
              <w:rPr>
                <w:rFonts w:eastAsia="Calibri"/>
                <w:b/>
                <w:bCs/>
                <w:sz w:val="20"/>
                <w:szCs w:val="20"/>
              </w:rPr>
            </w:pPr>
          </w:p>
        </w:tc>
      </w:tr>
      <w:tr w:rsidR="00E85C29" w:rsidRPr="00E85C29" w14:paraId="4B5C008B" w14:textId="77777777" w:rsidTr="00672A15">
        <w:trPr>
          <w:trHeight w:val="2515"/>
        </w:trPr>
        <w:tc>
          <w:tcPr>
            <w:cnfStyle w:val="001000000000" w:firstRow="0" w:lastRow="0" w:firstColumn="1" w:lastColumn="0" w:oddVBand="0" w:evenVBand="0" w:oddHBand="0" w:evenHBand="0" w:firstRowFirstColumn="0" w:firstRowLastColumn="0" w:lastRowFirstColumn="0" w:lastRowLastColumn="0"/>
            <w:tcW w:w="5148" w:type="dxa"/>
            <w:shd w:val="clear" w:color="auto" w:fill="FFFFFF"/>
          </w:tcPr>
          <w:p w14:paraId="3858D8E3" w14:textId="77777777" w:rsidR="00E85C29" w:rsidRPr="00E85C29" w:rsidRDefault="00E85C29" w:rsidP="00E85C29">
            <w:pPr>
              <w:bidi w:val="0"/>
              <w:rPr>
                <w:rFonts w:eastAsia="Calibri"/>
                <w:sz w:val="20"/>
                <w:szCs w:val="20"/>
              </w:rPr>
            </w:pPr>
            <w:r w:rsidRPr="00E85C29">
              <w:rPr>
                <w:rFonts w:eastAsia="Calibri"/>
                <w:sz w:val="20"/>
                <w:szCs w:val="20"/>
              </w:rPr>
              <w:t>Depending on underlying disease and clinically evident extrarenal features: -</w:t>
            </w:r>
          </w:p>
          <w:p w14:paraId="4385542B" w14:textId="77777777" w:rsidR="00E85C29" w:rsidRPr="00E85C29" w:rsidRDefault="00E85C29" w:rsidP="00E85C29">
            <w:pPr>
              <w:bidi w:val="0"/>
              <w:rPr>
                <w:rFonts w:eastAsia="Calibri"/>
                <w:sz w:val="20"/>
                <w:szCs w:val="20"/>
              </w:rPr>
            </w:pPr>
            <w:r w:rsidRPr="00E85C29">
              <w:rPr>
                <w:rFonts w:eastAsia="Calibri"/>
                <w:sz w:val="20"/>
                <w:szCs w:val="20"/>
                <w:shd w:val="clear" w:color="auto" w:fill="FFFFFF"/>
              </w:rPr>
              <w:t xml:space="preserve"> Brain MRI</w:t>
            </w:r>
            <w:r w:rsidRPr="00E85C29">
              <w:rPr>
                <w:rFonts w:eastAsia="Calibri"/>
                <w:sz w:val="20"/>
                <w:szCs w:val="20"/>
              </w:rPr>
              <w:t xml:space="preserve"> </w:t>
            </w:r>
          </w:p>
          <w:p w14:paraId="6CFAD3BB" w14:textId="77777777" w:rsidR="00E85C29" w:rsidRPr="00E85C29" w:rsidRDefault="00E85C29" w:rsidP="00E85C29">
            <w:pPr>
              <w:bidi w:val="0"/>
              <w:ind w:left="360"/>
              <w:rPr>
                <w:rFonts w:eastAsia="Calibri"/>
                <w:sz w:val="20"/>
                <w:szCs w:val="20"/>
              </w:rPr>
            </w:pPr>
            <w:r w:rsidRPr="00E85C29">
              <w:rPr>
                <w:rFonts w:eastAsia="Calibri"/>
                <w:sz w:val="20"/>
                <w:szCs w:val="20"/>
              </w:rPr>
              <w:t>(e.g., microcephaly, psychomotor delay, mental retardation, myoclonic epilepsy, tremor, ataxia, hypotonia)</w:t>
            </w:r>
          </w:p>
          <w:p w14:paraId="6D998C2A" w14:textId="77777777" w:rsidR="00E85C29" w:rsidRPr="00E85C29" w:rsidRDefault="00E85C29" w:rsidP="00E85C29">
            <w:pPr>
              <w:bidi w:val="0"/>
              <w:rPr>
                <w:rFonts w:eastAsia="Calibri"/>
                <w:sz w:val="20"/>
                <w:szCs w:val="20"/>
              </w:rPr>
            </w:pPr>
            <w:r w:rsidRPr="00E85C29">
              <w:rPr>
                <w:rFonts w:eastAsia="Calibri"/>
                <w:sz w:val="20"/>
                <w:szCs w:val="20"/>
              </w:rPr>
              <w:t xml:space="preserve"> Interdisciplinary evaluation by Ophthalmology </w:t>
            </w:r>
          </w:p>
          <w:p w14:paraId="36A3225E" w14:textId="77777777" w:rsidR="00E85C29" w:rsidRPr="00E85C29" w:rsidRDefault="00E85C29" w:rsidP="00E85C29">
            <w:pPr>
              <w:bidi w:val="0"/>
              <w:ind w:left="450" w:hanging="360"/>
              <w:rPr>
                <w:rFonts w:eastAsia="Calibri"/>
                <w:sz w:val="20"/>
                <w:szCs w:val="20"/>
              </w:rPr>
            </w:pPr>
            <w:r w:rsidRPr="00E85C29">
              <w:rPr>
                <w:rFonts w:eastAsia="Calibri"/>
                <w:sz w:val="20"/>
                <w:szCs w:val="20"/>
              </w:rPr>
              <w:t xml:space="preserve">        (e.g., microcoria, cataract, glaucoma, optic atrophy, keratoconus, macular spots, lenticonus, nystagmus).</w:t>
            </w:r>
          </w:p>
          <w:p w14:paraId="2B6A3469" w14:textId="77777777" w:rsidR="00E85C29" w:rsidRPr="00E85C29" w:rsidRDefault="00E85C29" w:rsidP="00E85C29">
            <w:pPr>
              <w:bidi w:val="0"/>
              <w:rPr>
                <w:rFonts w:eastAsia="Calibri"/>
                <w:sz w:val="20"/>
                <w:szCs w:val="20"/>
                <w:shd w:val="clear" w:color="auto" w:fill="FFFFFF"/>
              </w:rPr>
            </w:pPr>
            <w:r w:rsidRPr="00E85C29">
              <w:rPr>
                <w:rFonts w:eastAsia="Calibri"/>
                <w:sz w:val="20"/>
                <w:szCs w:val="20"/>
                <w:shd w:val="clear" w:color="auto" w:fill="FFFFFF"/>
              </w:rPr>
              <w:t xml:space="preserve"> Cardiology  (</w:t>
            </w:r>
            <w:r w:rsidRPr="00E85C29">
              <w:rPr>
                <w:rFonts w:eastAsia="Calibri"/>
                <w:sz w:val="20"/>
                <w:szCs w:val="20"/>
              </w:rPr>
              <w:t xml:space="preserve">e.g., congenital heart defects)                           </w:t>
            </w:r>
          </w:p>
        </w:tc>
        <w:tc>
          <w:tcPr>
            <w:tcW w:w="1507" w:type="dxa"/>
            <w:shd w:val="clear" w:color="auto" w:fill="FFFFFF"/>
          </w:tcPr>
          <w:p w14:paraId="246965D4"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tl/>
              </w:rPr>
            </w:pPr>
            <w:r w:rsidRPr="00E85C29">
              <w:rPr>
                <w:rFonts w:ascii="Segoe UI Symbol" w:eastAsia="Calibri" w:hAnsi="Segoe UI Symbol" w:cs="Segoe UI Symbol"/>
              </w:rPr>
              <w:t>✓</w:t>
            </w:r>
          </w:p>
          <w:p w14:paraId="7A744D01"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tl/>
              </w:rPr>
            </w:pPr>
          </w:p>
          <w:p w14:paraId="5ABB1B25"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tl/>
              </w:rPr>
            </w:pPr>
            <w:r w:rsidRPr="00E85C29">
              <w:rPr>
                <w:rFonts w:ascii="Segoe UI Symbol" w:eastAsia="Calibri" w:hAnsi="Segoe UI Symbol" w:cs="Segoe UI Symbol"/>
              </w:rPr>
              <w:t>✓</w:t>
            </w:r>
          </w:p>
          <w:p w14:paraId="570D36FA"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tl/>
              </w:rPr>
            </w:pPr>
          </w:p>
          <w:p w14:paraId="3102FB2C"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cs="Segoe UI Symbol"/>
                <w:rtl/>
              </w:rPr>
            </w:pPr>
          </w:p>
          <w:p w14:paraId="5A6AA578" w14:textId="77777777" w:rsidR="00E85C29" w:rsidRPr="00E85C29" w:rsidRDefault="00E85C29" w:rsidP="00E85C29">
            <w:pPr>
              <w:bidi w:val="0"/>
              <w:ind w:left="-18" w:right="-18"/>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ascii="Segoe UI Symbol" w:eastAsia="Calibri" w:hAnsi="Segoe UI Symbol" w:cs="Segoe UI Symbol"/>
              </w:rPr>
              <w:t>✓</w:t>
            </w:r>
          </w:p>
        </w:tc>
        <w:tc>
          <w:tcPr>
            <w:tcW w:w="2561" w:type="dxa"/>
            <w:shd w:val="clear" w:color="auto" w:fill="FFFFFF"/>
          </w:tcPr>
          <w:p w14:paraId="485AC84E"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 xml:space="preserve">If indicated </w:t>
            </w:r>
          </w:p>
          <w:p w14:paraId="5DC33EC3"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264BA44B"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p>
          <w:p w14:paraId="3EEAA8D6" w14:textId="77777777" w:rsidR="00E85C29" w:rsidRPr="00E85C29" w:rsidRDefault="00E85C29" w:rsidP="00E85C29">
            <w:pPr>
              <w:bidi w:val="0"/>
              <w:cnfStyle w:val="000000000000" w:firstRow="0" w:lastRow="0" w:firstColumn="0" w:lastColumn="0" w:oddVBand="0" w:evenVBand="0" w:oddHBand="0" w:evenHBand="0" w:firstRowFirstColumn="0" w:firstRowLastColumn="0" w:lastRowFirstColumn="0" w:lastRowLastColumn="0"/>
              <w:rPr>
                <w:rFonts w:eastAsia="Calibri"/>
                <w:b/>
                <w:bCs/>
                <w:sz w:val="20"/>
                <w:szCs w:val="20"/>
              </w:rPr>
            </w:pPr>
            <w:r w:rsidRPr="00E85C29">
              <w:rPr>
                <w:rFonts w:eastAsia="Calibri"/>
                <w:b/>
                <w:bCs/>
                <w:sz w:val="20"/>
                <w:szCs w:val="20"/>
              </w:rPr>
              <w:t>If indicat</w:t>
            </w:r>
            <w:r w:rsidRPr="00E85C29">
              <w:rPr>
                <w:rFonts w:eastAsia="Calibri"/>
                <w:sz w:val="20"/>
                <w:szCs w:val="20"/>
              </w:rPr>
              <w:t>ed</w:t>
            </w:r>
          </w:p>
        </w:tc>
      </w:tr>
    </w:tbl>
    <w:p w14:paraId="238DB66E" w14:textId="77777777" w:rsidR="00E85C29" w:rsidRPr="00E85C29" w:rsidRDefault="00E85C29" w:rsidP="00E85C29">
      <w:pPr>
        <w:ind w:firstLine="0"/>
        <w:jc w:val="left"/>
        <w:rPr>
          <w:rFonts w:ascii="Calibri" w:eastAsia="Calibri" w:hAnsi="Calibri" w:cs="Arial"/>
          <w:b/>
          <w:bCs/>
        </w:rPr>
      </w:pPr>
      <w:r w:rsidRPr="00E85C29">
        <w:rPr>
          <w:rFonts w:ascii="Times New Roman" w:eastAsia="Calibri" w:hAnsi="Times New Roman" w:cs="Times New Roman"/>
          <w:b/>
          <w:bCs/>
          <w:color w:val="0070C0"/>
          <w:sz w:val="24"/>
          <w:szCs w:val="24"/>
        </w:rPr>
        <w:t xml:space="preserve">                                                                       Reproduced with permission from </w:t>
      </w:r>
      <w:r w:rsidRPr="00E85C29">
        <w:rPr>
          <w:rFonts w:ascii="Times New Roman" w:eastAsia="Times New Roman" w:hAnsi="Times New Roman" w:cs="Times New Roman"/>
          <w:b/>
          <w:bCs/>
          <w:color w:val="0070C0"/>
          <w:sz w:val="24"/>
          <w:szCs w:val="24"/>
        </w:rPr>
        <w:t>IPNA 2020.</w:t>
      </w:r>
    </w:p>
    <w:p w14:paraId="0E9C5CF3" w14:textId="77777777" w:rsidR="00E85C29" w:rsidRDefault="00E85C29" w:rsidP="00E85C29">
      <w:pPr>
        <w:spacing w:after="160" w:line="256" w:lineRule="auto"/>
        <w:ind w:firstLine="0"/>
        <w:jc w:val="left"/>
        <w:rPr>
          <w:rFonts w:ascii="Calibri" w:eastAsia="Calibri" w:hAnsi="Calibri" w:cs="Calibri"/>
          <w:b/>
          <w:bCs/>
          <w:sz w:val="32"/>
          <w:szCs w:val="32"/>
          <w:highlight w:val="yellow"/>
        </w:rPr>
      </w:pPr>
    </w:p>
    <w:p w14:paraId="1FA69897" w14:textId="77777777" w:rsidR="00582B82" w:rsidRDefault="00582B82" w:rsidP="00E85C29">
      <w:pPr>
        <w:spacing w:after="160" w:line="256" w:lineRule="auto"/>
        <w:ind w:firstLine="0"/>
        <w:jc w:val="left"/>
        <w:rPr>
          <w:rFonts w:ascii="Calibri" w:eastAsia="Calibri" w:hAnsi="Calibri" w:cs="Calibri"/>
          <w:b/>
          <w:bCs/>
          <w:sz w:val="32"/>
          <w:szCs w:val="32"/>
          <w:highlight w:val="yellow"/>
        </w:rPr>
      </w:pPr>
    </w:p>
    <w:p w14:paraId="5538A92D" w14:textId="77777777" w:rsidR="00582B82" w:rsidRDefault="00582B82" w:rsidP="00E85C29">
      <w:pPr>
        <w:spacing w:after="160" w:line="256" w:lineRule="auto"/>
        <w:ind w:firstLine="0"/>
        <w:jc w:val="left"/>
        <w:rPr>
          <w:rFonts w:ascii="Calibri" w:eastAsia="Calibri" w:hAnsi="Calibri" w:cs="Calibri"/>
          <w:b/>
          <w:bCs/>
          <w:sz w:val="32"/>
          <w:szCs w:val="32"/>
          <w:highlight w:val="yellow"/>
        </w:rPr>
      </w:pPr>
    </w:p>
    <w:p w14:paraId="79BF18C2" w14:textId="77777777" w:rsidR="00582B82" w:rsidRDefault="00582B82" w:rsidP="00E85C29">
      <w:pPr>
        <w:spacing w:after="160" w:line="256" w:lineRule="auto"/>
        <w:ind w:firstLine="0"/>
        <w:jc w:val="left"/>
        <w:rPr>
          <w:rFonts w:ascii="Calibri" w:eastAsia="Calibri" w:hAnsi="Calibri" w:cs="Calibri"/>
          <w:b/>
          <w:bCs/>
          <w:sz w:val="32"/>
          <w:szCs w:val="32"/>
          <w:highlight w:val="yellow"/>
        </w:rPr>
      </w:pPr>
    </w:p>
    <w:p w14:paraId="3325BC85" w14:textId="77777777" w:rsidR="00582B82" w:rsidRDefault="00582B82" w:rsidP="00E85C29">
      <w:pPr>
        <w:spacing w:after="160" w:line="256" w:lineRule="auto"/>
        <w:ind w:firstLine="0"/>
        <w:jc w:val="left"/>
        <w:rPr>
          <w:rFonts w:ascii="Calibri" w:eastAsia="Calibri" w:hAnsi="Calibri" w:cs="Calibri"/>
          <w:b/>
          <w:bCs/>
          <w:sz w:val="32"/>
          <w:szCs w:val="32"/>
          <w:highlight w:val="yellow"/>
        </w:rPr>
      </w:pPr>
    </w:p>
    <w:p w14:paraId="49BDFF7A" w14:textId="77777777" w:rsidR="00582B82" w:rsidRDefault="00582B82" w:rsidP="00E85C29">
      <w:pPr>
        <w:spacing w:after="160" w:line="256" w:lineRule="auto"/>
        <w:ind w:firstLine="0"/>
        <w:jc w:val="left"/>
        <w:rPr>
          <w:rFonts w:ascii="Calibri" w:eastAsia="Calibri" w:hAnsi="Calibri" w:cs="Calibri"/>
          <w:b/>
          <w:bCs/>
          <w:sz w:val="32"/>
          <w:szCs w:val="32"/>
          <w:highlight w:val="yellow"/>
        </w:rPr>
      </w:pPr>
    </w:p>
    <w:p w14:paraId="18FEB7E6" w14:textId="77777777" w:rsidR="00582B82" w:rsidRDefault="00582B82" w:rsidP="00E85C29">
      <w:pPr>
        <w:spacing w:after="160" w:line="256" w:lineRule="auto"/>
        <w:ind w:firstLine="0"/>
        <w:jc w:val="left"/>
        <w:rPr>
          <w:rFonts w:ascii="Calibri" w:eastAsia="Calibri" w:hAnsi="Calibri" w:cs="Calibri"/>
          <w:b/>
          <w:bCs/>
          <w:sz w:val="32"/>
          <w:szCs w:val="32"/>
          <w:highlight w:val="yellow"/>
        </w:rPr>
      </w:pPr>
    </w:p>
    <w:p w14:paraId="7EE1BE74" w14:textId="77777777" w:rsidR="00582B82" w:rsidRDefault="00582B82" w:rsidP="00582B82">
      <w:pPr>
        <w:ind w:firstLine="0"/>
        <w:jc w:val="left"/>
        <w:rPr>
          <w:rFonts w:ascii="Calibri" w:eastAsia="Calibri" w:hAnsi="Calibri" w:cs="Calibri"/>
          <w:b/>
          <w:bCs/>
          <w:sz w:val="32"/>
          <w:szCs w:val="32"/>
          <w:highlight w:val="yellow"/>
        </w:rPr>
      </w:pPr>
    </w:p>
    <w:p w14:paraId="3554686B" w14:textId="77777777" w:rsidR="00582B82" w:rsidRDefault="00582B82" w:rsidP="00582B82">
      <w:pPr>
        <w:ind w:firstLine="0"/>
        <w:jc w:val="left"/>
        <w:rPr>
          <w:rFonts w:ascii="Calibri" w:eastAsia="Calibri" w:hAnsi="Calibri" w:cs="Calibri"/>
          <w:b/>
          <w:bCs/>
          <w:sz w:val="32"/>
          <w:szCs w:val="32"/>
          <w:highlight w:val="yellow"/>
        </w:rPr>
      </w:pPr>
    </w:p>
    <w:p w14:paraId="0236A984" w14:textId="77777777" w:rsidR="00BB113C" w:rsidRDefault="00BB113C" w:rsidP="00BB113C">
      <w:pPr>
        <w:shd w:val="clear" w:color="auto" w:fill="D9D9D9"/>
        <w:ind w:firstLine="0"/>
        <w:jc w:val="center"/>
        <w:rPr>
          <w:rFonts w:ascii="Times New Roman" w:eastAsia="Calibri" w:hAnsi="Times New Roman" w:cs="Times New Roman"/>
          <w:b/>
          <w:bCs/>
          <w:sz w:val="24"/>
          <w:szCs w:val="24"/>
        </w:rPr>
      </w:pPr>
      <w:r w:rsidRPr="002C010B">
        <w:rPr>
          <w:rFonts w:ascii="Times New Roman" w:eastAsia="Calibri" w:hAnsi="Times New Roman" w:cs="Times New Roman"/>
          <w:b/>
          <w:bCs/>
          <w:sz w:val="24"/>
          <w:szCs w:val="24"/>
        </w:rPr>
        <w:lastRenderedPageBreak/>
        <w:t>EPG SRNS recommendations Summary</w:t>
      </w:r>
    </w:p>
    <w:p w14:paraId="0611DBDD" w14:textId="77777777" w:rsidR="00BB113C" w:rsidRPr="00E85C29" w:rsidRDefault="00BB113C" w:rsidP="00BB113C">
      <w:pPr>
        <w:shd w:val="clear" w:color="auto" w:fill="D9D9D9"/>
        <w:spacing w:after="160" w:line="256" w:lineRule="auto"/>
        <w:ind w:firstLine="0"/>
        <w:jc w:val="center"/>
        <w:rPr>
          <w:rFonts w:ascii="Times New Roman" w:eastAsia="Calibri" w:hAnsi="Times New Roman" w:cs="Times New Roman"/>
          <w:b/>
          <w:bCs/>
          <w:sz w:val="28"/>
          <w:szCs w:val="28"/>
        </w:rPr>
      </w:pPr>
      <w:r>
        <w:rPr>
          <w:rFonts w:ascii="Times New Roman" w:eastAsia="Calibri" w:hAnsi="Times New Roman" w:cs="Times New Roman"/>
          <w:b/>
          <w:bCs/>
          <w:sz w:val="24"/>
          <w:szCs w:val="24"/>
        </w:rPr>
        <w:t>Full statements at EPG website will be available after publication.</w:t>
      </w:r>
    </w:p>
    <w:p w14:paraId="762C5585" w14:textId="77777777" w:rsidR="00BB113C" w:rsidRPr="00E85C29" w:rsidRDefault="00BB113C" w:rsidP="00582B82">
      <w:pPr>
        <w:ind w:firstLine="0"/>
        <w:jc w:val="left"/>
        <w:rPr>
          <w:rFonts w:ascii="Calibri" w:eastAsia="Calibri" w:hAnsi="Calibri" w:cs="Calibri"/>
          <w:b/>
          <w:bCs/>
          <w:sz w:val="32"/>
          <w:szCs w:val="32"/>
          <w:highlight w:val="yellow"/>
        </w:rPr>
      </w:pPr>
    </w:p>
    <w:p w14:paraId="1DD9D4E8" w14:textId="77777777" w:rsidR="00E85C29" w:rsidRPr="00E85C29" w:rsidRDefault="00E85C29" w:rsidP="00E85C29">
      <w:pPr>
        <w:shd w:val="clear" w:color="auto" w:fill="F2F2F2"/>
        <w:ind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R.1: Definitions </w:t>
      </w:r>
    </w:p>
    <w:p w14:paraId="48C98DBD" w14:textId="77777777" w:rsidR="00E85C29" w:rsidRPr="00E85C29" w:rsidRDefault="00E85C29" w:rsidP="00E85C29">
      <w:pPr>
        <w:ind w:firstLine="0"/>
        <w:jc w:val="left"/>
        <w:rPr>
          <w:rFonts w:ascii="Times New Roman" w:eastAsia="Calibri" w:hAnsi="Times New Roman" w:cs="Times New Roman"/>
          <w:strike/>
          <w:color w:val="FF0000"/>
          <w:sz w:val="24"/>
          <w:szCs w:val="24"/>
        </w:rPr>
      </w:pPr>
      <w:r w:rsidRPr="00E85C29">
        <w:rPr>
          <w:rFonts w:ascii="Times New Roman" w:eastAsia="Calibri" w:hAnsi="Times New Roman" w:cs="Times New Roman"/>
          <w:sz w:val="24"/>
          <w:szCs w:val="24"/>
        </w:rPr>
        <w:t xml:space="preserve">We Recommend all   definitions included in </w:t>
      </w:r>
      <w:r w:rsidRPr="00E85C29">
        <w:rPr>
          <w:rFonts w:ascii="Times New Roman" w:eastAsia="Calibri" w:hAnsi="Times New Roman" w:cs="Times New Roman"/>
          <w:b/>
          <w:bCs/>
          <w:color w:val="0070C0"/>
          <w:sz w:val="24"/>
          <w:szCs w:val="24"/>
        </w:rPr>
        <w:t>Table (1) IPNA [</w:t>
      </w:r>
      <w:r w:rsidR="00A46DCE">
        <w:rPr>
          <w:rFonts w:ascii="Times New Roman" w:eastAsia="Calibri" w:hAnsi="Times New Roman" w:cs="Times New Roman"/>
          <w:b/>
          <w:bCs/>
          <w:color w:val="0070C0"/>
          <w:sz w:val="24"/>
          <w:szCs w:val="24"/>
        </w:rPr>
        <w:t xml:space="preserve">in </w:t>
      </w:r>
      <w:r w:rsidRPr="00E85C29">
        <w:rPr>
          <w:rFonts w:ascii="Times New Roman" w:eastAsia="Calibri" w:hAnsi="Times New Roman" w:cs="Times New Roman"/>
          <w:b/>
          <w:bCs/>
          <w:color w:val="0070C0"/>
          <w:sz w:val="24"/>
          <w:szCs w:val="24"/>
        </w:rPr>
        <w:t>appendix]</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sz w:val="24"/>
          <w:szCs w:val="24"/>
        </w:rPr>
        <w:t xml:space="preserve">related to Pediatric NS including SR, CNIs Resistant, MDR. </w:t>
      </w:r>
      <w:r w:rsidRPr="00E85C29">
        <w:rPr>
          <w:rFonts w:ascii="Times New Roman" w:eastAsia="Calibri" w:hAnsi="Times New Roman" w:cs="Times New Roman"/>
          <w:b/>
          <w:bCs/>
          <w:sz w:val="24"/>
          <w:szCs w:val="24"/>
        </w:rPr>
        <w:t>(A) IPNA</w:t>
      </w:r>
    </w:p>
    <w:p w14:paraId="774F741B" w14:textId="6733CE58" w:rsidR="00E85C29" w:rsidRPr="00E85C29" w:rsidRDefault="00E85C29" w:rsidP="00036FCF">
      <w:pPr>
        <w:shd w:val="clear" w:color="auto" w:fill="F2F2F2"/>
        <w:ind w:firstLine="0"/>
        <w:jc w:val="left"/>
        <w:rPr>
          <w:rFonts w:ascii="Times New Roman" w:eastAsia="Calibri" w:hAnsi="Times New Roman" w:cs="Times New Roman"/>
          <w:b/>
          <w:bCs/>
          <w:color w:val="0070C0"/>
          <w:sz w:val="24"/>
          <w:szCs w:val="24"/>
        </w:rPr>
      </w:pPr>
      <w:r w:rsidRPr="00E85C29">
        <w:rPr>
          <w:rFonts w:ascii="Times New Roman" w:eastAsia="Calibri" w:hAnsi="Times New Roman" w:cs="Times New Roman"/>
          <w:b/>
          <w:bCs/>
          <w:sz w:val="24"/>
          <w:szCs w:val="24"/>
        </w:rPr>
        <w:t>Initial Diagnosis workup of a child with SRNS</w:t>
      </w:r>
      <w:r w:rsidR="00036FCF">
        <w:rPr>
          <w:rFonts w:ascii="Times New Roman" w:eastAsia="Calibri" w:hAnsi="Times New Roman" w:cs="Times New Roman"/>
          <w:sz w:val="24"/>
          <w:szCs w:val="24"/>
        </w:rPr>
        <w:t xml:space="preserve"> </w:t>
      </w:r>
      <w:r w:rsidR="00036FCF" w:rsidRPr="00036FCF">
        <w:rPr>
          <w:rFonts w:ascii="Times New Roman" w:eastAsia="Calibri" w:hAnsi="Times New Roman" w:cs="Times New Roman"/>
          <w:color w:val="FF0000"/>
          <w:sz w:val="24"/>
          <w:szCs w:val="24"/>
          <w:highlight w:val="yellow"/>
        </w:rPr>
        <w:t>(</w:t>
      </w:r>
      <w:r w:rsidR="00582B82" w:rsidRPr="00036FCF">
        <w:rPr>
          <w:rFonts w:ascii="Times New Roman" w:eastAsia="Calibri" w:hAnsi="Times New Roman" w:cs="Times New Roman"/>
          <w:b/>
          <w:bCs/>
          <w:color w:val="FF0000"/>
          <w:sz w:val="24"/>
          <w:szCs w:val="24"/>
          <w:highlight w:val="yellow"/>
        </w:rPr>
        <w:t>EPG</w:t>
      </w:r>
      <w:r w:rsidR="00044CFA">
        <w:rPr>
          <w:rFonts w:ascii="Times New Roman" w:eastAsia="Calibri" w:hAnsi="Times New Roman" w:cs="Times New Roman"/>
          <w:b/>
          <w:bCs/>
          <w:color w:val="FF0000"/>
          <w:sz w:val="24"/>
          <w:szCs w:val="24"/>
          <w:highlight w:val="yellow"/>
        </w:rPr>
        <w:t xml:space="preserve"> </w:t>
      </w:r>
      <w:r w:rsidR="00044CFA">
        <w:rPr>
          <w:rFonts w:ascii="Times New Roman" w:eastAsia="Calibri" w:hAnsi="Times New Roman" w:cs="Times New Roman"/>
          <w:color w:val="FF0000"/>
          <w:sz w:val="24"/>
          <w:szCs w:val="24"/>
          <w:highlight w:val="yellow"/>
        </w:rPr>
        <w:t xml:space="preserve">- </w:t>
      </w:r>
      <w:r w:rsidRPr="00036FCF">
        <w:rPr>
          <w:rFonts w:ascii="Times New Roman" w:eastAsia="Calibri" w:hAnsi="Times New Roman" w:cs="Times New Roman"/>
          <w:b/>
          <w:bCs/>
          <w:color w:val="FF0000"/>
          <w:sz w:val="24"/>
          <w:szCs w:val="24"/>
          <w:highlight w:val="yellow"/>
        </w:rPr>
        <w:t>Fig 1</w:t>
      </w:r>
      <w:r w:rsidR="00044CFA">
        <w:rPr>
          <w:rFonts w:ascii="Times New Roman" w:eastAsia="Calibri" w:hAnsi="Times New Roman" w:cs="Times New Roman"/>
          <w:b/>
          <w:bCs/>
          <w:color w:val="FF0000"/>
          <w:sz w:val="24"/>
          <w:szCs w:val="24"/>
          <w:highlight w:val="yellow"/>
        </w:rPr>
        <w:t xml:space="preserve"> &amp; EPG -</w:t>
      </w:r>
      <w:r w:rsidR="00036FCF" w:rsidRPr="00036FCF">
        <w:rPr>
          <w:rFonts w:ascii="Times New Roman" w:eastAsia="Calibri" w:hAnsi="Times New Roman" w:cs="Times New Roman"/>
          <w:b/>
          <w:bCs/>
          <w:color w:val="FF0000"/>
          <w:sz w:val="24"/>
          <w:szCs w:val="24"/>
          <w:highlight w:val="yellow"/>
        </w:rPr>
        <w:t>Table 1</w:t>
      </w:r>
      <w:r w:rsidR="00036FCF">
        <w:rPr>
          <w:rFonts w:ascii="Times New Roman" w:eastAsia="Calibri" w:hAnsi="Times New Roman" w:cs="Times New Roman"/>
          <w:b/>
          <w:bCs/>
          <w:color w:val="FF0000"/>
          <w:sz w:val="24"/>
          <w:szCs w:val="24"/>
          <w:highlight w:val="yellow"/>
        </w:rPr>
        <w:t>)</w:t>
      </w:r>
      <w:r w:rsidRPr="00036FCF">
        <w:rPr>
          <w:rFonts w:ascii="Times New Roman" w:eastAsia="Calibri" w:hAnsi="Times New Roman" w:cs="Times New Roman"/>
          <w:b/>
          <w:bCs/>
          <w:color w:val="FF0000"/>
          <w:sz w:val="24"/>
          <w:szCs w:val="24"/>
          <w:highlight w:val="yellow"/>
        </w:rPr>
        <w:t xml:space="preserve">, </w:t>
      </w:r>
      <w:r w:rsidR="00036FCF">
        <w:rPr>
          <w:rFonts w:ascii="Times New Roman" w:eastAsia="Calibri" w:hAnsi="Times New Roman" w:cs="Times New Roman"/>
          <w:b/>
          <w:bCs/>
          <w:color w:val="FF0000"/>
          <w:sz w:val="24"/>
          <w:szCs w:val="24"/>
          <w:highlight w:val="yellow"/>
        </w:rPr>
        <w:t>(</w:t>
      </w:r>
      <w:r w:rsidRPr="00036FCF">
        <w:rPr>
          <w:rFonts w:ascii="Times New Roman" w:eastAsia="Calibri" w:hAnsi="Times New Roman" w:cs="Times New Roman"/>
          <w:b/>
          <w:bCs/>
          <w:color w:val="FF0000"/>
          <w:sz w:val="24"/>
          <w:szCs w:val="24"/>
          <w:highlight w:val="yellow"/>
        </w:rPr>
        <w:t xml:space="preserve">IPNA Table </w:t>
      </w:r>
      <w:r w:rsidR="00036FCF" w:rsidRPr="00036FCF">
        <w:rPr>
          <w:rFonts w:ascii="Times New Roman" w:eastAsia="Calibri" w:hAnsi="Times New Roman" w:cs="Times New Roman"/>
          <w:b/>
          <w:bCs/>
          <w:color w:val="FF0000"/>
          <w:sz w:val="24"/>
          <w:szCs w:val="24"/>
          <w:highlight w:val="yellow"/>
        </w:rPr>
        <w:t>2</w:t>
      </w:r>
      <w:proofErr w:type="gramStart"/>
      <w:r w:rsidR="00036FCF">
        <w:rPr>
          <w:rFonts w:ascii="Times New Roman" w:eastAsia="Calibri" w:hAnsi="Times New Roman" w:cs="Times New Roman"/>
          <w:b/>
          <w:bCs/>
          <w:color w:val="FF0000"/>
          <w:sz w:val="24"/>
          <w:szCs w:val="24"/>
        </w:rPr>
        <w:t>)</w:t>
      </w:r>
      <w:r w:rsidR="00582B82" w:rsidRPr="00036FCF">
        <w:rPr>
          <w:rFonts w:ascii="Times New Roman" w:eastAsia="Calibri" w:hAnsi="Times New Roman" w:cs="Times New Roman"/>
          <w:b/>
          <w:bCs/>
          <w:color w:val="FF0000"/>
          <w:sz w:val="24"/>
          <w:szCs w:val="24"/>
        </w:rPr>
        <w:t xml:space="preserve"> </w:t>
      </w:r>
      <w:r w:rsidR="00036FCF">
        <w:rPr>
          <w:rFonts w:ascii="Times New Roman" w:eastAsia="Calibri" w:hAnsi="Times New Roman" w:cs="Times New Roman"/>
          <w:b/>
          <w:bCs/>
          <w:color w:val="FF0000"/>
          <w:sz w:val="24"/>
          <w:szCs w:val="24"/>
        </w:rPr>
        <w:t xml:space="preserve"> </w:t>
      </w:r>
      <w:r w:rsidR="00582B82">
        <w:rPr>
          <w:rFonts w:ascii="Times New Roman" w:eastAsia="Calibri" w:hAnsi="Times New Roman" w:cs="Times New Roman"/>
          <w:b/>
          <w:bCs/>
          <w:color w:val="0070C0"/>
          <w:sz w:val="24"/>
          <w:szCs w:val="24"/>
        </w:rPr>
        <w:t>(</w:t>
      </w:r>
      <w:proofErr w:type="gramEnd"/>
      <w:r w:rsidR="00582B82">
        <w:rPr>
          <w:rFonts w:ascii="Times New Roman" w:eastAsia="Calibri" w:hAnsi="Times New Roman" w:cs="Times New Roman"/>
          <w:b/>
          <w:bCs/>
          <w:color w:val="0070C0"/>
          <w:sz w:val="24"/>
          <w:szCs w:val="24"/>
        </w:rPr>
        <w:t>in appendix)</w:t>
      </w:r>
    </w:p>
    <w:p w14:paraId="3E2637F4" w14:textId="28A580E6" w:rsidR="00E85C29" w:rsidRPr="00E85C29" w:rsidRDefault="00E85C29" w:rsidP="00036FCF">
      <w:pPr>
        <w:ind w:left="90" w:firstLine="0"/>
        <w:rPr>
          <w:rFonts w:ascii="Times New Roman" w:eastAsia="Calibri" w:hAnsi="Times New Roman" w:cs="Times New Roman"/>
          <w:b/>
          <w:bCs/>
          <w:color w:val="0070C0"/>
          <w:sz w:val="24"/>
          <w:szCs w:val="24"/>
        </w:rPr>
      </w:pPr>
      <w:r w:rsidRPr="00E85C29">
        <w:rPr>
          <w:rFonts w:ascii="Times New Roman" w:eastAsia="Calibri" w:hAnsi="Times New Roman" w:cs="Times New Roman"/>
          <w:b/>
          <w:bCs/>
          <w:sz w:val="24"/>
          <w:szCs w:val="24"/>
        </w:rPr>
        <w:t>R 2 .1(A):</w:t>
      </w:r>
      <w:r w:rsidRPr="00E85C29">
        <w:rPr>
          <w:rFonts w:ascii="Times New Roman" w:eastAsia="Calibri" w:hAnsi="Times New Roman" w:cs="Times New Roman"/>
          <w:sz w:val="24"/>
          <w:szCs w:val="24"/>
        </w:rPr>
        <w:t xml:space="preserve"> We recommend </w:t>
      </w:r>
      <w:r w:rsidRPr="00E85C29">
        <w:rPr>
          <w:rFonts w:ascii="Times New Roman" w:eastAsia="Calibri" w:hAnsi="Times New Roman" w:cs="Times New Roman"/>
          <w:b/>
          <w:bCs/>
          <w:sz w:val="24"/>
          <w:szCs w:val="24"/>
        </w:rPr>
        <w:t>clinical assessment</w:t>
      </w:r>
      <w:r w:rsidRPr="00E85C29">
        <w:rPr>
          <w:rFonts w:ascii="Times New Roman" w:eastAsia="Calibri" w:hAnsi="Times New Roman" w:cs="Times New Roman"/>
          <w:sz w:val="24"/>
          <w:szCs w:val="24"/>
        </w:rPr>
        <w:t xml:space="preserve"> to include </w:t>
      </w:r>
      <w:r w:rsidRPr="00E85C29">
        <w:rPr>
          <w:rFonts w:ascii="Times New Roman" w:eastAsia="Calibri" w:hAnsi="Times New Roman" w:cs="Times New Roman"/>
          <w:b/>
          <w:bCs/>
          <w:sz w:val="24"/>
          <w:szCs w:val="24"/>
        </w:rPr>
        <w:t>family</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history</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for renal and extra-renal manifestations</w:t>
      </w:r>
      <w:r w:rsidRPr="00E85C29">
        <w:rPr>
          <w:rFonts w:ascii="Times New Roman" w:eastAsia="Calibri" w:hAnsi="Times New Roman" w:cs="Times New Roman"/>
          <w:sz w:val="24"/>
          <w:szCs w:val="24"/>
        </w:rPr>
        <w:t>, consanguinity</w:t>
      </w:r>
      <w:r w:rsidRPr="00E85C29">
        <w:rPr>
          <w:rFonts w:ascii="Times New Roman" w:eastAsia="Calibri" w:hAnsi="Times New Roman" w:cs="Times New Roman"/>
          <w:b/>
          <w:bCs/>
          <w:sz w:val="24"/>
          <w:szCs w:val="24"/>
        </w:rPr>
        <w:t>,</w:t>
      </w:r>
      <w:r w:rsidRPr="00E85C29">
        <w:rPr>
          <w:rFonts w:ascii="Times New Roman" w:eastAsia="Calibri" w:hAnsi="Times New Roman" w:cs="Times New Roman"/>
          <w:sz w:val="24"/>
          <w:szCs w:val="24"/>
        </w:rPr>
        <w:t xml:space="preserve"> patient</w:t>
      </w:r>
      <w:r w:rsidRPr="00E85C29">
        <w:rPr>
          <w:rFonts w:ascii="Times New Roman" w:eastAsia="Calibri" w:hAnsi="Times New Roman" w:cs="Times New Roman"/>
          <w:b/>
          <w:bCs/>
          <w:sz w:val="24"/>
          <w:szCs w:val="24"/>
        </w:rPr>
        <w:t xml:space="preserve"> age</w:t>
      </w:r>
      <w:r w:rsidRPr="00E85C29">
        <w:rPr>
          <w:rFonts w:ascii="Times New Roman" w:eastAsia="Calibri" w:hAnsi="Times New Roman" w:cs="Times New Roman"/>
          <w:sz w:val="24"/>
          <w:szCs w:val="24"/>
        </w:rPr>
        <w:t xml:space="preserve"> at onset of the disease, pattern of </w:t>
      </w:r>
      <w:r w:rsidRPr="00E85C29">
        <w:rPr>
          <w:rFonts w:ascii="Times New Roman" w:eastAsia="Calibri" w:hAnsi="Times New Roman" w:cs="Times New Roman"/>
          <w:b/>
          <w:bCs/>
          <w:sz w:val="24"/>
          <w:szCs w:val="24"/>
        </w:rPr>
        <w:t>response to steroid therapy</w:t>
      </w:r>
      <w:r w:rsidRPr="00E85C29">
        <w:rPr>
          <w:rFonts w:ascii="Times New Roman" w:eastAsia="Calibri" w:hAnsi="Times New Roman" w:cs="Times New Roman"/>
          <w:sz w:val="24"/>
          <w:szCs w:val="24"/>
        </w:rPr>
        <w:t xml:space="preserve"> if already initiated </w:t>
      </w:r>
      <w:r w:rsidRPr="00E85C29">
        <w:rPr>
          <w:rFonts w:ascii="Times New Roman" w:eastAsia="Calibri" w:hAnsi="Times New Roman" w:cs="Times New Roman"/>
          <w:b/>
          <w:bCs/>
          <w:sz w:val="24"/>
          <w:szCs w:val="24"/>
        </w:rPr>
        <w:t xml:space="preserve">(grade A, strong recommendation). </w:t>
      </w:r>
      <w:r w:rsidRPr="00E85C29">
        <w:rPr>
          <w:rFonts w:ascii="Times New Roman" w:eastAsia="Calibri" w:hAnsi="Times New Roman" w:cs="Times New Roman"/>
          <w:b/>
          <w:bCs/>
          <w:color w:val="0070C0"/>
          <w:sz w:val="24"/>
          <w:szCs w:val="24"/>
        </w:rPr>
        <w:t>(IPNA Table</w:t>
      </w:r>
      <w:r w:rsidR="00A46DCE">
        <w:rPr>
          <w:rFonts w:ascii="Times New Roman" w:eastAsia="Calibri" w:hAnsi="Times New Roman" w:cs="Times New Roman"/>
          <w:b/>
          <w:bCs/>
          <w:color w:val="0070C0"/>
          <w:sz w:val="24"/>
          <w:szCs w:val="24"/>
        </w:rPr>
        <w:t xml:space="preserve"> 2</w:t>
      </w:r>
      <w:r w:rsidR="00036FCF">
        <w:rPr>
          <w:rFonts w:ascii="Times New Roman" w:eastAsia="Calibri" w:hAnsi="Times New Roman" w:cs="Times New Roman"/>
          <w:b/>
          <w:bCs/>
          <w:color w:val="0070C0"/>
          <w:sz w:val="24"/>
          <w:szCs w:val="24"/>
        </w:rPr>
        <w:t xml:space="preserve"> </w:t>
      </w:r>
      <w:r w:rsidR="0086455B">
        <w:rPr>
          <w:rFonts w:ascii="Times New Roman" w:eastAsia="Calibri" w:hAnsi="Times New Roman" w:cs="Times New Roman"/>
          <w:b/>
          <w:bCs/>
          <w:color w:val="0070C0"/>
          <w:sz w:val="24"/>
          <w:szCs w:val="24"/>
        </w:rPr>
        <w:t>appendix)</w:t>
      </w:r>
      <w:r w:rsidRPr="00E85C29">
        <w:rPr>
          <w:rFonts w:ascii="Times New Roman" w:eastAsia="Calibri" w:hAnsi="Times New Roman" w:cs="Times New Roman"/>
          <w:b/>
          <w:bCs/>
          <w:color w:val="0070C0"/>
          <w:sz w:val="24"/>
          <w:szCs w:val="24"/>
        </w:rPr>
        <w:t xml:space="preserve"> </w:t>
      </w:r>
      <w:proofErr w:type="gramStart"/>
      <w:r w:rsidRPr="00E85C29">
        <w:rPr>
          <w:rFonts w:ascii="Times New Roman" w:eastAsia="Calibri" w:hAnsi="Times New Roman" w:cs="Times New Roman"/>
          <w:b/>
          <w:bCs/>
          <w:color w:val="0070C0"/>
          <w:sz w:val="24"/>
          <w:szCs w:val="24"/>
        </w:rPr>
        <w:t xml:space="preserve">and  </w:t>
      </w:r>
      <w:r w:rsidR="00036FCF" w:rsidRPr="00036FCF">
        <w:rPr>
          <w:rFonts w:ascii="Times New Roman" w:eastAsia="Calibri" w:hAnsi="Times New Roman" w:cs="Times New Roman"/>
          <w:color w:val="FF0000"/>
          <w:sz w:val="24"/>
          <w:szCs w:val="24"/>
          <w:highlight w:val="yellow"/>
        </w:rPr>
        <w:t>(</w:t>
      </w:r>
      <w:proofErr w:type="gramEnd"/>
      <w:r w:rsidR="00036FCF" w:rsidRPr="00036FCF">
        <w:rPr>
          <w:rFonts w:ascii="Times New Roman" w:eastAsia="Calibri" w:hAnsi="Times New Roman" w:cs="Times New Roman"/>
          <w:b/>
          <w:bCs/>
          <w:color w:val="FF0000"/>
          <w:sz w:val="24"/>
          <w:szCs w:val="24"/>
          <w:highlight w:val="yellow"/>
        </w:rPr>
        <w:t>EPG</w:t>
      </w:r>
      <w:r w:rsidR="00044CFA">
        <w:rPr>
          <w:rFonts w:ascii="Times New Roman" w:eastAsia="Calibri" w:hAnsi="Times New Roman" w:cs="Times New Roman"/>
          <w:b/>
          <w:bCs/>
          <w:color w:val="FF0000"/>
          <w:sz w:val="24"/>
          <w:szCs w:val="24"/>
          <w:highlight w:val="yellow"/>
        </w:rPr>
        <w:t xml:space="preserve"> </w:t>
      </w:r>
      <w:r w:rsidR="00044CFA">
        <w:rPr>
          <w:rFonts w:ascii="Times New Roman" w:eastAsia="Calibri" w:hAnsi="Times New Roman" w:cs="Times New Roman"/>
          <w:color w:val="FF0000"/>
          <w:sz w:val="24"/>
          <w:szCs w:val="24"/>
          <w:highlight w:val="yellow"/>
        </w:rPr>
        <w:t>-</w:t>
      </w:r>
      <w:r w:rsidR="00036FCF" w:rsidRPr="00036FCF">
        <w:rPr>
          <w:rFonts w:ascii="Times New Roman" w:eastAsia="Calibri" w:hAnsi="Times New Roman" w:cs="Times New Roman"/>
          <w:b/>
          <w:bCs/>
          <w:color w:val="FF0000"/>
          <w:sz w:val="24"/>
          <w:szCs w:val="24"/>
          <w:highlight w:val="yellow"/>
        </w:rPr>
        <w:t>Fig 1 &amp; EPG Table 1</w:t>
      </w:r>
      <w:r w:rsidR="00036FCF">
        <w:rPr>
          <w:rFonts w:ascii="Times New Roman" w:eastAsia="Calibri" w:hAnsi="Times New Roman" w:cs="Times New Roman"/>
          <w:b/>
          <w:bCs/>
          <w:color w:val="FF0000"/>
          <w:sz w:val="24"/>
          <w:szCs w:val="24"/>
          <w:highlight w:val="yellow"/>
        </w:rPr>
        <w:t>)</w:t>
      </w:r>
    </w:p>
    <w:p w14:paraId="5B3D6720"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2.1(B):</w:t>
      </w:r>
      <w:r w:rsidRPr="00E85C29">
        <w:rPr>
          <w:rFonts w:ascii="Times New Roman" w:eastAsia="Calibri" w:hAnsi="Times New Roman" w:cs="Times New Roman"/>
          <w:sz w:val="24"/>
          <w:szCs w:val="24"/>
        </w:rPr>
        <w:t xml:space="preserve"> We recommend</w:t>
      </w:r>
      <w:r w:rsidRPr="00E85C29">
        <w:rPr>
          <w:rFonts w:ascii="Times New Roman" w:eastAsia="Calibri" w:hAnsi="Times New Roman" w:cs="Times New Roman"/>
          <w:b/>
          <w:bCs/>
          <w:sz w:val="24"/>
          <w:szCs w:val="24"/>
        </w:rPr>
        <w:t xml:space="preserve"> careful physical examination</w:t>
      </w:r>
      <w:r w:rsidRPr="00E85C29">
        <w:rPr>
          <w:rFonts w:ascii="Times New Roman" w:eastAsia="Calibri" w:hAnsi="Times New Roman" w:cs="Times New Roman"/>
          <w:sz w:val="24"/>
          <w:szCs w:val="24"/>
        </w:rPr>
        <w:t xml:space="preserve"> of the patient including search for extra-renal manifestations, primary causes drugs, infections, autoimmune diseases </w:t>
      </w:r>
      <w:r w:rsidRPr="00E85C29">
        <w:rPr>
          <w:rFonts w:ascii="Times New Roman" w:eastAsia="Calibri" w:hAnsi="Times New Roman" w:cs="Times New Roman"/>
          <w:b/>
          <w:bCs/>
          <w:color w:val="0070C0"/>
          <w:sz w:val="24"/>
          <w:szCs w:val="24"/>
        </w:rPr>
        <w:t>(</w:t>
      </w:r>
      <w:r w:rsidR="00A46DCE">
        <w:rPr>
          <w:rFonts w:ascii="Times New Roman" w:eastAsia="Calibri" w:hAnsi="Times New Roman" w:cs="Times New Roman"/>
          <w:b/>
          <w:bCs/>
          <w:color w:val="0070C0"/>
          <w:sz w:val="24"/>
          <w:szCs w:val="24"/>
        </w:rPr>
        <w:t xml:space="preserve">IPNA </w:t>
      </w:r>
      <w:r w:rsidRPr="00E85C29">
        <w:rPr>
          <w:rFonts w:ascii="Times New Roman" w:eastAsia="Calibri" w:hAnsi="Times New Roman" w:cs="Times New Roman"/>
          <w:b/>
          <w:bCs/>
          <w:color w:val="0070C0"/>
          <w:sz w:val="24"/>
          <w:szCs w:val="24"/>
        </w:rPr>
        <w:t>Table 2)</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b/>
          <w:bCs/>
          <w:sz w:val="24"/>
          <w:szCs w:val="24"/>
        </w:rPr>
        <w:t>(grade A, strong recommendation).</w:t>
      </w:r>
      <w:r w:rsidRPr="00E85C29">
        <w:rPr>
          <w:rFonts w:ascii="Times New Roman" w:eastAsia="Calibri" w:hAnsi="Times New Roman" w:cs="Times New Roman"/>
          <w:sz w:val="24"/>
          <w:szCs w:val="24"/>
        </w:rPr>
        <w:t xml:space="preserve"> Identify high-Risk patients with severe edema, hypertension, low GFR.    </w:t>
      </w:r>
      <w:r w:rsidRPr="00E85C29">
        <w:rPr>
          <w:rFonts w:ascii="Times New Roman" w:eastAsia="Calibri" w:hAnsi="Times New Roman" w:cs="Times New Roman"/>
          <w:b/>
          <w:bCs/>
          <w:sz w:val="24"/>
          <w:szCs w:val="24"/>
        </w:rPr>
        <w:t>(A) IPNA</w:t>
      </w:r>
      <w:r w:rsidRPr="00E85C29">
        <w:rPr>
          <w:rFonts w:ascii="Times New Roman" w:eastAsia="Calibri" w:hAnsi="Times New Roman" w:cs="Times New Roman"/>
          <w:sz w:val="24"/>
          <w:szCs w:val="24"/>
        </w:rPr>
        <w:t xml:space="preserve"> </w:t>
      </w:r>
    </w:p>
    <w:p w14:paraId="5DAA2E82" w14:textId="704EBB36" w:rsidR="00E85C29" w:rsidRPr="00E85C29" w:rsidRDefault="00E85C29" w:rsidP="00D477E6">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R.2.2 (A):</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Extended laboratory investigations</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color w:val="0070C0"/>
          <w:sz w:val="24"/>
          <w:szCs w:val="24"/>
        </w:rPr>
        <w:t>(B)</w:t>
      </w:r>
      <w:r w:rsidR="00A46DCE">
        <w:rPr>
          <w:rFonts w:ascii="Times New Roman" w:eastAsia="Calibri" w:hAnsi="Times New Roman" w:cs="Times New Roman"/>
          <w:b/>
          <w:bCs/>
          <w:color w:val="0070C0"/>
          <w:sz w:val="24"/>
          <w:szCs w:val="24"/>
        </w:rPr>
        <w:t xml:space="preserve"> (</w:t>
      </w:r>
      <w:r w:rsidRPr="00E85C29">
        <w:rPr>
          <w:rFonts w:ascii="Times New Roman" w:eastAsia="Calibri" w:hAnsi="Times New Roman" w:cs="Times New Roman"/>
          <w:b/>
          <w:bCs/>
          <w:color w:val="0070C0"/>
          <w:sz w:val="24"/>
          <w:szCs w:val="24"/>
        </w:rPr>
        <w:t>IPNA</w:t>
      </w:r>
      <w:r w:rsidR="00A46DCE">
        <w:rPr>
          <w:rFonts w:ascii="Times New Roman" w:eastAsia="Calibri" w:hAnsi="Times New Roman" w:cs="Times New Roman"/>
          <w:b/>
          <w:bCs/>
          <w:color w:val="0070C0"/>
          <w:sz w:val="24"/>
          <w:szCs w:val="24"/>
        </w:rPr>
        <w:t xml:space="preserve"> </w:t>
      </w:r>
      <w:r w:rsidR="00A46DCE" w:rsidRPr="00E85C29">
        <w:rPr>
          <w:rFonts w:ascii="Times New Roman" w:eastAsia="Calibri" w:hAnsi="Times New Roman" w:cs="Times New Roman"/>
          <w:b/>
          <w:bCs/>
          <w:color w:val="0070C0"/>
          <w:sz w:val="24"/>
          <w:szCs w:val="24"/>
        </w:rPr>
        <w:t>Table 2)</w:t>
      </w:r>
      <w:r w:rsidRPr="00E85C29">
        <w:rPr>
          <w:rFonts w:ascii="Times New Roman" w:eastAsia="Calibri" w:hAnsi="Times New Roman" w:cs="Times New Roman"/>
          <w:b/>
          <w:bCs/>
          <w:color w:val="0070C0"/>
          <w:sz w:val="24"/>
          <w:szCs w:val="24"/>
        </w:rPr>
        <w:t xml:space="preserve">, </w:t>
      </w:r>
      <w:r w:rsidR="00D477E6" w:rsidRPr="00036FCF">
        <w:rPr>
          <w:rFonts w:ascii="Times New Roman" w:eastAsia="Calibri" w:hAnsi="Times New Roman" w:cs="Times New Roman"/>
          <w:color w:val="FF0000"/>
          <w:sz w:val="24"/>
          <w:szCs w:val="24"/>
          <w:highlight w:val="yellow"/>
        </w:rPr>
        <w:t>(</w:t>
      </w:r>
      <w:r w:rsidR="00D477E6" w:rsidRPr="00036FCF">
        <w:rPr>
          <w:rFonts w:ascii="Times New Roman" w:eastAsia="Calibri" w:hAnsi="Times New Roman" w:cs="Times New Roman"/>
          <w:b/>
          <w:bCs/>
          <w:color w:val="FF0000"/>
          <w:sz w:val="24"/>
          <w:szCs w:val="24"/>
          <w:highlight w:val="yellow"/>
        </w:rPr>
        <w:t>EPG</w:t>
      </w:r>
      <w:r w:rsidR="00044CFA">
        <w:rPr>
          <w:rFonts w:ascii="Times New Roman" w:eastAsia="Calibri" w:hAnsi="Times New Roman" w:cs="Times New Roman"/>
          <w:b/>
          <w:bCs/>
          <w:color w:val="FF0000"/>
          <w:sz w:val="24"/>
          <w:szCs w:val="24"/>
          <w:highlight w:val="yellow"/>
        </w:rPr>
        <w:t xml:space="preserve"> -</w:t>
      </w:r>
      <w:r w:rsidR="00D477E6" w:rsidRPr="00036FCF">
        <w:rPr>
          <w:rFonts w:ascii="Times New Roman" w:eastAsia="Calibri" w:hAnsi="Times New Roman" w:cs="Times New Roman"/>
          <w:color w:val="FF0000"/>
          <w:sz w:val="24"/>
          <w:szCs w:val="24"/>
          <w:highlight w:val="yellow"/>
        </w:rPr>
        <w:t xml:space="preserve"> </w:t>
      </w:r>
      <w:r w:rsidR="00D477E6" w:rsidRPr="00036FCF">
        <w:rPr>
          <w:rFonts w:ascii="Times New Roman" w:eastAsia="Calibri" w:hAnsi="Times New Roman" w:cs="Times New Roman"/>
          <w:b/>
          <w:bCs/>
          <w:color w:val="FF0000"/>
          <w:sz w:val="24"/>
          <w:szCs w:val="24"/>
          <w:highlight w:val="yellow"/>
        </w:rPr>
        <w:t>Fig 1 &amp; EPG Table 1</w:t>
      </w:r>
      <w:r w:rsidR="00D477E6">
        <w:rPr>
          <w:rFonts w:ascii="Times New Roman" w:eastAsia="Calibri" w:hAnsi="Times New Roman" w:cs="Times New Roman"/>
          <w:b/>
          <w:bCs/>
          <w:color w:val="FF0000"/>
          <w:sz w:val="24"/>
          <w:szCs w:val="24"/>
          <w:highlight w:val="yellow"/>
        </w:rPr>
        <w:t>)</w:t>
      </w:r>
    </w:p>
    <w:p w14:paraId="64C7230A" w14:textId="77777777" w:rsidR="00E85C29" w:rsidRPr="00E85C29" w:rsidRDefault="00E85C29" w:rsidP="00E85C29">
      <w:pPr>
        <w:ind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suggest performing Initial </w:t>
      </w:r>
      <w:r w:rsidRPr="00E85C29">
        <w:rPr>
          <w:rFonts w:ascii="Times New Roman" w:eastAsia="Calibri" w:hAnsi="Times New Roman" w:cs="Times New Roman"/>
          <w:b/>
          <w:bCs/>
          <w:sz w:val="24"/>
          <w:szCs w:val="24"/>
        </w:rPr>
        <w:t xml:space="preserve">Basic Laboratory </w:t>
      </w:r>
      <w:r w:rsidRPr="00E85C29">
        <w:rPr>
          <w:rFonts w:ascii="Times New Roman" w:eastAsia="Calibri" w:hAnsi="Times New Roman" w:cs="Times New Roman"/>
          <w:sz w:val="24"/>
          <w:szCs w:val="24"/>
        </w:rPr>
        <w:t xml:space="preserve">testing for blood, serum, and   urine: Quantification of proteinuria, GFR.   Screening for infections (hepatitis B, C, TB, syphilis, HIV and Covid-Sars to rule out secondary types of NS before   immunosuppression, especially rituximab </w:t>
      </w:r>
      <w:r w:rsidRPr="00E85C29">
        <w:rPr>
          <w:rFonts w:ascii="Times New Roman" w:eastAsia="Calibri" w:hAnsi="Times New Roman" w:cs="Times New Roman"/>
          <w:b/>
          <w:bCs/>
          <w:sz w:val="24"/>
          <w:szCs w:val="24"/>
        </w:rPr>
        <w:t>(grade C, weak recommendation) (EPG-GPP 1).</w:t>
      </w:r>
    </w:p>
    <w:p w14:paraId="46983377"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2.2 (B):</w:t>
      </w:r>
      <w:r w:rsidRPr="00E85C29">
        <w:rPr>
          <w:rFonts w:ascii="Times New Roman" w:eastAsia="Calibri" w:hAnsi="Times New Roman" w:cs="Times New Roman"/>
          <w:sz w:val="24"/>
          <w:szCs w:val="24"/>
        </w:rPr>
        <w:t xml:space="preserve">    We recommend</w:t>
      </w:r>
      <w:r w:rsidRPr="00E85C29">
        <w:rPr>
          <w:rFonts w:ascii="Times New Roman" w:eastAsia="Calibri" w:hAnsi="Times New Roman" w:cs="Times New Roman"/>
          <w:b/>
          <w:bCs/>
          <w:sz w:val="24"/>
          <w:szCs w:val="24"/>
        </w:rPr>
        <w:t xml:space="preserve"> Extended and follow-up investigations</w:t>
      </w:r>
      <w:r w:rsidRPr="00E85C29">
        <w:rPr>
          <w:rFonts w:ascii="Times New Roman" w:eastAsia="Calibri" w:hAnsi="Times New Roman" w:cs="Times New Roman"/>
          <w:sz w:val="24"/>
          <w:szCs w:val="24"/>
        </w:rPr>
        <w:t xml:space="preserve">   to   </w:t>
      </w:r>
      <w:proofErr w:type="gramStart"/>
      <w:r w:rsidRPr="00E85C29">
        <w:rPr>
          <w:rFonts w:ascii="Times New Roman" w:eastAsia="Calibri" w:hAnsi="Times New Roman" w:cs="Times New Roman"/>
          <w:sz w:val="24"/>
          <w:szCs w:val="24"/>
        </w:rPr>
        <w:t>include :</w:t>
      </w:r>
      <w:proofErr w:type="gramEnd"/>
    </w:p>
    <w:p w14:paraId="57FB273C"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Urine:</w:t>
      </w:r>
      <w:r w:rsidRPr="00E85C29">
        <w:rPr>
          <w:rFonts w:ascii="Times New Roman" w:eastAsia="Calibri" w:hAnsi="Times New Roman" w:cs="Times New Roman"/>
          <w:sz w:val="24"/>
          <w:szCs w:val="24"/>
        </w:rPr>
        <w:t xml:space="preserve"> Spot urine (first morning void) protein/creatinine or proteinuria 24 H. Urine analysis including hematuria.</w:t>
      </w:r>
    </w:p>
    <w:p w14:paraId="591CFBD1"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Blood-Complete blood count</w:t>
      </w:r>
      <w:r w:rsidRPr="00E85C29">
        <w:rPr>
          <w:rFonts w:ascii="Times New Roman" w:eastAsia="Calibri" w:hAnsi="Times New Roman" w:cs="Times New Roman"/>
          <w:sz w:val="24"/>
          <w:szCs w:val="24"/>
        </w:rPr>
        <w:t xml:space="preserve"> (CBC), C-reactive protein, creatinine, BUN, or urea, electrolytes, serum albumin, total protein. Estimated GFR</w:t>
      </w:r>
    </w:p>
    <w:p w14:paraId="47F564A8"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Lipid profile</w:t>
      </w:r>
      <w:r w:rsidRPr="00E85C29">
        <w:rPr>
          <w:rFonts w:ascii="Times New Roman" w:eastAsia="Calibri" w:hAnsi="Times New Roman" w:cs="Times New Roman"/>
          <w:sz w:val="24"/>
          <w:szCs w:val="24"/>
        </w:rPr>
        <w:t xml:space="preserve"> (LDL- and HDL-cholesterol, triglycerides) </w:t>
      </w:r>
    </w:p>
    <w:p w14:paraId="2C2351CE"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Glucose/fasting glucose</w:t>
      </w:r>
      <w:r w:rsidRPr="00E85C29">
        <w:rPr>
          <w:rFonts w:ascii="Times New Roman" w:eastAsia="Calibri" w:hAnsi="Times New Roman" w:cs="Times New Roman"/>
          <w:sz w:val="24"/>
          <w:szCs w:val="24"/>
        </w:rPr>
        <w:t>, HbA1c. -C3, antinuclear antibodies, ds-DNA, ANA, ANCA, APLA2R.</w:t>
      </w:r>
    </w:p>
    <w:p w14:paraId="62061E55"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Infection screen</w:t>
      </w:r>
      <w:r w:rsidRPr="00E85C29">
        <w:rPr>
          <w:rFonts w:ascii="Times New Roman" w:eastAsia="Calibri" w:hAnsi="Times New Roman" w:cs="Times New Roman"/>
          <w:sz w:val="24"/>
          <w:szCs w:val="24"/>
        </w:rPr>
        <w:t xml:space="preserve"> (bacterial, viral, parasitic). TB, Malaria Schistosomiasis in endemic areas. HBs-Ag, anti-HCV-IgG, syphilis, and HIV test, Immunoglobulin G</w:t>
      </w:r>
    </w:p>
    <w:p w14:paraId="1FC67C32"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Thyroid function</w:t>
      </w:r>
      <w:r w:rsidRPr="00E85C29">
        <w:rPr>
          <w:rFonts w:ascii="Times New Roman" w:eastAsia="Calibri" w:hAnsi="Times New Roman" w:cs="Times New Roman"/>
          <w:sz w:val="24"/>
          <w:szCs w:val="24"/>
        </w:rPr>
        <w:t xml:space="preserve"> (T3, T4, TSH), Base line coagulation tests prothrombin time (INR), a PTT, fibrinogen, AT (111), ALP, PTH, 25(OH) vitamin D, Blood gas analysis (HCO3).  </w:t>
      </w:r>
    </w:p>
    <w:p w14:paraId="1C97516C"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Drug-specific monitoring</w:t>
      </w:r>
      <w:r w:rsidRPr="00E85C29">
        <w:rPr>
          <w:rFonts w:ascii="Times New Roman" w:eastAsia="Calibri" w:hAnsi="Times New Roman" w:cs="Times New Roman"/>
          <w:sz w:val="24"/>
          <w:szCs w:val="24"/>
        </w:rPr>
        <w:t xml:space="preserve"> as appropriate.  </w:t>
      </w:r>
    </w:p>
    <w:p w14:paraId="741B6C1B"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Imaging</w:t>
      </w:r>
      <w:r w:rsidRPr="00E85C29">
        <w:rPr>
          <w:rFonts w:ascii="Times New Roman" w:eastAsia="Calibri" w:hAnsi="Times New Roman" w:cs="Times New Roman"/>
          <w:sz w:val="24"/>
          <w:szCs w:val="24"/>
        </w:rPr>
        <w:t xml:space="preserve"> Renal ultrasound, chest X ray, echocardiography, X-ray wrist for bone age for children &lt; 5 y old should be evaluated for selected cases  </w:t>
      </w:r>
    </w:p>
    <w:p w14:paraId="5B0F39C6"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Assessment for extra-renal involvement</w:t>
      </w:r>
      <w:r w:rsidRPr="00E85C29">
        <w:rPr>
          <w:rFonts w:ascii="Times New Roman" w:eastAsia="Calibri" w:hAnsi="Times New Roman" w:cs="Times New Roman"/>
          <w:sz w:val="24"/>
          <w:szCs w:val="24"/>
        </w:rPr>
        <w:t xml:space="preserve"> (A)</w:t>
      </w:r>
    </w:p>
    <w:p w14:paraId="72284568" w14:textId="77777777" w:rsidR="00E85C29" w:rsidRPr="00E85C29" w:rsidRDefault="00E85C29" w:rsidP="00E85C29">
      <w:pPr>
        <w:ind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Depending on underlying disease and clinically evident extra-renal features:</w:t>
      </w:r>
    </w:p>
    <w:p w14:paraId="0DFB96E1" w14:textId="77777777" w:rsidR="00E85C29" w:rsidRPr="00E85C29" w:rsidRDefault="00E85C29" w:rsidP="00E85C29">
      <w:pPr>
        <w:ind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*Brain MRI * Ophthalmology *Cardiology *Endocrinology *Dermatology *Orthopedics </w:t>
      </w:r>
    </w:p>
    <w:p w14:paraId="07D7DF07" w14:textId="77777777" w:rsidR="00E85C29" w:rsidRPr="00E85C29" w:rsidRDefault="00E85C29" w:rsidP="00E85C29">
      <w:pPr>
        <w:ind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*Immunology *Hematology</w:t>
      </w:r>
    </w:p>
    <w:p w14:paraId="7F93C63D" w14:textId="77777777" w:rsidR="00E85C29" w:rsidRPr="00E85C29" w:rsidRDefault="00E85C29" w:rsidP="00E85C29">
      <w:pPr>
        <w:shd w:val="clear" w:color="auto" w:fill="F2F2F2"/>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color w:val="FF0000"/>
          <w:sz w:val="24"/>
          <w:szCs w:val="24"/>
        </w:rPr>
        <w:t xml:space="preserve"> </w:t>
      </w:r>
      <w:r w:rsidRPr="00E85C29">
        <w:rPr>
          <w:rFonts w:ascii="Times New Roman" w:eastAsia="Calibri" w:hAnsi="Times New Roman" w:cs="Times New Roman"/>
          <w:b/>
          <w:bCs/>
          <w:sz w:val="24"/>
          <w:szCs w:val="24"/>
        </w:rPr>
        <w:t>R 2.3</w:t>
      </w:r>
      <w:r w:rsidRPr="00E85C29">
        <w:rPr>
          <w:rFonts w:ascii="Times New Roman" w:eastAsia="Calibri" w:hAnsi="Times New Roman" w:cs="Times New Roman"/>
          <w:color w:val="FF0000"/>
          <w:sz w:val="24"/>
          <w:szCs w:val="24"/>
        </w:rPr>
        <w:t xml:space="preserve">:  </w:t>
      </w:r>
      <w:r w:rsidRPr="00E85C29">
        <w:rPr>
          <w:rFonts w:ascii="Times New Roman" w:eastAsia="Calibri" w:hAnsi="Times New Roman" w:cs="Times New Roman"/>
          <w:b/>
          <w:bCs/>
          <w:sz w:val="24"/>
          <w:szCs w:val="24"/>
        </w:rPr>
        <w:t>Genetic testing:</w:t>
      </w:r>
    </w:p>
    <w:p w14:paraId="632902ED"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 R (2.3.a, b): When we recommend genetic testing?                                                             </w:t>
      </w:r>
    </w:p>
    <w:p w14:paraId="3762262D"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 (2.3.c) Which tests? (2.3.d, e) why?</w:t>
      </w:r>
    </w:p>
    <w:p w14:paraId="4B5F4B49" w14:textId="33FC297E" w:rsidR="00E85C29" w:rsidRPr="00E85C29" w:rsidRDefault="00E85C29" w:rsidP="00D477E6">
      <w:pPr>
        <w:ind w:left="90" w:firstLine="0"/>
        <w:rPr>
          <w:rFonts w:ascii="Times New Roman" w:eastAsia="Calibri" w:hAnsi="Times New Roman" w:cs="Times New Roman"/>
          <w:sz w:val="24"/>
          <w:szCs w:val="24"/>
          <w:u w:val="single"/>
        </w:rPr>
      </w:pPr>
      <w:r w:rsidRPr="00E85C29">
        <w:rPr>
          <w:rFonts w:ascii="Times New Roman" w:eastAsia="Calibri" w:hAnsi="Times New Roman" w:cs="Times New Roman"/>
          <w:b/>
          <w:bCs/>
          <w:sz w:val="24"/>
          <w:szCs w:val="24"/>
        </w:rPr>
        <w:t>R 2.3. a.</w:t>
      </w:r>
      <w:r w:rsidRPr="00E85C29">
        <w:rPr>
          <w:rFonts w:ascii="Times New Roman" w:eastAsia="Calibri" w:hAnsi="Times New Roman" w:cs="Times New Roman"/>
          <w:sz w:val="24"/>
          <w:szCs w:val="24"/>
        </w:rPr>
        <w:t xml:space="preserve"> GT are crucial for cases with high index of suspicion and in countries with high incidence of hereditary diseases specially when using life related donor TX like us. Shortage of such tests represent a great challenge necessitating adapting </w:t>
      </w:r>
      <w:r w:rsidRPr="00E85C29">
        <w:rPr>
          <w:rFonts w:ascii="Times New Roman" w:eastAsia="Calibri" w:hAnsi="Times New Roman" w:cs="Times New Roman"/>
          <w:b/>
          <w:bCs/>
          <w:sz w:val="24"/>
          <w:szCs w:val="24"/>
        </w:rPr>
        <w:t>IPNA 2020</w:t>
      </w:r>
      <w:r w:rsidRPr="00E85C29">
        <w:rPr>
          <w:rFonts w:ascii="Times New Roman" w:eastAsia="Calibri" w:hAnsi="Times New Roman" w:cs="Times New Roman"/>
          <w:sz w:val="24"/>
          <w:szCs w:val="24"/>
        </w:rPr>
        <w:t xml:space="preserve"> Guidance and or its adoption when possible. Adaptation policy for </w:t>
      </w:r>
      <w:r w:rsidRPr="00E85C29">
        <w:rPr>
          <w:rFonts w:ascii="Times New Roman" w:eastAsia="Calibri" w:hAnsi="Times New Roman" w:cs="Times New Roman"/>
          <w:b/>
          <w:bCs/>
          <w:sz w:val="24"/>
          <w:szCs w:val="24"/>
        </w:rPr>
        <w:t xml:space="preserve">genetic tailoring is based on (1) defining our target priorities </w:t>
      </w:r>
      <w:r w:rsidRPr="00E85C29">
        <w:rPr>
          <w:rFonts w:ascii="Times New Roman" w:eastAsia="Calibri" w:hAnsi="Times New Roman" w:cs="Times New Roman"/>
          <w:sz w:val="24"/>
          <w:szCs w:val="24"/>
        </w:rPr>
        <w:t xml:space="preserve">and </w:t>
      </w:r>
      <w:r w:rsidRPr="00E85C29">
        <w:rPr>
          <w:rFonts w:ascii="Times New Roman" w:eastAsia="Calibri" w:hAnsi="Times New Roman" w:cs="Times New Roman"/>
          <w:b/>
          <w:bCs/>
          <w:sz w:val="24"/>
          <w:szCs w:val="24"/>
        </w:rPr>
        <w:t>(2) supporting referral</w:t>
      </w:r>
      <w:r w:rsidRPr="00E85C29">
        <w:rPr>
          <w:rFonts w:ascii="Times New Roman" w:eastAsia="Calibri" w:hAnsi="Times New Roman" w:cs="Times New Roman"/>
          <w:sz w:val="24"/>
          <w:szCs w:val="24"/>
        </w:rPr>
        <w:t xml:space="preserve"> to secondary PN centers with genetic facilities (</w:t>
      </w:r>
      <w:r w:rsidRPr="00E85C29">
        <w:rPr>
          <w:rFonts w:ascii="Times New Roman" w:eastAsia="Calibri" w:hAnsi="Times New Roman" w:cs="Times New Roman"/>
          <w:b/>
          <w:bCs/>
          <w:sz w:val="24"/>
          <w:szCs w:val="24"/>
        </w:rPr>
        <w:t xml:space="preserve">National CGLs Flow charts </w:t>
      </w:r>
      <w:r w:rsidR="00D477E6" w:rsidRPr="00D477E6">
        <w:rPr>
          <w:rFonts w:ascii="Times New Roman" w:eastAsia="Calibri" w:hAnsi="Times New Roman" w:cs="Times New Roman"/>
          <w:b/>
          <w:bCs/>
          <w:color w:val="FF0000"/>
          <w:sz w:val="24"/>
          <w:szCs w:val="24"/>
          <w:highlight w:val="yellow"/>
        </w:rPr>
        <w:t>EPG</w:t>
      </w:r>
      <w:r w:rsidR="00D477E6" w:rsidRPr="00D477E6">
        <w:rPr>
          <w:rFonts w:ascii="Times New Roman" w:eastAsia="Calibri" w:hAnsi="Times New Roman" w:cs="Times New Roman"/>
          <w:b/>
          <w:bCs/>
          <w:sz w:val="24"/>
          <w:szCs w:val="24"/>
          <w:highlight w:val="yellow"/>
        </w:rPr>
        <w:t xml:space="preserve"> </w:t>
      </w:r>
      <w:r w:rsidRPr="00D477E6">
        <w:rPr>
          <w:rFonts w:ascii="Times New Roman" w:eastAsia="Calibri" w:hAnsi="Times New Roman" w:cs="Times New Roman"/>
          <w:b/>
          <w:bCs/>
          <w:color w:val="FF0000"/>
          <w:sz w:val="24"/>
          <w:szCs w:val="24"/>
          <w:highlight w:val="yellow"/>
        </w:rPr>
        <w:t>Fig (</w:t>
      </w:r>
      <w:r w:rsidR="00D477E6" w:rsidRPr="00D477E6">
        <w:rPr>
          <w:rFonts w:ascii="Times New Roman" w:eastAsia="Calibri" w:hAnsi="Times New Roman" w:cs="Times New Roman"/>
          <w:b/>
          <w:bCs/>
          <w:color w:val="FF0000"/>
          <w:sz w:val="24"/>
          <w:szCs w:val="24"/>
          <w:highlight w:val="yellow"/>
        </w:rPr>
        <w:t>1</w:t>
      </w:r>
      <w:r w:rsidRPr="00D477E6">
        <w:rPr>
          <w:rFonts w:ascii="Times New Roman" w:eastAsia="Calibri" w:hAnsi="Times New Roman" w:cs="Times New Roman"/>
          <w:b/>
          <w:bCs/>
          <w:color w:val="FF0000"/>
          <w:sz w:val="24"/>
          <w:szCs w:val="24"/>
          <w:highlight w:val="yellow"/>
        </w:rPr>
        <w:t xml:space="preserve">) &amp; </w:t>
      </w:r>
      <w:r w:rsidR="00D477E6">
        <w:rPr>
          <w:rFonts w:ascii="Times New Roman" w:eastAsia="Calibri" w:hAnsi="Times New Roman" w:cs="Times New Roman"/>
          <w:b/>
          <w:bCs/>
          <w:color w:val="FF0000"/>
          <w:sz w:val="24"/>
          <w:szCs w:val="24"/>
          <w:highlight w:val="yellow"/>
        </w:rPr>
        <w:t xml:space="preserve">EPG Fig </w:t>
      </w:r>
      <w:r w:rsidRPr="00D477E6">
        <w:rPr>
          <w:rFonts w:ascii="Times New Roman" w:eastAsia="Calibri" w:hAnsi="Times New Roman" w:cs="Times New Roman"/>
          <w:b/>
          <w:bCs/>
          <w:color w:val="FF0000"/>
          <w:sz w:val="24"/>
          <w:szCs w:val="24"/>
          <w:highlight w:val="yellow"/>
        </w:rPr>
        <w:t>(</w:t>
      </w:r>
      <w:r w:rsidR="00D477E6" w:rsidRPr="00D477E6">
        <w:rPr>
          <w:rFonts w:ascii="Times New Roman" w:eastAsia="Calibri" w:hAnsi="Times New Roman" w:cs="Times New Roman"/>
          <w:b/>
          <w:bCs/>
          <w:color w:val="FF0000"/>
          <w:sz w:val="24"/>
          <w:szCs w:val="24"/>
          <w:highlight w:val="yellow"/>
        </w:rPr>
        <w:t>8</w:t>
      </w:r>
      <w:r w:rsidRPr="00D477E6">
        <w:rPr>
          <w:rFonts w:ascii="Times New Roman" w:eastAsia="Calibri" w:hAnsi="Times New Roman" w:cs="Times New Roman"/>
          <w:color w:val="FF0000"/>
          <w:sz w:val="24"/>
          <w:szCs w:val="24"/>
          <w:highlight w:val="yellow"/>
        </w:rPr>
        <w:t>),</w:t>
      </w:r>
      <w:r w:rsidRPr="00D477E6">
        <w:rPr>
          <w:rFonts w:ascii="Times New Roman" w:eastAsia="Calibri" w:hAnsi="Times New Roman" w:cs="Times New Roman"/>
          <w:color w:val="FF0000"/>
          <w:sz w:val="24"/>
          <w:szCs w:val="24"/>
        </w:rPr>
        <w:t xml:space="preserve"> </w:t>
      </w:r>
      <w:r w:rsidRPr="00E85C29">
        <w:rPr>
          <w:rFonts w:ascii="Times New Roman" w:eastAsia="Calibri" w:hAnsi="Times New Roman" w:cs="Times New Roman"/>
          <w:b/>
          <w:bCs/>
          <w:sz w:val="24"/>
          <w:szCs w:val="24"/>
        </w:rPr>
        <w:t>(GPP10).</w:t>
      </w:r>
      <w:r w:rsidRPr="00E85C29">
        <w:rPr>
          <w:rFonts w:ascii="Times New Roman" w:eastAsia="Calibri" w:hAnsi="Times New Roman" w:cs="Times New Roman"/>
          <w:sz w:val="24"/>
          <w:szCs w:val="24"/>
        </w:rPr>
        <w:t xml:space="preserve"> </w:t>
      </w:r>
    </w:p>
    <w:p w14:paraId="21D81F8A"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Our Rational</w:t>
      </w:r>
      <w:r w:rsidRPr="00E85C29">
        <w:rPr>
          <w:rFonts w:ascii="Times New Roman" w:eastAsia="Calibri" w:hAnsi="Times New Roman" w:cs="Times New Roman"/>
          <w:sz w:val="24"/>
          <w:szCs w:val="24"/>
        </w:rPr>
        <w:t xml:space="preserve"> for Genetic testing aim for:</w:t>
      </w:r>
    </w:p>
    <w:p w14:paraId="7B3EB9CF"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lastRenderedPageBreak/>
        <w:t>Diagnosis of the index case (monogenic SRNS to optimize its care) / Assure patient for recurrence risk (lower in genetic NS) / Better donor selection/ Family screening of at risk/ Prenatal diagnosis.</w:t>
      </w:r>
    </w:p>
    <w:p w14:paraId="306B41BF"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w:t>
      </w:r>
      <w:r w:rsidRPr="00E85C29">
        <w:rPr>
          <w:rFonts w:ascii="Times New Roman" w:eastAsia="Calibri" w:hAnsi="Times New Roman" w:cs="Times New Roman"/>
          <w:sz w:val="24"/>
          <w:szCs w:val="24"/>
          <w:u w:val="single"/>
        </w:rPr>
        <w:t>early testing</w:t>
      </w:r>
      <w:r w:rsidRPr="00E85C29">
        <w:rPr>
          <w:rFonts w:ascii="Times New Roman" w:eastAsia="Calibri" w:hAnsi="Times New Roman" w:cs="Times New Roman"/>
          <w:sz w:val="24"/>
          <w:szCs w:val="24"/>
        </w:rPr>
        <w:t xml:space="preserve"> before 4w transitional period for:  Familial cases, Syndromic cases with extra-renal features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Early onset &lt; 1y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Because of high rate of consanguinity in Egypt, we may suggest GT to include children   with consanguineous parents. </w:t>
      </w:r>
      <w:r w:rsidRPr="00E85C29">
        <w:rPr>
          <w:rFonts w:ascii="Times New Roman" w:eastAsia="Calibri" w:hAnsi="Times New Roman" w:cs="Times New Roman"/>
          <w:b/>
          <w:bCs/>
          <w:sz w:val="24"/>
          <w:szCs w:val="24"/>
        </w:rPr>
        <w:t>EPG-GPP1</w:t>
      </w:r>
    </w:p>
    <w:p w14:paraId="1DC6067E"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w:t>
      </w:r>
      <w:r w:rsidRPr="00E85C29">
        <w:rPr>
          <w:rFonts w:ascii="Times New Roman" w:eastAsia="Calibri" w:hAnsi="Times New Roman" w:cs="Times New Roman"/>
          <w:b/>
          <w:bCs/>
          <w:sz w:val="24"/>
          <w:szCs w:val="24"/>
        </w:rPr>
        <w:t>We recommend GT:</w:t>
      </w:r>
      <w:r w:rsidRPr="00E85C29">
        <w:rPr>
          <w:rFonts w:ascii="Times New Roman" w:eastAsia="Calibri" w:hAnsi="Times New Roman" w:cs="Times New Roman"/>
          <w:sz w:val="24"/>
          <w:szCs w:val="24"/>
        </w:rPr>
        <w:t xml:space="preserve"> whenever</w:t>
      </w:r>
      <w:r w:rsidRPr="00E85C29">
        <w:rPr>
          <w:rFonts w:ascii="Times New Roman" w:eastAsia="Calibri" w:hAnsi="Times New Roman" w:cs="Times New Roman"/>
          <w:b/>
          <w:bCs/>
          <w:sz w:val="24"/>
          <w:szCs w:val="24"/>
        </w:rPr>
        <w:t xml:space="preserve"> possible in all children</w:t>
      </w:r>
      <w:r w:rsidRPr="00E85C29">
        <w:rPr>
          <w:rFonts w:ascii="Times New Roman" w:eastAsia="Calibri" w:hAnsi="Times New Roman" w:cs="Times New Roman"/>
          <w:sz w:val="24"/>
          <w:szCs w:val="24"/>
        </w:rPr>
        <w:t xml:space="preserve"> with </w:t>
      </w:r>
      <w:r w:rsidRPr="00E85C29">
        <w:rPr>
          <w:rFonts w:ascii="Times New Roman" w:eastAsia="Calibri" w:hAnsi="Times New Roman" w:cs="Times New Roman"/>
          <w:b/>
          <w:bCs/>
          <w:sz w:val="24"/>
          <w:szCs w:val="24"/>
        </w:rPr>
        <w:t xml:space="preserve">primary SRNS (A) </w:t>
      </w:r>
      <w:r w:rsidRPr="00E85C29">
        <w:rPr>
          <w:rFonts w:ascii="Times New Roman" w:eastAsia="Calibri" w:hAnsi="Times New Roman" w:cs="Times New Roman"/>
          <w:sz w:val="24"/>
          <w:szCs w:val="24"/>
        </w:rPr>
        <w:t xml:space="preserve">ideally within the 2-week confirmation period </w:t>
      </w:r>
      <w:r w:rsidRPr="00E85C29">
        <w:rPr>
          <w:rFonts w:ascii="Times New Roman" w:eastAsia="Calibri" w:hAnsi="Times New Roman" w:cs="Times New Roman"/>
          <w:b/>
          <w:bCs/>
          <w:sz w:val="24"/>
          <w:szCs w:val="24"/>
        </w:rPr>
        <w:t>(B) IPNA</w:t>
      </w:r>
      <w:r w:rsidRPr="00E85C29">
        <w:rPr>
          <w:rFonts w:ascii="Times New Roman" w:eastAsia="Calibri" w:hAnsi="Times New Roman" w:cs="Times New Roman"/>
          <w:sz w:val="24"/>
          <w:szCs w:val="24"/>
        </w:rPr>
        <w:t xml:space="preserve">.  If not available as in low-resource countries or areas, immunosuppressive treatment with CNI may be started. </w:t>
      </w:r>
      <w:r w:rsidRPr="00E85C29">
        <w:rPr>
          <w:rFonts w:ascii="Times New Roman" w:eastAsia="Calibri" w:hAnsi="Times New Roman" w:cs="Times New Roman"/>
          <w:b/>
          <w:bCs/>
          <w:sz w:val="24"/>
          <w:szCs w:val="24"/>
        </w:rPr>
        <w:t>(B) EPG-GPP:</w:t>
      </w:r>
    </w:p>
    <w:p w14:paraId="50F3DBE6"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Recommend (GT) to be done after renal biopsy, for all </w:t>
      </w:r>
      <w:r w:rsidRPr="00E85C29">
        <w:rPr>
          <w:rFonts w:ascii="Times New Roman" w:eastAsia="Calibri" w:hAnsi="Times New Roman" w:cs="Times New Roman"/>
          <w:b/>
          <w:bCs/>
          <w:sz w:val="24"/>
          <w:szCs w:val="24"/>
        </w:rPr>
        <w:t>FSGS or DMS /SRNS</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EPG-. GPP2.</w:t>
      </w:r>
    </w:p>
    <w:p w14:paraId="3647F560"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 In Egypt GT are available in limited centers, therefore referral of only top priority indicated cases is crucial. Monogenic cases will avoid aggressive immunosuppression therapy. </w:t>
      </w:r>
      <w:r w:rsidRPr="00E85C29">
        <w:rPr>
          <w:rFonts w:ascii="Times New Roman" w:eastAsia="Calibri" w:hAnsi="Times New Roman" w:cs="Times New Roman"/>
          <w:b/>
          <w:bCs/>
          <w:sz w:val="24"/>
          <w:szCs w:val="24"/>
        </w:rPr>
        <w:t>(B) IPNA,</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EPG-GPP2</w:t>
      </w:r>
    </w:p>
    <w:p w14:paraId="019D3028"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do not recommend GT in patients with initial steroid sensitivity that subsequently develops steroid resistance </w:t>
      </w:r>
      <w:r w:rsidRPr="00E85C29">
        <w:rPr>
          <w:rFonts w:ascii="Times New Roman" w:eastAsia="Calibri" w:hAnsi="Times New Roman" w:cs="Times New Roman"/>
          <w:b/>
          <w:bCs/>
          <w:sz w:val="24"/>
          <w:szCs w:val="24"/>
        </w:rPr>
        <w:t>(grade C) IPNA.</w:t>
      </w:r>
    </w:p>
    <w:p w14:paraId="064D1E90"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We recommend for all </w:t>
      </w:r>
      <w:r w:rsidRPr="00E85C29">
        <w:rPr>
          <w:rFonts w:ascii="Times New Roman" w:eastAsia="Calibri" w:hAnsi="Times New Roman" w:cs="Times New Roman"/>
          <w:b/>
          <w:bCs/>
          <w:sz w:val="24"/>
          <w:szCs w:val="24"/>
        </w:rPr>
        <w:t>SRNS/</w:t>
      </w:r>
      <w:proofErr w:type="spellStart"/>
      <w:r w:rsidRPr="00E85C29">
        <w:rPr>
          <w:rFonts w:ascii="Times New Roman" w:eastAsia="Calibri" w:hAnsi="Times New Roman" w:cs="Times New Roman"/>
          <w:b/>
          <w:bCs/>
          <w:sz w:val="24"/>
          <w:szCs w:val="24"/>
        </w:rPr>
        <w:t>CsA</w:t>
      </w:r>
      <w:proofErr w:type="spellEnd"/>
      <w:r w:rsidRPr="00E85C29">
        <w:rPr>
          <w:rFonts w:ascii="Times New Roman" w:eastAsia="Calibri" w:hAnsi="Times New Roman" w:cs="Times New Roman"/>
          <w:sz w:val="24"/>
          <w:szCs w:val="24"/>
        </w:rPr>
        <w:t xml:space="preserve"> resistant after 6 m of </w:t>
      </w:r>
      <w:proofErr w:type="spellStart"/>
      <w:r w:rsidRPr="00E85C29">
        <w:rPr>
          <w:rFonts w:ascii="Times New Roman" w:eastAsia="Calibri" w:hAnsi="Times New Roman" w:cs="Times New Roman"/>
          <w:sz w:val="24"/>
          <w:szCs w:val="24"/>
        </w:rPr>
        <w:t>CsA</w:t>
      </w:r>
      <w:proofErr w:type="spellEnd"/>
      <w:r w:rsidRPr="00E85C29">
        <w:rPr>
          <w:rFonts w:ascii="Times New Roman" w:eastAsia="Calibri" w:hAnsi="Times New Roman" w:cs="Times New Roman"/>
          <w:sz w:val="24"/>
          <w:szCs w:val="24"/>
        </w:rPr>
        <w:t xml:space="preserve"> therapy, to do GT (WES) if not previously done. Those with mutations should stop immunosuppression and transport   to transplantation centers with genetic experts </w:t>
      </w:r>
      <w:r w:rsidRPr="00E85C29">
        <w:rPr>
          <w:rFonts w:ascii="Times New Roman" w:eastAsia="Calibri" w:hAnsi="Times New Roman" w:cs="Times New Roman"/>
          <w:b/>
          <w:bCs/>
          <w:sz w:val="24"/>
          <w:szCs w:val="24"/>
        </w:rPr>
        <w:t>(X). EPG-GPP</w:t>
      </w:r>
    </w:p>
    <w:p w14:paraId="579A3E59"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(NCGL) recommend GT in </w:t>
      </w:r>
      <w:r w:rsidRPr="00E85C29">
        <w:rPr>
          <w:rFonts w:ascii="Times New Roman" w:eastAsia="Calibri" w:hAnsi="Times New Roman" w:cs="Times New Roman"/>
          <w:b/>
          <w:bCs/>
          <w:sz w:val="24"/>
          <w:szCs w:val="24"/>
        </w:rPr>
        <w:t>C3/DDD to identify complement mutations</w:t>
      </w:r>
      <w:r w:rsidRPr="00E85C29">
        <w:rPr>
          <w:rFonts w:ascii="Times New Roman" w:eastAsia="Calibri" w:hAnsi="Times New Roman" w:cs="Times New Roman"/>
          <w:sz w:val="24"/>
          <w:szCs w:val="24"/>
        </w:rPr>
        <w:t xml:space="preserve"> as they need complement blockade </w:t>
      </w:r>
      <w:r w:rsidRPr="00E85C29">
        <w:rPr>
          <w:rFonts w:ascii="Times New Roman" w:eastAsia="Calibri" w:hAnsi="Times New Roman" w:cs="Times New Roman"/>
          <w:b/>
          <w:bCs/>
          <w:sz w:val="24"/>
          <w:szCs w:val="24"/>
        </w:rPr>
        <w:t>(EPG-GPP3).</w:t>
      </w:r>
    </w:p>
    <w:p w14:paraId="5356BEF8"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We recommend GT (WES) and pathogenicity for All </w:t>
      </w:r>
      <w:r w:rsidRPr="00E85C29">
        <w:rPr>
          <w:rFonts w:ascii="Times New Roman" w:eastAsia="Calibri" w:hAnsi="Times New Roman" w:cs="Times New Roman"/>
          <w:b/>
          <w:bCs/>
          <w:sz w:val="24"/>
          <w:szCs w:val="24"/>
        </w:rPr>
        <w:t>pretransplant cases</w:t>
      </w:r>
      <w:r w:rsidRPr="00E85C29">
        <w:rPr>
          <w:rFonts w:ascii="Times New Roman" w:eastAsia="Calibri" w:hAnsi="Times New Roman" w:cs="Times New Roman"/>
          <w:sz w:val="24"/>
          <w:szCs w:val="24"/>
        </w:rPr>
        <w:t xml:space="preserve">, and (SGS) to their related potential donors IPNA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since   we are using only living related donor graft in a hot zone of (+) consanguinity. </w:t>
      </w:r>
      <w:r w:rsidRPr="00E85C29">
        <w:rPr>
          <w:rFonts w:ascii="Times New Roman" w:eastAsia="Calibri" w:hAnsi="Times New Roman" w:cs="Times New Roman"/>
          <w:b/>
          <w:bCs/>
          <w:sz w:val="24"/>
          <w:szCs w:val="24"/>
        </w:rPr>
        <w:t>EPG-(GPP4)</w:t>
      </w:r>
    </w:p>
    <w:p w14:paraId="41E91A7E"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t>
      </w:r>
      <w:proofErr w:type="gramStart"/>
      <w:r w:rsidRPr="00E85C29">
        <w:rPr>
          <w:rFonts w:ascii="Times New Roman" w:eastAsia="Calibri" w:hAnsi="Times New Roman" w:cs="Times New Roman"/>
          <w:sz w:val="24"/>
          <w:szCs w:val="24"/>
        </w:rPr>
        <w:t>Our</w:t>
      </w:r>
      <w:proofErr w:type="gramEnd"/>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target priorities</w:t>
      </w:r>
      <w:r w:rsidRPr="00E85C29">
        <w:rPr>
          <w:rFonts w:ascii="Times New Roman" w:eastAsia="Calibri" w:hAnsi="Times New Roman" w:cs="Times New Roman"/>
          <w:sz w:val="24"/>
          <w:szCs w:val="24"/>
        </w:rPr>
        <w:t xml:space="preserve"> for genetic testing include: congenital/infantile NS, Familial, syndromic, SRNS /FSGS, Cyclosporin resistant, pre-transplant. </w:t>
      </w:r>
      <w:r w:rsidRPr="00E85C29">
        <w:rPr>
          <w:rFonts w:ascii="Times New Roman" w:eastAsia="Calibri" w:hAnsi="Times New Roman" w:cs="Times New Roman"/>
          <w:b/>
          <w:bCs/>
          <w:sz w:val="24"/>
          <w:szCs w:val="24"/>
        </w:rPr>
        <w:t>EPG-GPP 5</w:t>
      </w:r>
    </w:p>
    <w:p w14:paraId="26AA2AEB" w14:textId="77777777" w:rsidR="00E85C29" w:rsidRPr="00E85C29" w:rsidRDefault="00E85C29" w:rsidP="00E85C29">
      <w:pPr>
        <w:ind w:left="90" w:firstLine="0"/>
        <w:rPr>
          <w:rFonts w:ascii="Times New Roman" w:eastAsia="Calibri" w:hAnsi="Times New Roman" w:cs="Times New Roman"/>
          <w:sz w:val="24"/>
          <w:szCs w:val="24"/>
        </w:rPr>
      </w:pPr>
      <w:bookmarkStart w:id="0" w:name="_Hlk96601411"/>
      <w:r w:rsidRPr="00E85C29">
        <w:rPr>
          <w:rFonts w:ascii="Times New Roman" w:eastAsia="Calibri" w:hAnsi="Times New Roman" w:cs="Times New Roman"/>
          <w:sz w:val="24"/>
          <w:szCs w:val="24"/>
        </w:rPr>
        <w:t>●</w:t>
      </w:r>
      <w:bookmarkEnd w:id="0"/>
      <w:r w:rsidRPr="00E85C29">
        <w:rPr>
          <w:rFonts w:ascii="Times New Roman" w:eastAsia="Calibri" w:hAnsi="Times New Roman" w:cs="Times New Roman"/>
          <w:b/>
          <w:bCs/>
          <w:sz w:val="24"/>
          <w:szCs w:val="24"/>
        </w:rPr>
        <w:t xml:space="preserve"> Referral</w:t>
      </w:r>
      <w:r w:rsidRPr="00E85C29">
        <w:rPr>
          <w:rFonts w:ascii="Times New Roman" w:eastAsia="Calibri" w:hAnsi="Times New Roman" w:cs="Times New Roman"/>
          <w:sz w:val="24"/>
          <w:szCs w:val="24"/>
        </w:rPr>
        <w:t xml:space="preserve"> of high priority group to these centers with genetic expert is crucial </w:t>
      </w:r>
      <w:r w:rsidRPr="00E85C29">
        <w:rPr>
          <w:rFonts w:ascii="Times New Roman" w:eastAsia="Calibri" w:hAnsi="Times New Roman" w:cs="Times New Roman"/>
          <w:b/>
          <w:bCs/>
          <w:sz w:val="24"/>
          <w:szCs w:val="24"/>
        </w:rPr>
        <w:t>EPG-GPP</w:t>
      </w:r>
    </w:p>
    <w:p w14:paraId="693D365C" w14:textId="77777777" w:rsidR="00E85C29" w:rsidRPr="00E85C29" w:rsidRDefault="00E85C29" w:rsidP="00E85C29">
      <w:pPr>
        <w:ind w:left="90" w:firstLine="0"/>
        <w:rPr>
          <w:rFonts w:ascii="Times New Roman" w:eastAsia="Calibri" w:hAnsi="Times New Roman" w:cs="Times New Roman"/>
          <w:b/>
          <w:bCs/>
          <w:sz w:val="24"/>
          <w:szCs w:val="24"/>
        </w:rPr>
      </w:pPr>
      <w:bookmarkStart w:id="1" w:name="_Hlk96703431"/>
      <w:r w:rsidRPr="00E85C29">
        <w:rPr>
          <w:rFonts w:ascii="Times New Roman" w:eastAsia="Calibri" w:hAnsi="Times New Roman" w:cs="Times New Roman"/>
          <w:sz w:val="24"/>
          <w:szCs w:val="24"/>
        </w:rPr>
        <w:t>●</w:t>
      </w:r>
      <w:bookmarkEnd w:id="1"/>
      <w:r w:rsidRPr="00E85C29">
        <w:rPr>
          <w:rFonts w:ascii="Times New Roman" w:eastAsia="Calibri" w:hAnsi="Times New Roman" w:cs="Times New Roman"/>
          <w:sz w:val="24"/>
          <w:szCs w:val="24"/>
        </w:rPr>
        <w:t xml:space="preserve"> Genetic labs should be available at a national constitution under cover of medical insurance. </w:t>
      </w:r>
      <w:r w:rsidRPr="00E85C29">
        <w:rPr>
          <w:rFonts w:ascii="Times New Roman" w:eastAsia="Calibri" w:hAnsi="Times New Roman" w:cs="Times New Roman"/>
          <w:b/>
          <w:bCs/>
          <w:sz w:val="24"/>
          <w:szCs w:val="24"/>
        </w:rPr>
        <w:t>EPG- GPP6</w:t>
      </w:r>
    </w:p>
    <w:p w14:paraId="6C5B6214" w14:textId="77777777" w:rsidR="00E85C29" w:rsidRPr="00E85C29" w:rsidRDefault="00E85C29" w:rsidP="00E85C29">
      <w:pPr>
        <w:ind w:left="90" w:firstLine="0"/>
        <w:rPr>
          <w:rFonts w:ascii="Times New Roman" w:eastAsia="Calibri" w:hAnsi="Times New Roman" w:cs="Times New Roman"/>
          <w:color w:val="FF0000"/>
          <w:sz w:val="24"/>
          <w:szCs w:val="24"/>
        </w:rPr>
      </w:pP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R (2.3.b) We</w:t>
      </w:r>
      <w:r w:rsidRPr="00E85C29">
        <w:rPr>
          <w:rFonts w:ascii="Times New Roman" w:eastAsia="Calibri" w:hAnsi="Times New Roman" w:cs="Times New Roman"/>
          <w:sz w:val="24"/>
          <w:szCs w:val="24"/>
        </w:rPr>
        <w:t xml:space="preserve"> suggest urinalysis to siblings of SRNS patients before genetic testing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color w:val="FF0000"/>
          <w:sz w:val="24"/>
          <w:szCs w:val="24"/>
        </w:rPr>
        <w:t xml:space="preserve"> </w:t>
      </w:r>
    </w:p>
    <w:p w14:paraId="08CE805F" w14:textId="77777777" w:rsidR="00E85C29" w:rsidRPr="00E85C29" w:rsidRDefault="00E85C29" w:rsidP="00E85C29">
      <w:pPr>
        <w:ind w:firstLine="0"/>
        <w:jc w:val="left"/>
        <w:rPr>
          <w:rFonts w:ascii="Times New Roman" w:eastAsia="Calibri" w:hAnsi="Times New Roman" w:cs="Times New Roman"/>
          <w:b/>
          <w:bCs/>
          <w:sz w:val="24"/>
          <w:szCs w:val="24"/>
        </w:rPr>
      </w:pPr>
      <w:r w:rsidRPr="00E85C29">
        <w:rPr>
          <w:rFonts w:ascii="Times New Roman" w:eastAsia="Calibri" w:hAnsi="Times New Roman" w:cs="Times New Roman"/>
          <w:color w:val="FF0000"/>
          <w:sz w:val="24"/>
          <w:szCs w:val="24"/>
        </w:rPr>
        <w:t xml:space="preserve">    </w:t>
      </w:r>
    </w:p>
    <w:p w14:paraId="751F6D96" w14:textId="77777777" w:rsidR="00E85C29" w:rsidRPr="00E85C29" w:rsidRDefault="00E85C29" w:rsidP="00E85C29">
      <w:pPr>
        <w:ind w:left="90" w:firstLine="0"/>
        <w:rPr>
          <w:rFonts w:ascii="Times New Roman" w:eastAsia="Calibri" w:hAnsi="Times New Roman" w:cs="Times New Roman"/>
          <w:b/>
          <w:bCs/>
          <w:sz w:val="24"/>
          <w:szCs w:val="24"/>
          <w:u w:val="single"/>
        </w:rPr>
      </w:pPr>
      <w:r w:rsidRPr="00E85C29">
        <w:rPr>
          <w:rFonts w:ascii="Times New Roman" w:eastAsia="Calibri" w:hAnsi="Times New Roman" w:cs="Times New Roman"/>
          <w:b/>
          <w:bCs/>
          <w:sz w:val="24"/>
          <w:szCs w:val="24"/>
        </w:rPr>
        <w:t xml:space="preserve"> Which Tests &amp; Why recommended?                                                    </w:t>
      </w:r>
    </w:p>
    <w:p w14:paraId="51BC12B8"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2.3.c:</w:t>
      </w:r>
      <w:r w:rsidRPr="00E85C29">
        <w:rPr>
          <w:rFonts w:ascii="Times New Roman" w:eastAsia="Calibri" w:hAnsi="Times New Roman" w:cs="Times New Roman"/>
          <w:sz w:val="24"/>
          <w:szCs w:val="24"/>
        </w:rPr>
        <w:t xml:space="preserve"> We</w:t>
      </w:r>
      <w:r w:rsidRPr="00E85C29">
        <w:rPr>
          <w:rFonts w:ascii="Times New Roman" w:eastAsia="Calibri" w:hAnsi="Times New Roman" w:cs="Times New Roman"/>
          <w:i/>
          <w:iCs/>
          <w:sz w:val="24"/>
          <w:szCs w:val="24"/>
        </w:rPr>
        <w:t xml:space="preserve"> recommend </w:t>
      </w:r>
      <w:r w:rsidRPr="00E85C29">
        <w:rPr>
          <w:rFonts w:ascii="Times New Roman" w:eastAsia="Calibri" w:hAnsi="Times New Roman" w:cs="Times New Roman"/>
          <w:b/>
          <w:bCs/>
          <w:i/>
          <w:iCs/>
          <w:sz w:val="24"/>
          <w:szCs w:val="24"/>
        </w:rPr>
        <w:t>Gene Panel SGS</w:t>
      </w:r>
      <w:r w:rsidRPr="00E85C29">
        <w:rPr>
          <w:rFonts w:ascii="Times New Roman" w:eastAsia="Calibri" w:hAnsi="Times New Roman" w:cs="Times New Roman"/>
          <w:i/>
          <w:iCs/>
          <w:sz w:val="24"/>
          <w:szCs w:val="24"/>
        </w:rPr>
        <w:t xml:space="preserve"> </w:t>
      </w:r>
      <w:r w:rsidRPr="00E85C29">
        <w:rPr>
          <w:rFonts w:ascii="Times New Roman" w:eastAsia="Calibri" w:hAnsi="Times New Roman" w:cs="Times New Roman"/>
          <w:sz w:val="24"/>
          <w:szCs w:val="24"/>
        </w:rPr>
        <w:t xml:space="preserve">unless mutation is likely known where </w:t>
      </w:r>
      <w:r w:rsidRPr="00E85C29">
        <w:rPr>
          <w:rFonts w:ascii="Times New Roman" w:eastAsia="Calibri" w:hAnsi="Times New Roman" w:cs="Times New Roman"/>
          <w:i/>
          <w:iCs/>
          <w:sz w:val="24"/>
          <w:szCs w:val="24"/>
        </w:rPr>
        <w:t xml:space="preserve">single gene analysis </w:t>
      </w:r>
      <w:r w:rsidRPr="00E85C29">
        <w:rPr>
          <w:rFonts w:ascii="Times New Roman" w:eastAsia="Calibri" w:hAnsi="Times New Roman" w:cs="Times New Roman"/>
          <w:sz w:val="24"/>
          <w:szCs w:val="24"/>
        </w:rPr>
        <w:t xml:space="preserve">is recommended </w:t>
      </w:r>
      <w:r w:rsidRPr="00E85C29">
        <w:rPr>
          <w:rFonts w:ascii="Times New Roman" w:eastAsia="Calibri" w:hAnsi="Times New Roman" w:cs="Times New Roman"/>
          <w:b/>
          <w:bCs/>
          <w:sz w:val="24"/>
          <w:szCs w:val="24"/>
        </w:rPr>
        <w:t xml:space="preserve">(B)IPNA. </w:t>
      </w:r>
      <w:r w:rsidRPr="00E85C29">
        <w:rPr>
          <w:rFonts w:ascii="Times New Roman" w:eastAsia="Calibri" w:hAnsi="Times New Roman" w:cs="Times New Roman"/>
          <w:sz w:val="24"/>
          <w:szCs w:val="24"/>
        </w:rPr>
        <w:t xml:space="preserve">*Recommend </w:t>
      </w:r>
      <w:r w:rsidRPr="00E85C29">
        <w:rPr>
          <w:rFonts w:ascii="Times New Roman" w:eastAsia="Calibri" w:hAnsi="Times New Roman" w:cs="Times New Roman"/>
          <w:b/>
          <w:bCs/>
          <w:sz w:val="24"/>
          <w:szCs w:val="24"/>
        </w:rPr>
        <w:t>WES before transplantation</w:t>
      </w:r>
      <w:r w:rsidRPr="00E85C29">
        <w:rPr>
          <w:rFonts w:ascii="Times New Roman" w:eastAsia="Calibri" w:hAnsi="Times New Roman" w:cs="Times New Roman"/>
          <w:sz w:val="24"/>
          <w:szCs w:val="24"/>
        </w:rPr>
        <w:t xml:space="preserve"> if not previously done and genetic counseling for patients </w:t>
      </w:r>
      <w:r w:rsidRPr="00E85C29">
        <w:rPr>
          <w:rFonts w:ascii="Times New Roman" w:eastAsia="Calibri" w:hAnsi="Times New Roman" w:cs="Times New Roman"/>
          <w:b/>
          <w:bCs/>
          <w:sz w:val="24"/>
          <w:szCs w:val="24"/>
        </w:rPr>
        <w:t>and their families</w:t>
      </w:r>
      <w:r w:rsidRPr="00E85C29">
        <w:rPr>
          <w:rFonts w:ascii="Times New Roman" w:eastAsia="Calibri" w:hAnsi="Times New Roman" w:cs="Times New Roman"/>
          <w:sz w:val="24"/>
          <w:szCs w:val="24"/>
        </w:rPr>
        <w:t xml:space="preserve"> to help them to interpret anticipated and unanticipated genetic findings </w:t>
      </w:r>
      <w:r w:rsidRPr="00E85C29">
        <w:rPr>
          <w:rFonts w:ascii="Times New Roman" w:eastAsia="Calibri" w:hAnsi="Times New Roman" w:cs="Times New Roman"/>
          <w:b/>
          <w:bCs/>
          <w:sz w:val="24"/>
          <w:szCs w:val="24"/>
        </w:rPr>
        <w:t>(B)</w:t>
      </w:r>
    </w:p>
    <w:p w14:paraId="3727072B"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2.3.d</w:t>
      </w:r>
      <w:r w:rsidRPr="00E85C29">
        <w:rPr>
          <w:rFonts w:ascii="Times New Roman" w:eastAsia="Calibri" w:hAnsi="Times New Roman" w:cs="Times New Roman"/>
          <w:sz w:val="24"/>
          <w:szCs w:val="24"/>
        </w:rPr>
        <w:t>: We</w:t>
      </w:r>
      <w:r w:rsidRPr="00E85C29">
        <w:rPr>
          <w:rFonts w:ascii="Times New Roman" w:eastAsia="Calibri" w:hAnsi="Times New Roman" w:cs="Times New Roman"/>
          <w:i/>
          <w:iCs/>
          <w:sz w:val="24"/>
          <w:szCs w:val="24"/>
        </w:rPr>
        <w:t xml:space="preserve"> Recommend</w:t>
      </w:r>
      <w:r w:rsidRPr="00E85C29">
        <w:rPr>
          <w:rFonts w:ascii="Times New Roman" w:eastAsia="Calibri" w:hAnsi="Times New Roman" w:cs="Times New Roman"/>
          <w:sz w:val="24"/>
          <w:szCs w:val="24"/>
        </w:rPr>
        <w:t xml:space="preserve"> referral to centers with genetic experts to avoid use of steroids &amp; immunosuppressive, renal biopsy. </w:t>
      </w:r>
      <w:r w:rsidRPr="00E85C29">
        <w:rPr>
          <w:rFonts w:ascii="Times New Roman" w:eastAsia="Calibri" w:hAnsi="Times New Roman" w:cs="Times New Roman"/>
          <w:color w:val="0070C0"/>
          <w:sz w:val="24"/>
          <w:szCs w:val="24"/>
        </w:rPr>
        <w:t xml:space="preserve">IPNA </w:t>
      </w:r>
      <w:r w:rsidRPr="00E85C29">
        <w:rPr>
          <w:rFonts w:ascii="Times New Roman" w:eastAsia="Calibri" w:hAnsi="Times New Roman" w:cs="Times New Roman"/>
          <w:sz w:val="24"/>
          <w:szCs w:val="24"/>
        </w:rPr>
        <w:t>[</w:t>
      </w:r>
      <w:r w:rsidRPr="00E85C29">
        <w:rPr>
          <w:rFonts w:ascii="Times New Roman" w:eastAsia="Calibri" w:hAnsi="Times New Roman" w:cs="Times New Roman"/>
          <w:color w:val="4472C4"/>
          <w:sz w:val="24"/>
          <w:szCs w:val="24"/>
        </w:rPr>
        <w:t xml:space="preserve">R 31], </w:t>
      </w:r>
      <w:r w:rsidRPr="00E85C29">
        <w:rPr>
          <w:rFonts w:ascii="Times New Roman" w:eastAsia="Calibri" w:hAnsi="Times New Roman" w:cs="Times New Roman"/>
          <w:sz w:val="24"/>
          <w:szCs w:val="24"/>
        </w:rPr>
        <w:t xml:space="preserve">Pre &amp;post TX aggressive protocols of PE &amp; Rituximab that are recommended for idiopathic nonhereditary FSGS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color w:val="4472C4"/>
          <w:sz w:val="24"/>
          <w:szCs w:val="24"/>
        </w:rPr>
        <w:t>IPNA</w:t>
      </w:r>
      <w:r w:rsidRPr="00E85C29">
        <w:rPr>
          <w:rFonts w:ascii="Times New Roman" w:eastAsia="Calibri" w:hAnsi="Times New Roman" w:cs="Times New Roman"/>
          <w:color w:val="FF0000"/>
          <w:sz w:val="24"/>
          <w:szCs w:val="24"/>
        </w:rPr>
        <w:t xml:space="preserve">. </w:t>
      </w:r>
      <w:r w:rsidRPr="00E85C29">
        <w:rPr>
          <w:rFonts w:ascii="Times New Roman" w:eastAsia="Calibri" w:hAnsi="Times New Roman" w:cs="Times New Roman"/>
          <w:sz w:val="24"/>
          <w:szCs w:val="24"/>
        </w:rPr>
        <w:t xml:space="preserve">Allow genetic counseling, prenatal diagnosis </w:t>
      </w:r>
      <w:r w:rsidRPr="00E85C29">
        <w:rPr>
          <w:rFonts w:ascii="Times New Roman" w:eastAsia="Calibri" w:hAnsi="Times New Roman" w:cs="Times New Roman"/>
          <w:color w:val="0070C0"/>
          <w:sz w:val="24"/>
          <w:szCs w:val="24"/>
        </w:rPr>
        <w:t xml:space="preserve">IPNA </w:t>
      </w:r>
      <w:r w:rsidRPr="00E85C29">
        <w:rPr>
          <w:rFonts w:ascii="Times New Roman" w:eastAsia="Calibri" w:hAnsi="Times New Roman" w:cs="Times New Roman"/>
          <w:color w:val="4472C4"/>
          <w:sz w:val="24"/>
          <w:szCs w:val="24"/>
        </w:rPr>
        <w:t>(R 23, 24].</w:t>
      </w:r>
      <w:r w:rsidRPr="00E85C29">
        <w:rPr>
          <w:rFonts w:ascii="Times New Roman" w:eastAsia="Calibri" w:hAnsi="Times New Roman" w:cs="Times New Roman"/>
          <w:sz w:val="24"/>
          <w:szCs w:val="24"/>
        </w:rPr>
        <w:t xml:space="preserve"> Transplant carries low recurrence rate]</w:t>
      </w:r>
      <w:r w:rsidRPr="00E85C29">
        <w:rPr>
          <w:rFonts w:ascii="Times New Roman" w:eastAsia="Calibri" w:hAnsi="Times New Roman" w:cs="Times New Roman"/>
          <w:color w:val="4472C4"/>
          <w:sz w:val="24"/>
          <w:szCs w:val="24"/>
        </w:rPr>
        <w:t xml:space="preserve"> </w:t>
      </w:r>
      <w:r w:rsidRPr="00E85C29">
        <w:rPr>
          <w:rFonts w:ascii="Times New Roman" w:eastAsia="Calibri" w:hAnsi="Times New Roman" w:cs="Times New Roman"/>
          <w:b/>
          <w:bCs/>
          <w:sz w:val="24"/>
          <w:szCs w:val="24"/>
        </w:rPr>
        <w:t>(X)</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color w:val="4472C4"/>
          <w:sz w:val="24"/>
          <w:szCs w:val="24"/>
        </w:rPr>
        <w:t>IPNA).</w:t>
      </w:r>
      <w:r w:rsidRPr="00E85C29">
        <w:rPr>
          <w:rFonts w:ascii="Times New Roman" w:eastAsia="Calibri" w:hAnsi="Times New Roman" w:cs="Times New Roman"/>
          <w:sz w:val="24"/>
          <w:szCs w:val="24"/>
        </w:rPr>
        <w:t xml:space="preserve">  In these centers, Pre-transplant care is available and well presented (nutritional support, CPD, management of complications as infection and thrombosis), proper selection of donors especially when potential donors are family related and when disease inheritance is unidentified</w:t>
      </w:r>
      <w:r w:rsidRPr="00E85C29">
        <w:rPr>
          <w:rFonts w:ascii="Times New Roman" w:eastAsia="Calibri" w:hAnsi="Times New Roman" w:cs="Times New Roman"/>
          <w:color w:val="4472C4"/>
          <w:sz w:val="24"/>
          <w:szCs w:val="24"/>
        </w:rPr>
        <w:t xml:space="preserve"> </w:t>
      </w:r>
      <w:r w:rsidRPr="00E85C29">
        <w:rPr>
          <w:rFonts w:ascii="Times New Roman" w:eastAsia="Calibri" w:hAnsi="Times New Roman" w:cs="Times New Roman"/>
          <w:b/>
          <w:bCs/>
          <w:sz w:val="24"/>
          <w:szCs w:val="24"/>
        </w:rPr>
        <w:t>(X)</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color w:val="4472C4"/>
          <w:sz w:val="24"/>
          <w:szCs w:val="24"/>
        </w:rPr>
        <w:t>IPNA.</w:t>
      </w:r>
      <w:r w:rsidRPr="00E85C29">
        <w:rPr>
          <w:rFonts w:ascii="Times New Roman" w:eastAsia="Calibri" w:hAnsi="Times New Roman" w:cs="Times New Roman"/>
          <w:sz w:val="24"/>
          <w:szCs w:val="24"/>
        </w:rPr>
        <w:t xml:space="preserve"> Special treatment is available for some types as Q </w:t>
      </w:r>
      <w:r w:rsidRPr="00E85C29">
        <w:rPr>
          <w:rFonts w:ascii="Times New Roman" w:eastAsia="Calibri" w:hAnsi="Times New Roman" w:cs="Times New Roman"/>
          <w:b/>
          <w:bCs/>
          <w:color w:val="4472C4"/>
          <w:sz w:val="24"/>
          <w:szCs w:val="24"/>
        </w:rPr>
        <w:t>[</w:t>
      </w:r>
      <w:proofErr w:type="spellStart"/>
      <w:r w:rsidRPr="00E85C29">
        <w:rPr>
          <w:rFonts w:ascii="Times New Roman" w:eastAsia="Calibri" w:hAnsi="Times New Roman" w:cs="Times New Roman"/>
          <w:b/>
          <w:bCs/>
          <w:color w:val="4472C4"/>
          <w:sz w:val="24"/>
          <w:szCs w:val="24"/>
        </w:rPr>
        <w:t>Ozaltin</w:t>
      </w:r>
      <w:proofErr w:type="spellEnd"/>
      <w:r w:rsidRPr="00E85C29">
        <w:rPr>
          <w:rFonts w:ascii="Times New Roman" w:eastAsia="Calibri" w:hAnsi="Times New Roman" w:cs="Times New Roman"/>
          <w:b/>
          <w:bCs/>
          <w:color w:val="4472C4"/>
          <w:sz w:val="24"/>
          <w:szCs w:val="24"/>
        </w:rPr>
        <w:t xml:space="preserve"> 2014].</w:t>
      </w:r>
      <w:r w:rsidRPr="00E85C29">
        <w:rPr>
          <w:rFonts w:ascii="Times New Roman" w:eastAsia="Calibri" w:hAnsi="Times New Roman" w:cs="Times New Roman"/>
          <w:sz w:val="24"/>
          <w:szCs w:val="24"/>
        </w:rPr>
        <w:t xml:space="preserve"> Early diagnosis and management control progress of extra renal manifestations as well</w:t>
      </w:r>
      <w:r w:rsidRPr="00E85C29">
        <w:rPr>
          <w:rFonts w:ascii="Times New Roman" w:eastAsia="Calibri" w:hAnsi="Times New Roman" w:cs="Times New Roman"/>
          <w:color w:val="4472C4"/>
          <w:sz w:val="24"/>
          <w:szCs w:val="24"/>
        </w:rPr>
        <w:t xml:space="preserve">. IPNA </w:t>
      </w:r>
      <w:r w:rsidRPr="00E85C29">
        <w:rPr>
          <w:rFonts w:ascii="Times New Roman" w:eastAsia="Calibri" w:hAnsi="Times New Roman" w:cs="Times New Roman"/>
          <w:b/>
          <w:bCs/>
          <w:color w:val="4472C4"/>
          <w:sz w:val="24"/>
          <w:szCs w:val="24"/>
        </w:rPr>
        <w:t>[25, 26].</w:t>
      </w:r>
      <w:r w:rsidRPr="00E85C29">
        <w:rPr>
          <w:rFonts w:ascii="Times New Roman" w:eastAsia="Calibri" w:hAnsi="Times New Roman" w:cs="Times New Roman"/>
          <w:sz w:val="24"/>
          <w:szCs w:val="24"/>
        </w:rPr>
        <w:t xml:space="preserve"> </w:t>
      </w:r>
      <w:bookmarkStart w:id="2" w:name="_Hlk96558929"/>
      <w:r w:rsidRPr="00E85C29">
        <w:rPr>
          <w:rFonts w:ascii="Times New Roman" w:eastAsia="Calibri" w:hAnsi="Times New Roman" w:cs="Times New Roman"/>
          <w:sz w:val="24"/>
          <w:szCs w:val="24"/>
        </w:rPr>
        <w:t xml:space="preserve">    </w:t>
      </w:r>
      <w:bookmarkEnd w:id="2"/>
    </w:p>
    <w:p w14:paraId="6F4ACCCB"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2.3.e:</w:t>
      </w:r>
      <w:r w:rsidRPr="00E85C29">
        <w:rPr>
          <w:rFonts w:ascii="Times New Roman" w:eastAsia="Calibri" w:hAnsi="Times New Roman" w:cs="Times New Roman"/>
          <w:sz w:val="24"/>
          <w:szCs w:val="24"/>
        </w:rPr>
        <w:t xml:space="preserve"> National</w:t>
      </w:r>
      <w:r w:rsidRPr="00E85C29">
        <w:rPr>
          <w:rFonts w:ascii="Times New Roman" w:eastAsia="Calibri" w:hAnsi="Times New Roman" w:cs="Times New Roman"/>
          <w:i/>
          <w:iCs/>
          <w:sz w:val="24"/>
          <w:szCs w:val="24"/>
        </w:rPr>
        <w:t xml:space="preserve"> CGLs strongly recommend availability of genetic testing in all its University related Pediatric Nephrology Centers </w:t>
      </w:r>
      <w:r w:rsidRPr="00E85C29">
        <w:rPr>
          <w:rFonts w:ascii="Times New Roman" w:eastAsia="Calibri" w:hAnsi="Times New Roman" w:cs="Times New Roman"/>
          <w:sz w:val="24"/>
          <w:szCs w:val="24"/>
        </w:rPr>
        <w:t xml:space="preserve">and to be covered by   medical insurance </w:t>
      </w:r>
      <w:r w:rsidRPr="00E85C29">
        <w:rPr>
          <w:rFonts w:ascii="Times New Roman" w:eastAsia="Calibri" w:hAnsi="Times New Roman" w:cs="Times New Roman"/>
          <w:b/>
          <w:bCs/>
          <w:sz w:val="24"/>
          <w:szCs w:val="24"/>
        </w:rPr>
        <w:t>(EPG PP 2.1).</w:t>
      </w:r>
      <w:r w:rsidRPr="00E85C29">
        <w:rPr>
          <w:rFonts w:ascii="Times New Roman" w:eastAsia="Calibri" w:hAnsi="Times New Roman" w:cs="Times New Roman"/>
          <w:sz w:val="24"/>
          <w:szCs w:val="24"/>
        </w:rPr>
        <w:t xml:space="preserve">  </w:t>
      </w:r>
    </w:p>
    <w:p w14:paraId="239F6F39" w14:textId="77777777" w:rsidR="00E85C29" w:rsidRPr="00E85C29" w:rsidRDefault="00E85C29" w:rsidP="00E85C29">
      <w:pPr>
        <w:tabs>
          <w:tab w:val="left" w:pos="90"/>
        </w:tabs>
        <w:ind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t>
      </w:r>
    </w:p>
    <w:p w14:paraId="367AB1B4" w14:textId="77777777" w:rsidR="00E85C29" w:rsidRPr="00E85C29" w:rsidRDefault="00E85C29" w:rsidP="00E85C29">
      <w:pPr>
        <w:shd w:val="clear" w:color="auto" w:fill="F2F2F2"/>
        <w:tabs>
          <w:tab w:val="left" w:pos="90"/>
        </w:tabs>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When to recommend for Renal biopsy? Its Value?</w:t>
      </w:r>
    </w:p>
    <w:p w14:paraId="1C00119F" w14:textId="5D4314DE" w:rsidR="00E85C29" w:rsidRPr="00E85C29" w:rsidRDefault="00E85C29" w:rsidP="00A17723">
      <w:pPr>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R 2.4: </w:t>
      </w:r>
      <w:r w:rsidR="00991F68">
        <w:rPr>
          <w:rFonts w:ascii="Times New Roman" w:eastAsia="Calibri" w:hAnsi="Times New Roman" w:cs="Times New Roman"/>
          <w:sz w:val="24"/>
          <w:szCs w:val="24"/>
        </w:rPr>
        <w:t xml:space="preserve"> Renal Biopsy. </w:t>
      </w:r>
      <w:r w:rsidRPr="00E85C29">
        <w:rPr>
          <w:rFonts w:ascii="Times New Roman" w:eastAsia="Calibri" w:hAnsi="Times New Roman" w:cs="Times New Roman"/>
          <w:sz w:val="24"/>
          <w:szCs w:val="24"/>
        </w:rPr>
        <w:t>(</w:t>
      </w:r>
      <w:r w:rsidRPr="00E85C29">
        <w:rPr>
          <w:rFonts w:ascii="Times New Roman" w:eastAsia="Calibri" w:hAnsi="Times New Roman" w:cs="Times New Roman"/>
          <w:b/>
          <w:bCs/>
          <w:sz w:val="24"/>
          <w:szCs w:val="24"/>
        </w:rPr>
        <w:t>B IPNA</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(GPP11)</w:t>
      </w:r>
      <w:r w:rsidRPr="00E85C29">
        <w:rPr>
          <w:rFonts w:ascii="Times New Roman" w:eastAsia="Calibri" w:hAnsi="Times New Roman" w:cs="Times New Roman"/>
          <w:sz w:val="24"/>
          <w:szCs w:val="24"/>
        </w:rPr>
        <w:t xml:space="preserve"> </w:t>
      </w:r>
      <w:r w:rsidR="00A46DCE" w:rsidRPr="00A46DCE">
        <w:rPr>
          <w:rFonts w:ascii="Times New Roman" w:eastAsia="Calibri" w:hAnsi="Times New Roman" w:cs="Times New Roman"/>
          <w:b/>
          <w:bCs/>
          <w:color w:val="0070C0"/>
          <w:sz w:val="24"/>
          <w:szCs w:val="24"/>
        </w:rPr>
        <w:t xml:space="preserve">IPNA </w:t>
      </w:r>
      <w:r w:rsidRPr="00E85C29">
        <w:rPr>
          <w:rFonts w:ascii="Times New Roman" w:eastAsia="Calibri" w:hAnsi="Times New Roman" w:cs="Times New Roman"/>
          <w:b/>
          <w:bCs/>
          <w:color w:val="0070C0"/>
          <w:sz w:val="24"/>
          <w:szCs w:val="24"/>
        </w:rPr>
        <w:t>Table (2)</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GPP (12)</w:t>
      </w:r>
      <w:r w:rsidRPr="00E85C29">
        <w:rPr>
          <w:rFonts w:ascii="Times New Roman" w:eastAsia="Calibri" w:hAnsi="Times New Roman" w:cs="Times New Roman"/>
          <w:sz w:val="24"/>
          <w:szCs w:val="24"/>
        </w:rPr>
        <w:t xml:space="preserve"> </w:t>
      </w:r>
      <w:r w:rsidR="00A17723" w:rsidRPr="00036FCF">
        <w:rPr>
          <w:rFonts w:ascii="Times New Roman" w:eastAsia="Calibri" w:hAnsi="Times New Roman" w:cs="Times New Roman"/>
          <w:color w:val="FF0000"/>
          <w:sz w:val="24"/>
          <w:szCs w:val="24"/>
          <w:highlight w:val="yellow"/>
        </w:rPr>
        <w:t>(</w:t>
      </w:r>
      <w:r w:rsidR="00A17723" w:rsidRPr="00036FCF">
        <w:rPr>
          <w:rFonts w:ascii="Times New Roman" w:eastAsia="Calibri" w:hAnsi="Times New Roman" w:cs="Times New Roman"/>
          <w:b/>
          <w:bCs/>
          <w:color w:val="FF0000"/>
          <w:sz w:val="24"/>
          <w:szCs w:val="24"/>
          <w:highlight w:val="yellow"/>
        </w:rPr>
        <w:t>EPG</w:t>
      </w:r>
      <w:r w:rsidR="00A17723" w:rsidRPr="00036FCF">
        <w:rPr>
          <w:rFonts w:ascii="Times New Roman" w:eastAsia="Calibri" w:hAnsi="Times New Roman" w:cs="Times New Roman"/>
          <w:color w:val="FF0000"/>
          <w:sz w:val="24"/>
          <w:szCs w:val="24"/>
          <w:highlight w:val="yellow"/>
        </w:rPr>
        <w:t xml:space="preserve"> </w:t>
      </w:r>
      <w:r w:rsidR="00A17723" w:rsidRPr="00036FCF">
        <w:rPr>
          <w:rFonts w:ascii="Times New Roman" w:eastAsia="Calibri" w:hAnsi="Times New Roman" w:cs="Times New Roman"/>
          <w:b/>
          <w:bCs/>
          <w:color w:val="FF0000"/>
          <w:sz w:val="24"/>
          <w:szCs w:val="24"/>
          <w:highlight w:val="yellow"/>
        </w:rPr>
        <w:t>Fig 1 &amp; EPG Table 1</w:t>
      </w:r>
      <w:r w:rsidR="00A17723">
        <w:rPr>
          <w:rFonts w:ascii="Times New Roman" w:eastAsia="Calibri" w:hAnsi="Times New Roman" w:cs="Times New Roman"/>
          <w:b/>
          <w:bCs/>
          <w:color w:val="FF0000"/>
          <w:sz w:val="24"/>
          <w:szCs w:val="24"/>
          <w:highlight w:val="yellow"/>
        </w:rPr>
        <w:t>)</w:t>
      </w:r>
      <w:r w:rsidR="00A17723">
        <w:rPr>
          <w:rFonts w:ascii="Times New Roman" w:eastAsia="Calibri" w:hAnsi="Times New Roman" w:cs="Times New Roman"/>
          <w:b/>
          <w:bCs/>
          <w:color w:val="FF0000"/>
          <w:sz w:val="24"/>
          <w:szCs w:val="24"/>
        </w:rPr>
        <w:t xml:space="preserve">, </w:t>
      </w:r>
      <w:r w:rsidR="00A17723" w:rsidRPr="00A17723">
        <w:rPr>
          <w:rFonts w:ascii="Times New Roman" w:eastAsia="Calibri" w:hAnsi="Times New Roman" w:cs="Times New Roman"/>
          <w:b/>
          <w:bCs/>
          <w:color w:val="FF0000"/>
          <w:sz w:val="24"/>
          <w:szCs w:val="24"/>
          <w:highlight w:val="yellow"/>
        </w:rPr>
        <w:t xml:space="preserve">EPG </w:t>
      </w:r>
      <w:r w:rsidRPr="00A17723">
        <w:rPr>
          <w:rFonts w:ascii="Times New Roman" w:eastAsia="Calibri" w:hAnsi="Times New Roman" w:cs="Times New Roman"/>
          <w:b/>
          <w:bCs/>
          <w:color w:val="FF0000"/>
          <w:sz w:val="24"/>
          <w:szCs w:val="24"/>
          <w:highlight w:val="yellow"/>
        </w:rPr>
        <w:t>Fig (</w:t>
      </w:r>
      <w:r w:rsidR="00A17723" w:rsidRPr="00A17723">
        <w:rPr>
          <w:rFonts w:ascii="Times New Roman" w:eastAsia="Calibri" w:hAnsi="Times New Roman" w:cs="Times New Roman"/>
          <w:b/>
          <w:bCs/>
          <w:color w:val="FF0000"/>
          <w:sz w:val="24"/>
          <w:szCs w:val="24"/>
          <w:highlight w:val="yellow"/>
        </w:rPr>
        <w:t>8</w:t>
      </w:r>
      <w:r w:rsidRPr="00A17723">
        <w:rPr>
          <w:rFonts w:ascii="Times New Roman" w:eastAsia="Calibri" w:hAnsi="Times New Roman" w:cs="Times New Roman"/>
          <w:b/>
          <w:bCs/>
          <w:color w:val="FF0000"/>
          <w:sz w:val="24"/>
          <w:szCs w:val="24"/>
          <w:highlight w:val="yellow"/>
        </w:rPr>
        <w:t>)</w:t>
      </w:r>
      <w:r w:rsidRPr="00A17723">
        <w:rPr>
          <w:rFonts w:ascii="Times New Roman" w:eastAsia="Calibri" w:hAnsi="Times New Roman" w:cs="Times New Roman"/>
          <w:color w:val="FF0000"/>
          <w:sz w:val="24"/>
          <w:szCs w:val="24"/>
        </w:rPr>
        <w:t xml:space="preserve"> </w:t>
      </w:r>
      <w:r w:rsidRPr="00E85C29">
        <w:rPr>
          <w:rFonts w:ascii="Times New Roman" w:eastAsia="Calibri" w:hAnsi="Times New Roman" w:cs="Times New Roman"/>
          <w:sz w:val="24"/>
          <w:szCs w:val="24"/>
        </w:rPr>
        <w:t xml:space="preserve">Flowchart. </w:t>
      </w:r>
      <w:r w:rsidRPr="00E85C29">
        <w:rPr>
          <w:rFonts w:ascii="Times New Roman" w:eastAsia="Calibri" w:hAnsi="Times New Roman" w:cs="Times New Roman"/>
          <w:b/>
          <w:bCs/>
          <w:sz w:val="24"/>
          <w:szCs w:val="24"/>
        </w:rPr>
        <w:t xml:space="preserve"> Renal Biopsy</w:t>
      </w:r>
      <w:r w:rsidRPr="00E85C29">
        <w:rPr>
          <w:rFonts w:ascii="Times New Roman" w:eastAsia="Calibri" w:hAnsi="Times New Roman" w:cs="Times New Roman"/>
          <w:sz w:val="24"/>
          <w:szCs w:val="24"/>
        </w:rPr>
        <w:t xml:space="preserve"> to classify renal histology, is crucial in SRNS (grade B, moderate recommendation). </w:t>
      </w:r>
    </w:p>
    <w:p w14:paraId="49B0C253"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2.4.1:</w:t>
      </w:r>
      <w:r w:rsidRPr="00E85C29">
        <w:rPr>
          <w:rFonts w:ascii="Times New Roman" w:eastAsia="Calibri" w:hAnsi="Times New Roman" w:cs="Times New Roman"/>
          <w:sz w:val="24"/>
          <w:szCs w:val="24"/>
        </w:rPr>
        <w:t xml:space="preserve"> We recommend Renal Biopsy (LM, IF, EM) for </w:t>
      </w:r>
      <w:r w:rsidRPr="00E85C29">
        <w:rPr>
          <w:rFonts w:ascii="Times New Roman" w:eastAsia="Calibri" w:hAnsi="Times New Roman" w:cs="Times New Roman"/>
          <w:sz w:val="24"/>
          <w:szCs w:val="24"/>
          <w:u w:val="single"/>
        </w:rPr>
        <w:t>all SRNS</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 xml:space="preserve">A) IPNA, excluding </w:t>
      </w:r>
    </w:p>
    <w:p w14:paraId="1D1BC185"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Genetic, familial, syndromic types (</w:t>
      </w:r>
      <w:r w:rsidRPr="00E85C29">
        <w:rPr>
          <w:rFonts w:ascii="Times New Roman" w:eastAsia="Calibri" w:hAnsi="Times New Roman" w:cs="Times New Roman"/>
          <w:b/>
          <w:bCs/>
          <w:sz w:val="24"/>
          <w:szCs w:val="24"/>
        </w:rPr>
        <w:t xml:space="preserve">B) IPNA </w:t>
      </w:r>
      <w:r w:rsidRPr="00E85C29">
        <w:rPr>
          <w:rFonts w:ascii="Times New Roman" w:eastAsia="Calibri" w:hAnsi="Times New Roman" w:cs="Times New Roman"/>
          <w:sz w:val="24"/>
          <w:szCs w:val="24"/>
        </w:rPr>
        <w:t xml:space="preserve">and secondary NS related to drugs, infections, or malignancy </w:t>
      </w:r>
      <w:r w:rsidRPr="00E85C29">
        <w:rPr>
          <w:rFonts w:ascii="Times New Roman" w:eastAsia="Calibri" w:hAnsi="Times New Roman" w:cs="Times New Roman"/>
          <w:b/>
          <w:bCs/>
          <w:sz w:val="24"/>
          <w:szCs w:val="24"/>
        </w:rPr>
        <w:t>(A) IPNA</w:t>
      </w:r>
      <w:r w:rsidRPr="00E85C29">
        <w:rPr>
          <w:rFonts w:ascii="Times New Roman" w:eastAsia="Calibri" w:hAnsi="Times New Roman" w:cs="Times New Roman"/>
          <w:sz w:val="24"/>
          <w:szCs w:val="24"/>
        </w:rPr>
        <w:t xml:space="preserve">. In countries where Genetic tests are limited to few tertiary centers, renal </w:t>
      </w:r>
      <w:r w:rsidRPr="00E85C29">
        <w:rPr>
          <w:rFonts w:ascii="Times New Roman" w:eastAsia="Calibri" w:hAnsi="Times New Roman" w:cs="Times New Roman"/>
          <w:sz w:val="24"/>
          <w:szCs w:val="24"/>
        </w:rPr>
        <w:lastRenderedPageBreak/>
        <w:t xml:space="preserve">biopsy and lab immunology may be the gold standard test to put therapeutic plan and predict disease outcome based on renal histopathology </w:t>
      </w:r>
      <w:r w:rsidRPr="00E85C29">
        <w:rPr>
          <w:rFonts w:ascii="Times New Roman" w:eastAsia="Calibri" w:hAnsi="Times New Roman" w:cs="Times New Roman"/>
          <w:b/>
          <w:bCs/>
          <w:sz w:val="24"/>
          <w:szCs w:val="24"/>
        </w:rPr>
        <w:t>(B) IPNA</w:t>
      </w:r>
      <w:r w:rsidRPr="00E85C29">
        <w:rPr>
          <w:rFonts w:ascii="Times New Roman" w:eastAsia="Calibri" w:hAnsi="Times New Roman" w:cs="Times New Roman"/>
          <w:sz w:val="24"/>
          <w:szCs w:val="24"/>
        </w:rPr>
        <w:t>.</w:t>
      </w:r>
    </w:p>
    <w:p w14:paraId="4CDBDD36" w14:textId="77777777" w:rsid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Repeat biopsy</w:t>
      </w:r>
      <w:r w:rsidRPr="00E85C29">
        <w:rPr>
          <w:rFonts w:ascii="Times New Roman" w:eastAsia="Calibri" w:hAnsi="Times New Roman" w:cs="Times New Roman"/>
          <w:sz w:val="24"/>
          <w:szCs w:val="24"/>
        </w:rPr>
        <w:t xml:space="preserve"> will be essential for diagnosis of relapse, resistance, change of lupus class, CNIs toxicity, and chronicity in SRNS. </w:t>
      </w:r>
      <w:r w:rsidRPr="00E85C29">
        <w:rPr>
          <w:rFonts w:ascii="Times New Roman" w:eastAsia="Calibri" w:hAnsi="Times New Roman" w:cs="Times New Roman"/>
          <w:b/>
          <w:bCs/>
          <w:sz w:val="24"/>
          <w:szCs w:val="24"/>
        </w:rPr>
        <w:t>(Not graded) KDIGO 2012. (C) (IPNA 2020 P1542).</w:t>
      </w:r>
    </w:p>
    <w:p w14:paraId="29C24EEA" w14:textId="77777777" w:rsidR="00991F68" w:rsidRPr="00E85C29" w:rsidRDefault="00991F68" w:rsidP="00E85C29">
      <w:pPr>
        <w:ind w:left="90" w:firstLine="0"/>
        <w:rPr>
          <w:rFonts w:ascii="Times New Roman" w:eastAsia="Calibri" w:hAnsi="Times New Roman" w:cs="Times New Roman"/>
          <w:b/>
          <w:bCs/>
          <w:sz w:val="24"/>
          <w:szCs w:val="24"/>
        </w:rPr>
      </w:pPr>
    </w:p>
    <w:p w14:paraId="1E5A28DF" w14:textId="77777777" w:rsidR="00E85C29" w:rsidRPr="00E85C29" w:rsidRDefault="00E85C29" w:rsidP="00E85C29">
      <w:pPr>
        <w:ind w:left="90" w:firstLine="0"/>
        <w:rPr>
          <w:rFonts w:ascii="Times New Roman" w:eastAsia="Calibri" w:hAnsi="Times New Roman" w:cs="Times New Roman"/>
          <w:sz w:val="24"/>
          <w:szCs w:val="24"/>
        </w:rPr>
      </w:pPr>
      <w:r w:rsidRPr="00991F68">
        <w:rPr>
          <w:rFonts w:ascii="Times New Roman" w:eastAsia="Calibri" w:hAnsi="Times New Roman" w:cs="Times New Roman"/>
          <w:b/>
          <w:bCs/>
          <w:sz w:val="24"/>
          <w:szCs w:val="24"/>
        </w:rPr>
        <w:t>R 2.4.2:</w:t>
      </w:r>
      <w:r w:rsidRPr="00991F68">
        <w:rPr>
          <w:rFonts w:ascii="Times New Roman" w:eastAsia="Calibri" w:hAnsi="Times New Roman" w:cs="Times New Roman"/>
          <w:sz w:val="24"/>
          <w:szCs w:val="24"/>
        </w:rPr>
        <w:t xml:space="preserve">    </w:t>
      </w:r>
      <w:r w:rsidRPr="00E85C29">
        <w:rPr>
          <w:rFonts w:ascii="Times New Roman" w:eastAsia="Calibri" w:hAnsi="Times New Roman" w:cs="Times New Roman"/>
          <w:sz w:val="24"/>
          <w:szCs w:val="24"/>
        </w:rPr>
        <w:t>WHY Renal Biopsy in SRNS?</w:t>
      </w:r>
    </w:p>
    <w:p w14:paraId="03DEBFE4" w14:textId="77777777" w:rsidR="00E85C29" w:rsidRPr="00E85C29" w:rsidRDefault="00E85C29" w:rsidP="00E85C29">
      <w:pPr>
        <w:tabs>
          <w:tab w:val="left" w:pos="9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To determine the underlying pathology before initiating treatment of </w:t>
      </w:r>
      <w:r w:rsidRPr="00E85C29">
        <w:rPr>
          <w:rFonts w:ascii="Times New Roman" w:eastAsia="Calibri" w:hAnsi="Times New Roman" w:cs="Times New Roman"/>
          <w:b/>
          <w:bCs/>
          <w:sz w:val="24"/>
          <w:szCs w:val="24"/>
        </w:rPr>
        <w:t>SR cases</w:t>
      </w:r>
      <w:r w:rsidRPr="00E85C29">
        <w:rPr>
          <w:rFonts w:ascii="Times New Roman" w:eastAsia="Calibri" w:hAnsi="Times New Roman" w:cs="Times New Roman"/>
          <w:sz w:val="24"/>
          <w:szCs w:val="24"/>
        </w:rPr>
        <w:t xml:space="preserve"> with CNI or other </w:t>
      </w:r>
      <w:proofErr w:type="spellStart"/>
      <w:r w:rsidRPr="00E85C29">
        <w:rPr>
          <w:rFonts w:ascii="Times New Roman" w:eastAsia="Calibri" w:hAnsi="Times New Roman" w:cs="Times New Roman"/>
          <w:sz w:val="24"/>
          <w:szCs w:val="24"/>
        </w:rPr>
        <w:t>immunoppressive</w:t>
      </w:r>
      <w:proofErr w:type="spellEnd"/>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(B).</w:t>
      </w:r>
      <w:r w:rsidRPr="00E85C29">
        <w:rPr>
          <w:rFonts w:ascii="Times New Roman" w:eastAsia="Calibri" w:hAnsi="Times New Roman" w:cs="Times New Roman"/>
          <w:sz w:val="24"/>
          <w:szCs w:val="24"/>
        </w:rPr>
        <w:t xml:space="preserve">  Ideally recommended within 2 week confirmation period) in countries where a GT is not always available, we suggest that a kidney biopsy be performed prior to GT.  This may predict diagnosis of hereditary podocytopathies and confirm diagnosis of immune complex related types (LN, IgA, and ANCA) before starting CNI or other immunosuppressive drugs. </w:t>
      </w:r>
      <w:r w:rsidRPr="00E85C29">
        <w:rPr>
          <w:rFonts w:ascii="Times New Roman" w:eastAsia="Calibri" w:hAnsi="Times New Roman" w:cs="Times New Roman"/>
          <w:b/>
          <w:bCs/>
          <w:sz w:val="24"/>
          <w:szCs w:val="24"/>
        </w:rPr>
        <w:t>(B) IPNA</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 xml:space="preserve">  </w:t>
      </w:r>
    </w:p>
    <w:p w14:paraId="13744F3E"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Light microscopy</w:t>
      </w:r>
      <w:r w:rsidRPr="00E85C29">
        <w:rPr>
          <w:rFonts w:ascii="Times New Roman" w:eastAsia="Calibri" w:hAnsi="Times New Roman" w:cs="Times New Roman"/>
          <w:sz w:val="24"/>
          <w:szCs w:val="24"/>
        </w:rPr>
        <w:t xml:space="preserve">   Establish the Primary histopathology </w:t>
      </w:r>
      <w:r w:rsidRPr="00E85C29">
        <w:rPr>
          <w:rFonts w:ascii="Times New Roman" w:eastAsia="Calibri" w:hAnsi="Times New Roman" w:cs="Times New Roman"/>
          <w:b/>
          <w:bCs/>
          <w:color w:val="0070C0"/>
          <w:sz w:val="24"/>
          <w:szCs w:val="24"/>
        </w:rPr>
        <w:t>[Herlitz 2019],</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sz w:val="24"/>
          <w:szCs w:val="24"/>
        </w:rPr>
        <w:t xml:space="preserve">assess activity and chronicity score., rule out active crescentic (RPGN), fibrous crescents (ESRD), micro </w:t>
      </w:r>
      <w:proofErr w:type="spellStart"/>
      <w:r w:rsidRPr="00E85C29">
        <w:rPr>
          <w:rFonts w:ascii="Times New Roman" w:eastAsia="Calibri" w:hAnsi="Times New Roman" w:cs="Times New Roman"/>
          <w:sz w:val="24"/>
          <w:szCs w:val="24"/>
        </w:rPr>
        <w:t>angiopathy</w:t>
      </w:r>
      <w:proofErr w:type="spellEnd"/>
      <w:r w:rsidRPr="00E85C29">
        <w:rPr>
          <w:rFonts w:ascii="Times New Roman" w:eastAsia="Calibri" w:hAnsi="Times New Roman" w:cs="Times New Roman"/>
          <w:sz w:val="24"/>
          <w:szCs w:val="24"/>
        </w:rPr>
        <w:t xml:space="preserve"> (</w:t>
      </w:r>
      <w:proofErr w:type="spellStart"/>
      <w:r w:rsidRPr="00E85C29">
        <w:rPr>
          <w:rFonts w:ascii="Times New Roman" w:eastAsia="Calibri" w:hAnsi="Times New Roman" w:cs="Times New Roman"/>
          <w:sz w:val="24"/>
          <w:szCs w:val="24"/>
        </w:rPr>
        <w:t>aHUS</w:t>
      </w:r>
      <w:proofErr w:type="spellEnd"/>
      <w:r w:rsidRPr="00E85C29">
        <w:rPr>
          <w:rFonts w:ascii="Times New Roman" w:eastAsia="Calibri" w:hAnsi="Times New Roman" w:cs="Times New Roman"/>
          <w:sz w:val="24"/>
          <w:szCs w:val="24"/>
        </w:rPr>
        <w:t xml:space="preserve">, TTP), focal necrotizing GN (ANCAV). Confirms the diagnosis of active flares in SLE, IgA. MP, MN, diagnose post-transplant recurrence. Histology findings can alter therapeutic plan or justify plasma exchange in some of them. High chronicity score (IFTA) allows immunosuppressive withdrawal.  </w:t>
      </w:r>
      <w:r w:rsidRPr="00E85C29">
        <w:rPr>
          <w:rFonts w:ascii="Times New Roman" w:eastAsia="Calibri" w:hAnsi="Times New Roman" w:cs="Times New Roman"/>
          <w:color w:val="00B0F0"/>
          <w:sz w:val="24"/>
          <w:szCs w:val="24"/>
        </w:rPr>
        <w:t xml:space="preserve"> </w:t>
      </w:r>
      <w:r w:rsidRPr="00E85C29">
        <w:rPr>
          <w:rFonts w:ascii="Times New Roman" w:eastAsia="Calibri" w:hAnsi="Times New Roman" w:cs="Times New Roman"/>
          <w:b/>
          <w:bCs/>
          <w:color w:val="0070C0"/>
          <w:sz w:val="24"/>
          <w:szCs w:val="24"/>
        </w:rPr>
        <w:t>[</w:t>
      </w:r>
      <w:proofErr w:type="spellStart"/>
      <w:r w:rsidRPr="00E85C29">
        <w:rPr>
          <w:rFonts w:ascii="Times New Roman" w:eastAsia="Calibri" w:hAnsi="Times New Roman" w:cs="Times New Roman"/>
          <w:b/>
          <w:bCs/>
          <w:color w:val="0070C0"/>
          <w:sz w:val="24"/>
          <w:szCs w:val="24"/>
        </w:rPr>
        <w:t>Tinawi</w:t>
      </w:r>
      <w:proofErr w:type="spellEnd"/>
      <w:r w:rsidRPr="00E85C29">
        <w:rPr>
          <w:rFonts w:ascii="Times New Roman" w:eastAsia="Calibri" w:hAnsi="Times New Roman" w:cs="Times New Roman"/>
          <w:b/>
          <w:bCs/>
          <w:color w:val="0070C0"/>
          <w:sz w:val="24"/>
          <w:szCs w:val="24"/>
        </w:rPr>
        <w:t xml:space="preserve"> 2020].</w:t>
      </w:r>
    </w:p>
    <w:p w14:paraId="7010C6F3"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Immune-Fluorescent </w:t>
      </w:r>
      <w:proofErr w:type="spellStart"/>
      <w:r w:rsidRPr="00E85C29">
        <w:rPr>
          <w:rFonts w:ascii="Times New Roman" w:eastAsia="Calibri" w:hAnsi="Times New Roman" w:cs="Times New Roman"/>
          <w:b/>
          <w:bCs/>
          <w:sz w:val="24"/>
          <w:szCs w:val="24"/>
        </w:rPr>
        <w:t>Microscopy</w:t>
      </w:r>
      <w:r w:rsidRPr="00E85C29">
        <w:rPr>
          <w:rFonts w:ascii="Times New Roman" w:eastAsia="Calibri" w:hAnsi="Times New Roman" w:cs="Times New Roman"/>
          <w:sz w:val="24"/>
          <w:szCs w:val="24"/>
        </w:rPr>
        <w:t>it</w:t>
      </w:r>
      <w:proofErr w:type="spellEnd"/>
      <w:r w:rsidRPr="00E85C29">
        <w:rPr>
          <w:rFonts w:ascii="Times New Roman" w:eastAsia="Calibri" w:hAnsi="Times New Roman" w:cs="Times New Roman"/>
          <w:sz w:val="24"/>
          <w:szCs w:val="24"/>
        </w:rPr>
        <w:t xml:space="preserve"> diagnoses SRNS with circulating immune complexes. Differentiate between classic MPGN or C3 glomerulopathy. Allocating site, type, and density and pattern of deposits thus, identify specific diseases entities as </w:t>
      </w:r>
      <w:proofErr w:type="spellStart"/>
      <w:r w:rsidRPr="00E85C29">
        <w:rPr>
          <w:rFonts w:ascii="Times New Roman" w:eastAsia="Calibri" w:hAnsi="Times New Roman" w:cs="Times New Roman"/>
          <w:sz w:val="24"/>
          <w:szCs w:val="24"/>
        </w:rPr>
        <w:t>IgAN</w:t>
      </w:r>
      <w:proofErr w:type="spellEnd"/>
      <w:r w:rsidRPr="00E85C29">
        <w:rPr>
          <w:rFonts w:ascii="Times New Roman" w:eastAsia="Calibri" w:hAnsi="Times New Roman" w:cs="Times New Roman"/>
          <w:sz w:val="24"/>
          <w:szCs w:val="24"/>
        </w:rPr>
        <w:t xml:space="preserve">, C3 </w:t>
      </w:r>
      <w:proofErr w:type="spellStart"/>
      <w:r w:rsidRPr="00E85C29">
        <w:rPr>
          <w:rFonts w:ascii="Times New Roman" w:eastAsia="Calibri" w:hAnsi="Times New Roman" w:cs="Times New Roman"/>
          <w:sz w:val="24"/>
          <w:szCs w:val="24"/>
        </w:rPr>
        <w:t>glomerulopathy</w:t>
      </w:r>
      <w:proofErr w:type="spellEnd"/>
      <w:r w:rsidRPr="00E85C29">
        <w:rPr>
          <w:rFonts w:ascii="Times New Roman" w:eastAsia="Calibri" w:hAnsi="Times New Roman" w:cs="Times New Roman"/>
          <w:sz w:val="24"/>
          <w:szCs w:val="24"/>
        </w:rPr>
        <w:t xml:space="preserve">, anti GBM. </w:t>
      </w:r>
      <w:r w:rsidRPr="00E85C29">
        <w:rPr>
          <w:rFonts w:ascii="Times New Roman" w:eastAsia="Calibri" w:hAnsi="Times New Roman" w:cs="Times New Roman"/>
          <w:b/>
          <w:bCs/>
          <w:color w:val="0070C0"/>
          <w:sz w:val="24"/>
          <w:szCs w:val="24"/>
        </w:rPr>
        <w:t>[</w:t>
      </w:r>
      <w:proofErr w:type="spellStart"/>
      <w:r w:rsidRPr="00E85C29">
        <w:rPr>
          <w:rFonts w:ascii="Times New Roman" w:eastAsia="Calibri" w:hAnsi="Times New Roman" w:cs="Times New Roman"/>
          <w:b/>
          <w:bCs/>
          <w:color w:val="0070C0"/>
          <w:sz w:val="24"/>
          <w:szCs w:val="24"/>
        </w:rPr>
        <w:t>Tinawi</w:t>
      </w:r>
      <w:proofErr w:type="spellEnd"/>
      <w:r w:rsidRPr="00E85C29">
        <w:rPr>
          <w:rFonts w:ascii="Times New Roman" w:eastAsia="Calibri" w:hAnsi="Times New Roman" w:cs="Times New Roman"/>
          <w:b/>
          <w:bCs/>
          <w:color w:val="0070C0"/>
          <w:sz w:val="24"/>
          <w:szCs w:val="24"/>
        </w:rPr>
        <w:t xml:space="preserve"> M 2020]</w:t>
      </w:r>
    </w:p>
    <w:p w14:paraId="6B33B7E9" w14:textId="7F41A163" w:rsidR="00E85C29" w:rsidRDefault="00E85C29" w:rsidP="00A17723">
      <w:pPr>
        <w:ind w:left="90" w:firstLine="0"/>
        <w:rPr>
          <w:rFonts w:ascii="Times New Roman" w:eastAsia="Calibri" w:hAnsi="Times New Roman" w:cs="Times New Roman"/>
          <w:b/>
          <w:bCs/>
          <w:color w:val="FF0000"/>
          <w:sz w:val="24"/>
          <w:szCs w:val="24"/>
        </w:rPr>
      </w:pPr>
      <w:r w:rsidRPr="00E85C29">
        <w:rPr>
          <w:rFonts w:ascii="Times New Roman" w:eastAsia="Calibri" w:hAnsi="Times New Roman" w:cs="Times New Roman"/>
          <w:b/>
          <w:bCs/>
          <w:sz w:val="24"/>
          <w:szCs w:val="24"/>
        </w:rPr>
        <w:t xml:space="preserve">Electron Microscopy </w:t>
      </w:r>
      <w:r w:rsidRPr="00E85C29">
        <w:rPr>
          <w:rFonts w:ascii="Times New Roman" w:eastAsia="Calibri" w:hAnsi="Times New Roman" w:cs="Times New Roman"/>
          <w:sz w:val="24"/>
          <w:szCs w:val="24"/>
        </w:rPr>
        <w:t>Confirms the diagnosis in hereditary podocytopathies, GBM ultrastructure, differentiates primary from secondary FSGS, confirms the diagnosis of DDD</w:t>
      </w:r>
      <w:r w:rsidRPr="00E85C29">
        <w:rPr>
          <w:rFonts w:ascii="Times New Roman" w:eastAsia="Calibri" w:hAnsi="Times New Roman" w:cs="Times New Roman"/>
          <w:b/>
          <w:bCs/>
          <w:color w:val="0070C0"/>
          <w:sz w:val="24"/>
          <w:szCs w:val="24"/>
        </w:rPr>
        <w:t>. [</w:t>
      </w:r>
      <w:proofErr w:type="spellStart"/>
      <w:r w:rsidRPr="00E85C29">
        <w:rPr>
          <w:rFonts w:ascii="Times New Roman" w:eastAsia="Calibri" w:hAnsi="Times New Roman" w:cs="Times New Roman"/>
          <w:b/>
          <w:bCs/>
          <w:color w:val="0070C0"/>
          <w:sz w:val="24"/>
          <w:szCs w:val="24"/>
        </w:rPr>
        <w:t>Sethi</w:t>
      </w:r>
      <w:proofErr w:type="spellEnd"/>
      <w:r w:rsidRPr="00E85C29">
        <w:rPr>
          <w:rFonts w:ascii="Times New Roman" w:eastAsia="Calibri" w:hAnsi="Times New Roman" w:cs="Times New Roman"/>
          <w:b/>
          <w:bCs/>
          <w:color w:val="0070C0"/>
          <w:sz w:val="24"/>
          <w:szCs w:val="24"/>
        </w:rPr>
        <w:t xml:space="preserve"> and </w:t>
      </w:r>
      <w:proofErr w:type="spellStart"/>
      <w:r w:rsidRPr="00E85C29">
        <w:rPr>
          <w:rFonts w:ascii="Times New Roman" w:eastAsia="Calibri" w:hAnsi="Times New Roman" w:cs="Times New Roman"/>
          <w:b/>
          <w:bCs/>
          <w:color w:val="0070C0"/>
          <w:sz w:val="24"/>
          <w:szCs w:val="24"/>
        </w:rPr>
        <w:t>Fervenza</w:t>
      </w:r>
      <w:proofErr w:type="spellEnd"/>
      <w:r w:rsidRPr="00E85C29">
        <w:rPr>
          <w:rFonts w:ascii="Times New Roman" w:eastAsia="Calibri" w:hAnsi="Times New Roman" w:cs="Times New Roman"/>
          <w:b/>
          <w:bCs/>
          <w:color w:val="0070C0"/>
          <w:sz w:val="24"/>
          <w:szCs w:val="24"/>
        </w:rPr>
        <w:t xml:space="preserve"> 2019]</w:t>
      </w:r>
      <w:r w:rsidR="0086455B">
        <w:rPr>
          <w:rFonts w:ascii="Times New Roman" w:eastAsia="Calibri" w:hAnsi="Times New Roman" w:cs="Times New Roman"/>
          <w:b/>
          <w:bCs/>
          <w:color w:val="0070C0"/>
          <w:sz w:val="24"/>
          <w:szCs w:val="24"/>
        </w:rPr>
        <w:t xml:space="preserve"> </w:t>
      </w:r>
      <w:r w:rsidR="00A17723" w:rsidRPr="00036FCF">
        <w:rPr>
          <w:rFonts w:ascii="Times New Roman" w:eastAsia="Calibri" w:hAnsi="Times New Roman" w:cs="Times New Roman"/>
          <w:color w:val="FF0000"/>
          <w:sz w:val="24"/>
          <w:szCs w:val="24"/>
          <w:highlight w:val="yellow"/>
        </w:rPr>
        <w:t>(</w:t>
      </w:r>
      <w:r w:rsidR="00A17723" w:rsidRPr="00036FCF">
        <w:rPr>
          <w:rFonts w:ascii="Times New Roman" w:eastAsia="Calibri" w:hAnsi="Times New Roman" w:cs="Times New Roman"/>
          <w:b/>
          <w:bCs/>
          <w:color w:val="FF0000"/>
          <w:sz w:val="24"/>
          <w:szCs w:val="24"/>
          <w:highlight w:val="yellow"/>
        </w:rPr>
        <w:t>EPG</w:t>
      </w:r>
      <w:r w:rsidR="00A17723" w:rsidRPr="00036FCF">
        <w:rPr>
          <w:rFonts w:ascii="Times New Roman" w:eastAsia="Calibri" w:hAnsi="Times New Roman" w:cs="Times New Roman"/>
          <w:color w:val="FF0000"/>
          <w:sz w:val="24"/>
          <w:szCs w:val="24"/>
          <w:highlight w:val="yellow"/>
        </w:rPr>
        <w:t xml:space="preserve"> </w:t>
      </w:r>
      <w:r w:rsidR="00A17723" w:rsidRPr="00036FCF">
        <w:rPr>
          <w:rFonts w:ascii="Times New Roman" w:eastAsia="Calibri" w:hAnsi="Times New Roman" w:cs="Times New Roman"/>
          <w:b/>
          <w:bCs/>
          <w:color w:val="FF0000"/>
          <w:sz w:val="24"/>
          <w:szCs w:val="24"/>
          <w:highlight w:val="yellow"/>
        </w:rPr>
        <w:t>Fig 1 &amp; EPG Table 1</w:t>
      </w:r>
      <w:r w:rsidR="00A17723">
        <w:rPr>
          <w:rFonts w:ascii="Times New Roman" w:eastAsia="Calibri" w:hAnsi="Times New Roman" w:cs="Times New Roman"/>
          <w:b/>
          <w:bCs/>
          <w:color w:val="FF0000"/>
          <w:sz w:val="24"/>
          <w:szCs w:val="24"/>
          <w:highlight w:val="yellow"/>
        </w:rPr>
        <w:t>)</w:t>
      </w:r>
    </w:p>
    <w:p w14:paraId="13D95D5C" w14:textId="77777777" w:rsidR="00A17723" w:rsidRPr="00E85C29" w:rsidRDefault="00A17723" w:rsidP="00A17723">
      <w:pPr>
        <w:ind w:left="90" w:firstLine="0"/>
        <w:rPr>
          <w:rFonts w:ascii="Times New Roman" w:eastAsia="Calibri" w:hAnsi="Times New Roman" w:cs="Times New Roman"/>
          <w:b/>
          <w:bCs/>
          <w:sz w:val="24"/>
          <w:szCs w:val="24"/>
        </w:rPr>
      </w:pPr>
    </w:p>
    <w:p w14:paraId="3A235BE2" w14:textId="77777777" w:rsidR="00E85C29" w:rsidRPr="00E85C29" w:rsidRDefault="00E85C29" w:rsidP="00E85C29">
      <w:pPr>
        <w:shd w:val="clear" w:color="auto" w:fill="F2F2F2"/>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Treatment Recommendations</w:t>
      </w:r>
    </w:p>
    <w:p w14:paraId="7988B8DA"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Rationale</w:t>
      </w:r>
      <w:r w:rsidRPr="00E85C29">
        <w:rPr>
          <w:rFonts w:ascii="Times New Roman" w:eastAsia="Calibri" w:hAnsi="Times New Roman" w:cs="Times New Roman"/>
          <w:sz w:val="24"/>
          <w:szCs w:val="24"/>
        </w:rPr>
        <w:t xml:space="preserve">: Based on the facts that </w:t>
      </w:r>
    </w:p>
    <w:p w14:paraId="0D28758A"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(1) Many countries are lacking genetic testing. </w:t>
      </w:r>
    </w:p>
    <w:p w14:paraId="6431E9CD"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(2) Cyclophosphamides affects fertility in preadolescents. </w:t>
      </w:r>
    </w:p>
    <w:p w14:paraId="69E33FED"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(3) FSGS is the most common cause for SRNS </w:t>
      </w:r>
    </w:p>
    <w:p w14:paraId="4E185ADD"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Therefore, Most CGLs </w:t>
      </w:r>
      <w:r w:rsidRPr="00E85C29">
        <w:rPr>
          <w:rFonts w:ascii="Times New Roman" w:eastAsia="Calibri" w:hAnsi="Times New Roman" w:cs="Times New Roman"/>
          <w:b/>
          <w:bCs/>
          <w:sz w:val="24"/>
          <w:szCs w:val="24"/>
        </w:rPr>
        <w:t>(KDIGO 2012, 2021, IPNA 2020)</w:t>
      </w:r>
      <w:r w:rsidRPr="00E85C29">
        <w:rPr>
          <w:rFonts w:ascii="Times New Roman" w:eastAsia="Calibri" w:hAnsi="Times New Roman" w:cs="Times New Roman"/>
          <w:sz w:val="24"/>
          <w:szCs w:val="24"/>
        </w:rPr>
        <w:t xml:space="preserve"> recommends cyclosporine as first option immune suppressive treatment in pediatric idiopathic SRNS </w:t>
      </w:r>
      <w:r w:rsidRPr="00E85C29">
        <w:rPr>
          <w:rFonts w:ascii="Times New Roman" w:eastAsia="Calibri" w:hAnsi="Times New Roman" w:cs="Times New Roman"/>
          <w:b/>
          <w:bCs/>
          <w:sz w:val="24"/>
          <w:szCs w:val="24"/>
        </w:rPr>
        <w:t xml:space="preserve">(B). </w:t>
      </w:r>
    </w:p>
    <w:p w14:paraId="17629C1E"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National CGL treatment recommendations will be based on histopathology classification considering GT whenever available and indicated. Treatment recommendations include: </w:t>
      </w:r>
    </w:p>
    <w:p w14:paraId="3D0BD77B"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3.1: (1)</w:t>
      </w:r>
      <w:r w:rsidRPr="00E85C29">
        <w:rPr>
          <w:rFonts w:ascii="Times New Roman" w:eastAsia="Calibri" w:hAnsi="Times New Roman" w:cs="Times New Roman"/>
          <w:sz w:val="24"/>
          <w:szCs w:val="24"/>
        </w:rPr>
        <w:t xml:space="preserve"> Supportive drugs should be started once the diagnosis of SRNS has been made. even if genetic tests and kidney biopsy are not available.</w:t>
      </w:r>
    </w:p>
    <w:p w14:paraId="0A566673"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3.2: (2)</w:t>
      </w:r>
      <w:r w:rsidRPr="00E85C29">
        <w:rPr>
          <w:rFonts w:ascii="Times New Roman" w:eastAsia="Calibri" w:hAnsi="Times New Roman" w:cs="Times New Roman"/>
          <w:sz w:val="24"/>
          <w:szCs w:val="24"/>
        </w:rPr>
        <w:t xml:space="preserve"> Delay in genetic test results should not delay start of immunosuppressive therapy. Immediate immunosuppressive CNI may be started to be modified after results are available. Details of immunosuppressive protocols will be reviewed for each histopathologic type in the following statements considering etiology (idiopathic, hereditary, and secondary) and disease severity as well. In the setting   where genetic tests and or histopathology assessment is not available CNI could be started. </w:t>
      </w:r>
    </w:p>
    <w:p w14:paraId="2FA4F84F"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3.3: (3)</w:t>
      </w:r>
      <w:r w:rsidRPr="00E85C29">
        <w:rPr>
          <w:rFonts w:ascii="Times New Roman" w:eastAsia="Calibri" w:hAnsi="Times New Roman" w:cs="Times New Roman"/>
          <w:sz w:val="24"/>
          <w:szCs w:val="24"/>
        </w:rPr>
        <w:t xml:space="preserve"> Prevention and management of complications as (INFECTION, THROMBOSIS.)</w:t>
      </w:r>
    </w:p>
    <w:p w14:paraId="66D6C0D2"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3.4:(4)</w:t>
      </w:r>
      <w:r w:rsidRPr="00E85C29">
        <w:rPr>
          <w:rFonts w:ascii="Times New Roman" w:eastAsia="Calibri" w:hAnsi="Times New Roman" w:cs="Times New Roman"/>
          <w:sz w:val="24"/>
          <w:szCs w:val="24"/>
        </w:rPr>
        <w:t xml:space="preserve"> Management of SRNS/ESRD.   </w:t>
      </w:r>
    </w:p>
    <w:p w14:paraId="57B01520"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t>
      </w:r>
    </w:p>
    <w:p w14:paraId="1927487D" w14:textId="77777777" w:rsidR="00E85C29" w:rsidRPr="00E85C29" w:rsidRDefault="00E85C29" w:rsidP="00BB113C">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R .3.1: (I) Supportive treatment for SRNS patient                       </w:t>
      </w:r>
    </w:p>
    <w:p w14:paraId="1314B16A" w14:textId="41A778E8" w:rsidR="00E85C29" w:rsidRPr="00E85C29" w:rsidRDefault="00E85C29" w:rsidP="00A17723">
      <w:pPr>
        <w:numPr>
          <w:ilvl w:val="0"/>
          <w:numId w:val="10"/>
        </w:numPr>
        <w:tabs>
          <w:tab w:val="left" w:pos="270"/>
          <w:tab w:val="left" w:pos="54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starting RASI with either angiotensin converting enzyme inhibitor (ACE </w:t>
      </w:r>
      <w:proofErr w:type="spellStart"/>
      <w:r w:rsidRPr="00E85C29">
        <w:rPr>
          <w:rFonts w:ascii="Times New Roman" w:eastAsia="Calibri" w:hAnsi="Times New Roman" w:cs="Times New Roman"/>
          <w:sz w:val="24"/>
          <w:szCs w:val="24"/>
        </w:rPr>
        <w:t>i</w:t>
      </w:r>
      <w:proofErr w:type="spellEnd"/>
      <w:r w:rsidRPr="00E85C29">
        <w:rPr>
          <w:rFonts w:ascii="Times New Roman" w:eastAsia="Calibri" w:hAnsi="Times New Roman" w:cs="Times New Roman"/>
          <w:sz w:val="24"/>
          <w:szCs w:val="24"/>
        </w:rPr>
        <w:t xml:space="preserve">) or (ARBs) once the diagnosis of SRNS is made </w:t>
      </w:r>
      <w:r w:rsidRPr="00A17723">
        <w:rPr>
          <w:rFonts w:ascii="Times New Roman" w:eastAsia="Calibri" w:hAnsi="Times New Roman" w:cs="Times New Roman"/>
          <w:b/>
          <w:bCs/>
          <w:color w:val="FF0000"/>
          <w:sz w:val="24"/>
          <w:szCs w:val="24"/>
          <w:highlight w:val="yellow"/>
        </w:rPr>
        <w:t>(</w:t>
      </w:r>
      <w:r w:rsidR="00A17723" w:rsidRPr="00A17723">
        <w:rPr>
          <w:rFonts w:ascii="Times New Roman" w:eastAsia="Calibri" w:hAnsi="Times New Roman" w:cs="Times New Roman"/>
          <w:b/>
          <w:bCs/>
          <w:color w:val="FF0000"/>
          <w:sz w:val="24"/>
          <w:szCs w:val="24"/>
          <w:highlight w:val="yellow"/>
        </w:rPr>
        <w:t xml:space="preserve">EPG </w:t>
      </w:r>
      <w:r w:rsidRPr="00A17723">
        <w:rPr>
          <w:rFonts w:ascii="Times New Roman" w:eastAsia="Calibri" w:hAnsi="Times New Roman" w:cs="Times New Roman"/>
          <w:b/>
          <w:bCs/>
          <w:color w:val="FF0000"/>
          <w:sz w:val="24"/>
          <w:szCs w:val="24"/>
          <w:highlight w:val="yellow"/>
        </w:rPr>
        <w:t xml:space="preserve">Fig </w:t>
      </w:r>
      <w:r w:rsidR="00A17723" w:rsidRPr="00A17723">
        <w:rPr>
          <w:rFonts w:ascii="Times New Roman" w:eastAsia="Calibri" w:hAnsi="Times New Roman" w:cs="Times New Roman"/>
          <w:b/>
          <w:bCs/>
          <w:color w:val="FF0000"/>
          <w:sz w:val="24"/>
          <w:szCs w:val="24"/>
          <w:highlight w:val="yellow"/>
        </w:rPr>
        <w:t>8</w:t>
      </w:r>
      <w:r w:rsidRPr="00A17723">
        <w:rPr>
          <w:rFonts w:ascii="Times New Roman" w:eastAsia="Calibri" w:hAnsi="Times New Roman" w:cs="Times New Roman"/>
          <w:b/>
          <w:bCs/>
          <w:color w:val="FF0000"/>
          <w:sz w:val="24"/>
          <w:szCs w:val="24"/>
          <w:highlight w:val="yellow"/>
        </w:rPr>
        <w:t>).</w:t>
      </w:r>
      <w:r w:rsidRPr="00A17723">
        <w:rPr>
          <w:rFonts w:ascii="Times New Roman" w:eastAsia="Calibri" w:hAnsi="Times New Roman" w:cs="Times New Roman"/>
          <w:color w:val="FF0000"/>
          <w:sz w:val="24"/>
          <w:szCs w:val="24"/>
        </w:rPr>
        <w:t xml:space="preserve"> </w:t>
      </w:r>
      <w:r w:rsidRPr="00E85C29">
        <w:rPr>
          <w:rFonts w:ascii="Times New Roman" w:eastAsia="Calibri" w:hAnsi="Times New Roman" w:cs="Times New Roman"/>
          <w:sz w:val="24"/>
          <w:szCs w:val="24"/>
        </w:rPr>
        <w:t xml:space="preserve">It acts as anti-proteinuria and delay drop in GFR. </w:t>
      </w:r>
      <w:r w:rsidRPr="00E85C29">
        <w:rPr>
          <w:rFonts w:ascii="Times New Roman" w:eastAsia="Calibri" w:hAnsi="Times New Roman" w:cs="Times New Roman"/>
          <w:b/>
          <w:bCs/>
          <w:sz w:val="24"/>
          <w:szCs w:val="24"/>
        </w:rPr>
        <w:t>(B)</w:t>
      </w:r>
      <w:r w:rsidRPr="00E85C29">
        <w:rPr>
          <w:rFonts w:ascii="Times New Roman" w:eastAsia="Calibri" w:hAnsi="Times New Roman" w:cs="Times New Roman"/>
          <w:sz w:val="24"/>
          <w:szCs w:val="24"/>
        </w:rPr>
        <w:t xml:space="preserve"> Moderate recommendation.</w:t>
      </w:r>
    </w:p>
    <w:p w14:paraId="1BE6E65C" w14:textId="77777777" w:rsidR="00E85C29" w:rsidRPr="00E85C29" w:rsidRDefault="00E85C29" w:rsidP="00BB113C">
      <w:pPr>
        <w:numPr>
          <w:ilvl w:val="0"/>
          <w:numId w:val="10"/>
        </w:numPr>
        <w:tabs>
          <w:tab w:val="left" w:pos="270"/>
          <w:tab w:val="left" w:pos="540"/>
        </w:tabs>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monitoring first morning proteinuria after starting RASI therapy </w:t>
      </w:r>
      <w:r w:rsidRPr="00E85C29">
        <w:rPr>
          <w:rFonts w:ascii="Times New Roman" w:eastAsia="Calibri" w:hAnsi="Times New Roman" w:cs="Times New Roman"/>
          <w:b/>
          <w:bCs/>
          <w:sz w:val="24"/>
          <w:szCs w:val="24"/>
        </w:rPr>
        <w:t>(D)</w:t>
      </w:r>
      <w:r w:rsidRPr="00E85C29">
        <w:rPr>
          <w:rFonts w:ascii="Times New Roman" w:eastAsia="Calibri" w:hAnsi="Times New Roman" w:cs="Times New Roman"/>
          <w:sz w:val="24"/>
          <w:szCs w:val="24"/>
        </w:rPr>
        <w:t xml:space="preserve"> aiming for the maximum approved dosage as tolerated. </w:t>
      </w:r>
      <w:r w:rsidRPr="00E85C29">
        <w:rPr>
          <w:rFonts w:ascii="Times New Roman" w:eastAsia="Calibri" w:hAnsi="Times New Roman" w:cs="Times New Roman"/>
          <w:b/>
          <w:bCs/>
          <w:sz w:val="24"/>
          <w:szCs w:val="24"/>
        </w:rPr>
        <w:t>(C).</w:t>
      </w:r>
    </w:p>
    <w:p w14:paraId="04200967" w14:textId="77777777" w:rsidR="00E85C29" w:rsidRPr="00E85C29" w:rsidRDefault="00E85C29" w:rsidP="00BB113C">
      <w:pPr>
        <w:numPr>
          <w:ilvl w:val="0"/>
          <w:numId w:val="10"/>
        </w:numPr>
        <w:tabs>
          <w:tab w:val="left" w:pos="270"/>
          <w:tab w:val="left" w:pos="540"/>
        </w:tabs>
        <w:ind w:left="270" w:hanging="180"/>
        <w:jc w:val="left"/>
        <w:rPr>
          <w:rFonts w:ascii="Times New Roman" w:eastAsia="Calibri" w:hAnsi="Times New Roman" w:cs="Times New Roman"/>
          <w:sz w:val="24"/>
          <w:szCs w:val="24"/>
        </w:rPr>
      </w:pPr>
      <w:proofErr w:type="spellStart"/>
      <w:r w:rsidRPr="00E85C29">
        <w:rPr>
          <w:rFonts w:ascii="Times New Roman" w:eastAsia="Calibri" w:hAnsi="Times New Roman" w:cs="Times New Roman"/>
          <w:sz w:val="24"/>
          <w:szCs w:val="24"/>
        </w:rPr>
        <w:lastRenderedPageBreak/>
        <w:t>ACEi</w:t>
      </w:r>
      <w:proofErr w:type="spellEnd"/>
      <w:r w:rsidRPr="00E85C29">
        <w:rPr>
          <w:rFonts w:ascii="Times New Roman" w:eastAsia="Calibri" w:hAnsi="Times New Roman" w:cs="Times New Roman"/>
          <w:sz w:val="24"/>
          <w:szCs w:val="24"/>
        </w:rPr>
        <w:t xml:space="preserve"> or ARBs should be used with caution in CKD4, and not to be used in AKI, hyperkalemia, intravascular volume depletion </w:t>
      </w:r>
      <w:r w:rsidRPr="00E85C29">
        <w:rPr>
          <w:rFonts w:ascii="Times New Roman" w:eastAsia="Calibri" w:hAnsi="Times New Roman" w:cs="Times New Roman"/>
          <w:b/>
          <w:bCs/>
          <w:sz w:val="24"/>
          <w:szCs w:val="24"/>
        </w:rPr>
        <w:t>(X).</w:t>
      </w:r>
    </w:p>
    <w:p w14:paraId="5C156DD0" w14:textId="77777777" w:rsidR="00E85C29" w:rsidRPr="00E85C29" w:rsidRDefault="00E85C29" w:rsidP="00BB113C">
      <w:pPr>
        <w:numPr>
          <w:ilvl w:val="0"/>
          <w:numId w:val="10"/>
        </w:numPr>
        <w:tabs>
          <w:tab w:val="left" w:pos="270"/>
          <w:tab w:val="left" w:pos="540"/>
        </w:tabs>
        <w:ind w:left="86"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using RASSi with non-renal metabolism (ramipril and ARBs) </w:t>
      </w:r>
      <w:r w:rsidRPr="00E85C29">
        <w:rPr>
          <w:rFonts w:ascii="Times New Roman" w:eastAsia="Calibri" w:hAnsi="Times New Roman" w:cs="Times New Roman"/>
          <w:b/>
          <w:bCs/>
          <w:sz w:val="24"/>
          <w:szCs w:val="24"/>
        </w:rPr>
        <w:t>(D).</w:t>
      </w:r>
    </w:p>
    <w:p w14:paraId="3D22A3A6" w14:textId="77777777" w:rsidR="00E85C29" w:rsidRPr="00E85C29" w:rsidRDefault="00E85C29" w:rsidP="00E85C29">
      <w:pPr>
        <w:tabs>
          <w:tab w:val="left" w:pos="270"/>
          <w:tab w:val="left" w:pos="540"/>
        </w:tabs>
        <w:ind w:left="86" w:firstLine="0"/>
        <w:rPr>
          <w:rFonts w:ascii="Times New Roman" w:eastAsia="Calibri" w:hAnsi="Times New Roman" w:cs="Times New Roman"/>
          <w:sz w:val="24"/>
          <w:szCs w:val="24"/>
        </w:rPr>
      </w:pPr>
    </w:p>
    <w:p w14:paraId="74ECDE09" w14:textId="77777777" w:rsidR="00E85C29" w:rsidRPr="00E85C29" w:rsidRDefault="00E85C29" w:rsidP="00E85C29">
      <w:pPr>
        <w:tabs>
          <w:tab w:val="left" w:pos="270"/>
          <w:tab w:val="left" w:pos="540"/>
        </w:tabs>
        <w:ind w:left="86"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            (II) Immune suppressive drugs used in SRNS</w:t>
      </w:r>
    </w:p>
    <w:p w14:paraId="3E0EEB17"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3.2.1: EPG-GPP8:</w:t>
      </w:r>
    </w:p>
    <w:p w14:paraId="5D5DB9E1"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suggest excluding drugs, infections before starting any immunosuppressive therapy, and to do GT as early as possible, starting immunosuppression therapy till results are available to modify treatment accordingly. </w:t>
      </w:r>
      <w:r w:rsidRPr="00E85C29">
        <w:rPr>
          <w:rFonts w:ascii="Times New Roman" w:eastAsia="Calibri" w:hAnsi="Times New Roman" w:cs="Times New Roman"/>
          <w:b/>
          <w:bCs/>
          <w:sz w:val="24"/>
          <w:szCs w:val="24"/>
        </w:rPr>
        <w:t>(X IPNA)</w:t>
      </w:r>
      <w:r w:rsidRPr="00E85C29">
        <w:rPr>
          <w:rFonts w:ascii="Times New Roman" w:eastAsia="Calibri" w:hAnsi="Times New Roman" w:cs="Times New Roman"/>
          <w:sz w:val="24"/>
          <w:szCs w:val="24"/>
        </w:rPr>
        <w:t xml:space="preserve"> We also recommend assessment for severity of the disease (degree of proteinuria, GFR, presence of extra-renal manifestations) </w:t>
      </w:r>
      <w:r w:rsidRPr="00E85C29">
        <w:rPr>
          <w:rFonts w:ascii="Times New Roman" w:eastAsia="Calibri" w:hAnsi="Times New Roman" w:cs="Times New Roman"/>
          <w:b/>
          <w:bCs/>
          <w:sz w:val="24"/>
          <w:szCs w:val="24"/>
        </w:rPr>
        <w:t>(KDIGO 2021).</w:t>
      </w:r>
      <w:r w:rsidRPr="00E85C29">
        <w:rPr>
          <w:rFonts w:ascii="Times New Roman" w:eastAsia="Calibri" w:hAnsi="Times New Roman" w:cs="Times New Roman"/>
          <w:sz w:val="24"/>
          <w:szCs w:val="24"/>
        </w:rPr>
        <w:t xml:space="preserve"> National CGL suggested treatment protocols </w:t>
      </w:r>
      <w:r w:rsidRPr="00E85C29">
        <w:rPr>
          <w:rFonts w:ascii="Times New Roman" w:eastAsia="Calibri" w:hAnsi="Times New Roman" w:cs="Times New Roman"/>
          <w:b/>
          <w:bCs/>
          <w:color w:val="0070C0"/>
          <w:sz w:val="24"/>
          <w:szCs w:val="24"/>
        </w:rPr>
        <w:t>(Fig 1-7)</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sz w:val="24"/>
          <w:szCs w:val="24"/>
        </w:rPr>
        <w:t xml:space="preserve">are based on renal biopsy, considering other mentioned factors guided by </w:t>
      </w:r>
      <w:r w:rsidRPr="00E85C29">
        <w:rPr>
          <w:rFonts w:ascii="Times New Roman" w:eastAsia="Calibri" w:hAnsi="Times New Roman" w:cs="Times New Roman"/>
          <w:b/>
          <w:bCs/>
          <w:sz w:val="24"/>
          <w:szCs w:val="24"/>
        </w:rPr>
        <w:t>IPNA 2020 &amp; KDIGO 2021</w:t>
      </w:r>
      <w:r w:rsidRPr="00E85C29">
        <w:rPr>
          <w:rFonts w:ascii="Times New Roman" w:eastAsia="Calibri" w:hAnsi="Times New Roman" w:cs="Times New Roman"/>
          <w:sz w:val="24"/>
          <w:szCs w:val="24"/>
        </w:rPr>
        <w:t xml:space="preserve"> recommendations tailored to suit our local community facilities </w:t>
      </w:r>
      <w:r w:rsidRPr="00E85C29">
        <w:rPr>
          <w:rFonts w:ascii="Times New Roman" w:eastAsia="Calibri" w:hAnsi="Times New Roman" w:cs="Times New Roman"/>
          <w:b/>
          <w:bCs/>
          <w:sz w:val="24"/>
          <w:szCs w:val="24"/>
        </w:rPr>
        <w:t>(EPG-GPP8).</w:t>
      </w:r>
    </w:p>
    <w:p w14:paraId="6FB0D57C" w14:textId="77777777" w:rsidR="00E85C29" w:rsidRPr="00E85C29" w:rsidRDefault="00E85C29" w:rsidP="00BB113C">
      <w:pPr>
        <w:ind w:firstLine="0"/>
        <w:rPr>
          <w:rFonts w:ascii="Times New Roman" w:eastAsia="Calibri" w:hAnsi="Times New Roman" w:cs="Times New Roman"/>
          <w:sz w:val="24"/>
          <w:szCs w:val="24"/>
        </w:rPr>
      </w:pPr>
    </w:p>
    <w:p w14:paraId="6DFAF3B3" w14:textId="4481A40E" w:rsidR="00E85C29" w:rsidRPr="00E85C29" w:rsidRDefault="00E85C29" w:rsidP="00E85C29">
      <w:pPr>
        <w:shd w:val="clear" w:color="auto" w:fill="F2F2F2"/>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R 3.2.2 </w:t>
      </w:r>
      <w:r w:rsidRPr="00E85C29">
        <w:rPr>
          <w:rFonts w:ascii="Times New Roman" w:eastAsia="Calibri" w:hAnsi="Times New Roman" w:cs="Times New Roman"/>
          <w:b/>
          <w:bCs/>
          <w:sz w:val="24"/>
          <w:szCs w:val="24"/>
          <w:shd w:val="clear" w:color="auto" w:fill="F2F2F2"/>
        </w:rPr>
        <w:t>A:  (A</w:t>
      </w:r>
      <w:proofErr w:type="gramStart"/>
      <w:r w:rsidRPr="00E85C29">
        <w:rPr>
          <w:rFonts w:ascii="Times New Roman" w:eastAsia="Calibri" w:hAnsi="Times New Roman" w:cs="Times New Roman"/>
          <w:b/>
          <w:bCs/>
          <w:sz w:val="24"/>
          <w:szCs w:val="24"/>
          <w:shd w:val="clear" w:color="auto" w:fill="F2F2F2"/>
        </w:rPr>
        <w:t>)</w:t>
      </w:r>
      <w:r w:rsidR="007F1899">
        <w:rPr>
          <w:rFonts w:ascii="Times New Roman" w:eastAsia="Calibri" w:hAnsi="Times New Roman" w:cs="Times New Roman"/>
          <w:b/>
          <w:bCs/>
          <w:sz w:val="24"/>
          <w:szCs w:val="24"/>
          <w:shd w:val="clear" w:color="auto" w:fill="F2F2F2"/>
        </w:rPr>
        <w:t xml:space="preserve">  </w:t>
      </w:r>
      <w:r w:rsidRPr="00E85C29">
        <w:rPr>
          <w:rFonts w:ascii="Times New Roman" w:eastAsia="Calibri" w:hAnsi="Times New Roman" w:cs="Times New Roman"/>
          <w:b/>
          <w:bCs/>
          <w:sz w:val="24"/>
          <w:szCs w:val="24"/>
          <w:shd w:val="clear" w:color="auto" w:fill="F2F2F2"/>
        </w:rPr>
        <w:t>Focal</w:t>
      </w:r>
      <w:proofErr w:type="gramEnd"/>
      <w:r w:rsidRPr="00E85C29">
        <w:rPr>
          <w:rFonts w:ascii="Times New Roman" w:eastAsia="Calibri" w:hAnsi="Times New Roman" w:cs="Times New Roman"/>
          <w:b/>
          <w:bCs/>
          <w:sz w:val="24"/>
          <w:szCs w:val="24"/>
          <w:shd w:val="clear" w:color="auto" w:fill="F2F2F2"/>
        </w:rPr>
        <w:t xml:space="preserve"> segmental </w:t>
      </w:r>
      <w:proofErr w:type="spellStart"/>
      <w:r w:rsidRPr="00E85C29">
        <w:rPr>
          <w:rFonts w:ascii="Times New Roman" w:eastAsia="Calibri" w:hAnsi="Times New Roman" w:cs="Times New Roman"/>
          <w:b/>
          <w:bCs/>
          <w:sz w:val="24"/>
          <w:szCs w:val="24"/>
          <w:shd w:val="clear" w:color="auto" w:fill="F2F2F2"/>
        </w:rPr>
        <w:t>Glomerulosclerosis</w:t>
      </w:r>
      <w:proofErr w:type="spellEnd"/>
      <w:r w:rsidRPr="00E85C29">
        <w:rPr>
          <w:rFonts w:ascii="Times New Roman" w:eastAsia="Calibri" w:hAnsi="Times New Roman" w:cs="Times New Roman"/>
          <w:b/>
          <w:bCs/>
          <w:sz w:val="24"/>
          <w:szCs w:val="24"/>
          <w:shd w:val="clear" w:color="auto" w:fill="F2F2F2"/>
        </w:rPr>
        <w:t xml:space="preserve"> </w:t>
      </w:r>
      <w:proofErr w:type="spellStart"/>
      <w:r w:rsidRPr="00E85C29">
        <w:rPr>
          <w:rFonts w:ascii="Times New Roman" w:eastAsia="Calibri" w:hAnsi="Times New Roman" w:cs="Times New Roman"/>
          <w:b/>
          <w:bCs/>
          <w:sz w:val="24"/>
          <w:szCs w:val="24"/>
          <w:shd w:val="clear" w:color="auto" w:fill="F2F2F2"/>
        </w:rPr>
        <w:t>Podocytopathies</w:t>
      </w:r>
      <w:proofErr w:type="spellEnd"/>
      <w:r w:rsidRPr="00E85C29">
        <w:rPr>
          <w:rFonts w:ascii="Times New Roman" w:eastAsia="Calibri" w:hAnsi="Times New Roman" w:cs="Times New Roman"/>
          <w:b/>
          <w:bCs/>
          <w:sz w:val="24"/>
          <w:szCs w:val="24"/>
          <w:shd w:val="clear" w:color="auto" w:fill="F2F2F2"/>
        </w:rPr>
        <w:t xml:space="preserve">   </w:t>
      </w:r>
      <w:r w:rsidR="00044CFA" w:rsidRPr="00044CFA">
        <w:rPr>
          <w:rFonts w:ascii="Times New Roman" w:eastAsia="Calibri" w:hAnsi="Times New Roman" w:cs="Times New Roman"/>
          <w:b/>
          <w:bCs/>
          <w:sz w:val="24"/>
          <w:szCs w:val="24"/>
          <w:highlight w:val="yellow"/>
          <w:shd w:val="clear" w:color="auto" w:fill="F2F2F2"/>
        </w:rPr>
        <w:t>(</w:t>
      </w:r>
      <w:r w:rsidR="00044CFA">
        <w:rPr>
          <w:rFonts w:ascii="Times New Roman" w:eastAsia="Calibri" w:hAnsi="Times New Roman" w:cs="Times New Roman"/>
          <w:b/>
          <w:bCs/>
          <w:color w:val="FF0000"/>
          <w:sz w:val="24"/>
          <w:szCs w:val="24"/>
          <w:highlight w:val="yellow"/>
          <w:shd w:val="clear" w:color="auto" w:fill="F2F2F2"/>
        </w:rPr>
        <w:t xml:space="preserve">EPG - </w:t>
      </w:r>
      <w:r w:rsidR="007F1899" w:rsidRPr="007F1899">
        <w:rPr>
          <w:rFonts w:ascii="Times New Roman" w:eastAsia="Calibri" w:hAnsi="Times New Roman" w:cs="Times New Roman"/>
          <w:b/>
          <w:bCs/>
          <w:color w:val="FF0000"/>
          <w:sz w:val="24"/>
          <w:szCs w:val="24"/>
          <w:highlight w:val="yellow"/>
          <w:shd w:val="clear" w:color="auto" w:fill="F2F2F2"/>
        </w:rPr>
        <w:t xml:space="preserve">Fig </w:t>
      </w:r>
      <w:r w:rsidR="007F1899">
        <w:rPr>
          <w:rFonts w:ascii="Times New Roman" w:eastAsia="Calibri" w:hAnsi="Times New Roman" w:cs="Times New Roman"/>
          <w:b/>
          <w:bCs/>
          <w:color w:val="FF0000"/>
          <w:sz w:val="24"/>
          <w:szCs w:val="24"/>
          <w:highlight w:val="yellow"/>
          <w:shd w:val="clear" w:color="auto" w:fill="F2F2F2"/>
        </w:rPr>
        <w:t xml:space="preserve">2 </w:t>
      </w:r>
      <w:r w:rsidR="007F1899" w:rsidRPr="007F1899">
        <w:rPr>
          <w:rFonts w:ascii="Times New Roman" w:eastAsia="Calibri" w:hAnsi="Times New Roman" w:cs="Times New Roman"/>
          <w:b/>
          <w:bCs/>
          <w:color w:val="FF0000"/>
          <w:sz w:val="24"/>
          <w:szCs w:val="24"/>
          <w:highlight w:val="yellow"/>
          <w:shd w:val="clear" w:color="auto" w:fill="F2F2F2"/>
        </w:rPr>
        <w:t>)</w:t>
      </w:r>
      <w:r w:rsidR="007F1899" w:rsidRPr="007F1899">
        <w:rPr>
          <w:rFonts w:ascii="Times New Roman" w:eastAsia="Calibri" w:hAnsi="Times New Roman" w:cs="Times New Roman"/>
          <w:b/>
          <w:bCs/>
          <w:color w:val="FF0000"/>
          <w:sz w:val="24"/>
          <w:szCs w:val="24"/>
          <w:shd w:val="clear" w:color="auto" w:fill="F2F2F2"/>
        </w:rPr>
        <w:t xml:space="preserve"> </w:t>
      </w:r>
      <w:r w:rsidRPr="00E85C29">
        <w:rPr>
          <w:rFonts w:ascii="Times New Roman" w:eastAsia="Calibri" w:hAnsi="Times New Roman" w:cs="Times New Roman"/>
          <w:b/>
          <w:bCs/>
          <w:sz w:val="24"/>
          <w:szCs w:val="24"/>
          <w:shd w:val="clear" w:color="auto" w:fill="F2F2F2"/>
        </w:rPr>
        <w:t xml:space="preserve">            </w:t>
      </w:r>
    </w:p>
    <w:p w14:paraId="4F640B65"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 A1 Management plan:</w:t>
      </w:r>
    </w:p>
    <w:p w14:paraId="4C15F4C9"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(1)</w:t>
      </w:r>
      <w:r w:rsidRPr="00E85C29">
        <w:rPr>
          <w:rFonts w:ascii="Times New Roman" w:eastAsia="Calibri" w:hAnsi="Times New Roman" w:cs="Times New Roman"/>
          <w:sz w:val="24"/>
          <w:szCs w:val="24"/>
        </w:rPr>
        <w:t xml:space="preserve"> Evaluate your patient for secondary type (drugs, infection, lupus)  </w:t>
      </w:r>
    </w:p>
    <w:p w14:paraId="015CADB9" w14:textId="77777777" w:rsidR="00E85C29" w:rsidRPr="00E85C29" w:rsidRDefault="00E85C29" w:rsidP="00E85C29">
      <w:pPr>
        <w:ind w:left="450" w:hanging="36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(2)</w:t>
      </w:r>
      <w:r w:rsidRPr="00E85C29">
        <w:rPr>
          <w:rFonts w:ascii="Times New Roman" w:eastAsia="Calibri" w:hAnsi="Times New Roman" w:cs="Times New Roman"/>
          <w:sz w:val="24"/>
          <w:szCs w:val="24"/>
        </w:rPr>
        <w:t xml:space="preserve"> We suggest </w:t>
      </w:r>
      <w:r w:rsidRPr="00E85C29">
        <w:rPr>
          <w:rFonts w:ascii="Times New Roman" w:eastAsia="Calibri" w:hAnsi="Times New Roman" w:cs="Times New Roman"/>
          <w:b/>
          <w:bCs/>
          <w:sz w:val="24"/>
          <w:szCs w:val="24"/>
        </w:rPr>
        <w:t>early genetic tests when available &amp; indicated</w:t>
      </w:r>
      <w:r w:rsidRPr="00E85C29">
        <w:rPr>
          <w:rFonts w:ascii="Times New Roman" w:eastAsia="Calibri" w:hAnsi="Times New Roman" w:cs="Times New Roman"/>
          <w:sz w:val="24"/>
          <w:szCs w:val="24"/>
        </w:rPr>
        <w:t xml:space="preserve"> as adopted </w:t>
      </w:r>
      <w:r w:rsidRPr="00E85C29">
        <w:rPr>
          <w:rFonts w:ascii="Times New Roman" w:eastAsia="Calibri" w:hAnsi="Times New Roman" w:cs="Times New Roman"/>
          <w:b/>
          <w:bCs/>
          <w:sz w:val="24"/>
          <w:szCs w:val="24"/>
        </w:rPr>
        <w:t>IPNA 2020 (A)</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early referral of genetic types</w:t>
      </w:r>
      <w:r w:rsidRPr="00E85C29">
        <w:rPr>
          <w:rFonts w:ascii="Times New Roman" w:eastAsia="Calibri" w:hAnsi="Times New Roman" w:cs="Times New Roman"/>
          <w:sz w:val="24"/>
          <w:szCs w:val="24"/>
        </w:rPr>
        <w:t xml:space="preserve"> to specialized center with genetic expert   for   dialysis/transplant </w:t>
      </w:r>
      <w:r w:rsidRPr="00E85C29">
        <w:rPr>
          <w:rFonts w:ascii="Times New Roman" w:eastAsia="Calibri" w:hAnsi="Times New Roman" w:cs="Times New Roman"/>
          <w:b/>
          <w:bCs/>
          <w:sz w:val="24"/>
          <w:szCs w:val="24"/>
        </w:rPr>
        <w:t>(X)   strong recommendation</w:t>
      </w:r>
      <w:r w:rsidRPr="00E85C29">
        <w:rPr>
          <w:rFonts w:ascii="Times New Roman" w:eastAsia="Calibri" w:hAnsi="Times New Roman" w:cs="Times New Roman"/>
          <w:sz w:val="24"/>
          <w:szCs w:val="24"/>
        </w:rPr>
        <w:t>.</w:t>
      </w:r>
    </w:p>
    <w:p w14:paraId="5B81387E" w14:textId="77777777" w:rsidR="00E85C29" w:rsidRPr="00E85C29" w:rsidRDefault="00E85C29" w:rsidP="00E85C29">
      <w:pPr>
        <w:ind w:left="450" w:hanging="36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(3)</w:t>
      </w:r>
      <w:r w:rsidRPr="00E85C29">
        <w:rPr>
          <w:rFonts w:ascii="Times New Roman" w:eastAsia="Calibri" w:hAnsi="Times New Roman" w:cs="Times New Roman"/>
          <w:sz w:val="24"/>
          <w:szCs w:val="24"/>
        </w:rPr>
        <w:t xml:space="preserve"> We suggest </w:t>
      </w:r>
      <w:r w:rsidRPr="00E85C29">
        <w:rPr>
          <w:rFonts w:ascii="Times New Roman" w:eastAsia="Calibri" w:hAnsi="Times New Roman" w:cs="Times New Roman"/>
          <w:b/>
          <w:bCs/>
          <w:sz w:val="24"/>
          <w:szCs w:val="24"/>
        </w:rPr>
        <w:t xml:space="preserve">starting cyclosporine </w:t>
      </w:r>
      <w:r w:rsidRPr="00E85C29">
        <w:rPr>
          <w:rFonts w:ascii="Times New Roman" w:eastAsia="Calibri" w:hAnsi="Times New Roman" w:cs="Times New Roman"/>
          <w:sz w:val="24"/>
          <w:szCs w:val="24"/>
        </w:rPr>
        <w:t xml:space="preserve">3-5 mg/kg /d (TL: 100-175 ng/ml) in 2 divided doses for 6 m (TL80-120 </w:t>
      </w:r>
      <w:r w:rsidRPr="00E85C29">
        <w:rPr>
          <w:rFonts w:ascii="Times New Roman" w:eastAsia="Calibri" w:hAnsi="Times New Roman" w:cs="Times New Roman"/>
          <w:b/>
          <w:bCs/>
          <w:sz w:val="24"/>
          <w:szCs w:val="24"/>
        </w:rPr>
        <w:t>(B) IPNA</w:t>
      </w:r>
      <w:r w:rsidRPr="00E85C29">
        <w:rPr>
          <w:rFonts w:ascii="Times New Roman" w:eastAsia="Calibri" w:hAnsi="Times New Roman" w:cs="Times New Roman"/>
          <w:sz w:val="24"/>
          <w:szCs w:val="24"/>
        </w:rPr>
        <w:t xml:space="preserve"> or TAC 0.1-0.2mg/kg/d twice daily for TL4-8 ng/ml. </w:t>
      </w:r>
      <w:r w:rsidRPr="00E85C29">
        <w:rPr>
          <w:rFonts w:ascii="Times New Roman" w:eastAsia="Calibri" w:hAnsi="Times New Roman" w:cs="Times New Roman"/>
          <w:b/>
          <w:bCs/>
          <w:sz w:val="24"/>
          <w:szCs w:val="24"/>
        </w:rPr>
        <w:t>(B) IPNA.</w:t>
      </w:r>
    </w:p>
    <w:p w14:paraId="07613303" w14:textId="77777777" w:rsidR="00E85C29" w:rsidRPr="00E85C29" w:rsidRDefault="00E85C29" w:rsidP="00E85C29">
      <w:pPr>
        <w:ind w:left="450" w:hanging="36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(4)</w:t>
      </w:r>
      <w:r w:rsidRPr="00E85C29">
        <w:rPr>
          <w:rFonts w:ascii="Times New Roman" w:eastAsia="Calibri" w:hAnsi="Times New Roman" w:cs="Times New Roman"/>
          <w:sz w:val="24"/>
          <w:szCs w:val="24"/>
        </w:rPr>
        <w:t xml:space="preserve"> We suggest weekly </w:t>
      </w:r>
      <w:r w:rsidRPr="00E85C29">
        <w:rPr>
          <w:rFonts w:ascii="Times New Roman" w:eastAsia="Calibri" w:hAnsi="Times New Roman" w:cs="Times New Roman"/>
          <w:b/>
          <w:bCs/>
          <w:sz w:val="24"/>
          <w:szCs w:val="24"/>
        </w:rPr>
        <w:t xml:space="preserve">monitoring </w:t>
      </w:r>
      <w:r w:rsidRPr="00E85C29">
        <w:rPr>
          <w:rFonts w:ascii="Times New Roman" w:eastAsia="Calibri" w:hAnsi="Times New Roman" w:cs="Times New Roman"/>
          <w:sz w:val="24"/>
          <w:szCs w:val="24"/>
        </w:rPr>
        <w:t xml:space="preserve">  until target TL is achieved and then every 1-3 months till we reach target TL 80-120 </w:t>
      </w:r>
      <w:proofErr w:type="spellStart"/>
      <w:r w:rsidRPr="00E85C29">
        <w:rPr>
          <w:rFonts w:ascii="Times New Roman" w:eastAsia="Calibri" w:hAnsi="Times New Roman" w:cs="Times New Roman"/>
          <w:sz w:val="24"/>
          <w:szCs w:val="24"/>
        </w:rPr>
        <w:t>cyc</w:t>
      </w:r>
      <w:proofErr w:type="spellEnd"/>
      <w:r w:rsidRPr="00E85C29">
        <w:rPr>
          <w:rFonts w:ascii="Times New Roman" w:eastAsia="Calibri" w:hAnsi="Times New Roman" w:cs="Times New Roman"/>
          <w:sz w:val="24"/>
          <w:szCs w:val="24"/>
        </w:rPr>
        <w:t xml:space="preserve"> , 5-8 </w:t>
      </w:r>
      <w:proofErr w:type="spellStart"/>
      <w:r w:rsidRPr="00E85C29">
        <w:rPr>
          <w:rFonts w:ascii="Times New Roman" w:eastAsia="Calibri" w:hAnsi="Times New Roman" w:cs="Times New Roman"/>
          <w:sz w:val="24"/>
          <w:szCs w:val="24"/>
        </w:rPr>
        <w:t>Tac</w:t>
      </w:r>
      <w:proofErr w:type="spellEnd"/>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(B) IPNA</w:t>
      </w:r>
      <w:r w:rsidRPr="00E85C29">
        <w:rPr>
          <w:rFonts w:ascii="Times New Roman" w:eastAsia="Calibri" w:hAnsi="Times New Roman" w:cs="Times New Roman"/>
          <w:sz w:val="24"/>
          <w:szCs w:val="24"/>
        </w:rPr>
        <w:t xml:space="preserve"> together with serum creatinine as a   safety parameter </w:t>
      </w:r>
      <w:r w:rsidRPr="00E85C29">
        <w:rPr>
          <w:rFonts w:ascii="Times New Roman" w:eastAsia="Calibri" w:hAnsi="Times New Roman" w:cs="Times New Roman"/>
          <w:b/>
          <w:bCs/>
          <w:sz w:val="24"/>
          <w:szCs w:val="24"/>
        </w:rPr>
        <w:t>(D)IPNA.</w:t>
      </w:r>
      <w:r w:rsidRPr="00E85C29">
        <w:rPr>
          <w:rFonts w:ascii="Times New Roman" w:eastAsia="Calibri" w:hAnsi="Times New Roman" w:cs="Times New Roman"/>
          <w:sz w:val="24"/>
          <w:szCs w:val="24"/>
        </w:rPr>
        <w:t xml:space="preserve"> Some patients with Partial Remission will completely remit after dose adjustment. We recommend reducing CNIs dose if GFR decrease below</w:t>
      </w:r>
      <w:r w:rsidR="00991F68">
        <w:rPr>
          <w:rFonts w:ascii="Times New Roman" w:eastAsia="Calibri" w:hAnsi="Times New Roman" w:cs="Times New Roman"/>
          <w:sz w:val="24"/>
          <w:szCs w:val="24"/>
        </w:rPr>
        <w:t xml:space="preserve"> </w:t>
      </w:r>
      <w:r w:rsidRPr="00E85C29">
        <w:rPr>
          <w:rFonts w:ascii="Times New Roman" w:eastAsia="Calibri" w:hAnsi="Times New Roman" w:cs="Times New Roman"/>
          <w:sz w:val="24"/>
          <w:szCs w:val="24"/>
        </w:rPr>
        <w:t>3</w:t>
      </w:r>
      <w:r w:rsidR="00991F68">
        <w:rPr>
          <w:rFonts w:ascii="Times New Roman" w:eastAsia="Calibri" w:hAnsi="Times New Roman" w:cs="Times New Roman"/>
          <w:sz w:val="24"/>
          <w:szCs w:val="24"/>
        </w:rPr>
        <w:t>0</w:t>
      </w:r>
      <w:r w:rsidRPr="00E85C29">
        <w:rPr>
          <w:rFonts w:ascii="Times New Roman" w:eastAsia="Calibri" w:hAnsi="Times New Roman" w:cs="Times New Roman"/>
          <w:sz w:val="24"/>
          <w:szCs w:val="24"/>
        </w:rPr>
        <w:t>ml/min/1.7m</w:t>
      </w:r>
      <w:r w:rsidRPr="00991F68">
        <w:rPr>
          <w:rFonts w:ascii="Times New Roman" w:eastAsia="Calibri" w:hAnsi="Times New Roman" w:cs="Times New Roman"/>
          <w:sz w:val="24"/>
          <w:szCs w:val="24"/>
          <w:vertAlign w:val="superscript"/>
        </w:rPr>
        <w:t>2</w:t>
      </w:r>
      <w:r w:rsidRPr="00E85C29">
        <w:rPr>
          <w:rFonts w:ascii="Times New Roman" w:eastAsia="Calibri" w:hAnsi="Times New Roman" w:cs="Times New Roman"/>
          <w:sz w:val="24"/>
          <w:szCs w:val="24"/>
        </w:rPr>
        <w:t xml:space="preserve"> </w:t>
      </w:r>
      <w:r w:rsidR="00991F68">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(X strong) IPNA</w:t>
      </w:r>
    </w:p>
    <w:p w14:paraId="36EEB4FC" w14:textId="77777777" w:rsidR="00E85C29" w:rsidRPr="00E85C29" w:rsidRDefault="00E85C29" w:rsidP="00E85C29">
      <w:pPr>
        <w:ind w:left="450" w:hanging="36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(5)</w:t>
      </w:r>
      <w:r w:rsidRPr="00E85C29">
        <w:rPr>
          <w:rFonts w:ascii="Times New Roman" w:eastAsia="Calibri" w:hAnsi="Times New Roman" w:cs="Times New Roman"/>
          <w:sz w:val="24"/>
          <w:szCs w:val="24"/>
        </w:rPr>
        <w:t xml:space="preserve"> We suggest for those who attained full remission on CNIs therapy to consider its discontinuation after 12-24 months and conversion to MMF as an alternative immunosuppressive agent</w:t>
      </w:r>
      <w:r w:rsidRPr="00E85C29">
        <w:rPr>
          <w:rFonts w:ascii="Times New Roman" w:eastAsia="Calibri" w:hAnsi="Times New Roman" w:cs="Times New Roman"/>
          <w:b/>
          <w:bCs/>
          <w:sz w:val="24"/>
          <w:szCs w:val="24"/>
        </w:rPr>
        <w:t xml:space="preserve"> (C) IPNA</w:t>
      </w:r>
      <w:r w:rsidRPr="00E85C29">
        <w:rPr>
          <w:rFonts w:ascii="Times New Roman" w:eastAsia="Calibri" w:hAnsi="Times New Roman" w:cs="Times New Roman"/>
          <w:sz w:val="24"/>
          <w:szCs w:val="24"/>
        </w:rPr>
        <w:t xml:space="preserve">. </w:t>
      </w:r>
    </w:p>
    <w:p w14:paraId="7EA1F88A" w14:textId="77777777" w:rsidR="00E85C29" w:rsidRPr="00E85C29" w:rsidRDefault="00E85C29" w:rsidP="00E85C29">
      <w:pPr>
        <w:ind w:left="450" w:hanging="36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(6)</w:t>
      </w:r>
      <w:r w:rsidRPr="00E85C29">
        <w:rPr>
          <w:rFonts w:ascii="Times New Roman" w:eastAsia="Calibri" w:hAnsi="Times New Roman" w:cs="Times New Roman"/>
          <w:sz w:val="24"/>
          <w:szCs w:val="24"/>
        </w:rPr>
        <w:t xml:space="preserve"> We suggest for cyclosporine resistant for 6 months maximum, genetic tests (WES and pathogenicity) to identify hereditary types before shift to dexamethasone, MMF or rituximab </w:t>
      </w:r>
      <w:r w:rsidRPr="00E85C29">
        <w:rPr>
          <w:rFonts w:ascii="Times New Roman" w:eastAsia="Calibri" w:hAnsi="Times New Roman" w:cs="Times New Roman"/>
          <w:b/>
          <w:bCs/>
          <w:sz w:val="24"/>
          <w:szCs w:val="24"/>
        </w:rPr>
        <w:t>(C) IPNA.</w:t>
      </w:r>
      <w:r w:rsidRPr="00E85C29">
        <w:rPr>
          <w:rFonts w:ascii="Times New Roman" w:eastAsia="Calibri" w:hAnsi="Times New Roman" w:cs="Times New Roman"/>
          <w:sz w:val="24"/>
          <w:szCs w:val="24"/>
        </w:rPr>
        <w:t xml:space="preserve"> Monogenic types should be referred to transplantation centers with genetic expert and avoid further immunosuppressive clinical trials </w:t>
      </w:r>
      <w:r w:rsidRPr="00E85C29">
        <w:rPr>
          <w:rFonts w:ascii="Times New Roman" w:eastAsia="Calibri" w:hAnsi="Times New Roman" w:cs="Times New Roman"/>
          <w:b/>
          <w:bCs/>
          <w:sz w:val="24"/>
          <w:szCs w:val="24"/>
        </w:rPr>
        <w:t>(X) IPNA strong</w:t>
      </w:r>
      <w:r w:rsidRPr="00E85C29">
        <w:rPr>
          <w:rFonts w:ascii="Times New Roman" w:eastAsia="Calibri" w:hAnsi="Times New Roman" w:cs="Times New Roman"/>
          <w:sz w:val="24"/>
          <w:szCs w:val="24"/>
        </w:rPr>
        <w:t xml:space="preserve"> recommendation), </w:t>
      </w:r>
      <w:r w:rsidRPr="00E85C29">
        <w:rPr>
          <w:rFonts w:ascii="Times New Roman" w:eastAsia="Calibri" w:hAnsi="Times New Roman" w:cs="Times New Roman"/>
          <w:b/>
          <w:bCs/>
          <w:sz w:val="24"/>
          <w:szCs w:val="24"/>
        </w:rPr>
        <w:t>EPG- GPP9.</w:t>
      </w:r>
      <w:r w:rsidRPr="00E85C29">
        <w:rPr>
          <w:rFonts w:ascii="Times New Roman" w:eastAsia="Calibri" w:hAnsi="Times New Roman" w:cs="Times New Roman"/>
          <w:sz w:val="24"/>
          <w:szCs w:val="24"/>
        </w:rPr>
        <w:t xml:space="preserve"> </w:t>
      </w:r>
    </w:p>
    <w:p w14:paraId="26C8D3E6" w14:textId="77777777" w:rsidR="00E85C29" w:rsidRPr="00E85C29" w:rsidRDefault="00E85C29" w:rsidP="00E85C29">
      <w:pPr>
        <w:ind w:left="360" w:hanging="27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(7)</w:t>
      </w:r>
      <w:r w:rsidRPr="00E85C29">
        <w:rPr>
          <w:rFonts w:ascii="Times New Roman" w:eastAsia="Calibri" w:hAnsi="Times New Roman" w:cs="Times New Roman"/>
          <w:sz w:val="24"/>
          <w:szCs w:val="24"/>
        </w:rPr>
        <w:t xml:space="preserve"> We suggest for </w:t>
      </w:r>
      <w:r w:rsidRPr="00E85C29">
        <w:rPr>
          <w:rFonts w:ascii="Times New Roman" w:eastAsia="Calibri" w:hAnsi="Times New Roman" w:cs="Times New Roman"/>
          <w:b/>
          <w:bCs/>
          <w:sz w:val="24"/>
          <w:szCs w:val="24"/>
        </w:rPr>
        <w:t>CNI resistant</w:t>
      </w:r>
      <w:r w:rsidRPr="00E85C29">
        <w:rPr>
          <w:rFonts w:ascii="Times New Roman" w:eastAsia="Calibri" w:hAnsi="Times New Roman" w:cs="Times New Roman"/>
          <w:sz w:val="24"/>
          <w:szCs w:val="24"/>
        </w:rPr>
        <w:t xml:space="preserve"> after 6 months who are of non-genetic types, to join a </w:t>
      </w:r>
      <w:r w:rsidRPr="00E85C29">
        <w:rPr>
          <w:rFonts w:ascii="Times New Roman" w:eastAsia="Calibri" w:hAnsi="Times New Roman" w:cs="Times New Roman"/>
          <w:b/>
          <w:bCs/>
          <w:sz w:val="24"/>
          <w:szCs w:val="24"/>
        </w:rPr>
        <w:t>clinical trial</w:t>
      </w:r>
      <w:r w:rsidRPr="00E85C29">
        <w:rPr>
          <w:rFonts w:ascii="Times New Roman" w:eastAsia="Calibri" w:hAnsi="Times New Roman" w:cs="Times New Roman"/>
          <w:sz w:val="24"/>
          <w:szCs w:val="24"/>
        </w:rPr>
        <w:t xml:space="preserve"> evaluating novel potential therapy for SRNS </w:t>
      </w:r>
      <w:r w:rsidRPr="00E85C29">
        <w:rPr>
          <w:rFonts w:ascii="Times New Roman" w:eastAsia="Calibri" w:hAnsi="Times New Roman" w:cs="Times New Roman"/>
          <w:b/>
          <w:bCs/>
          <w:sz w:val="24"/>
          <w:szCs w:val="24"/>
        </w:rPr>
        <w:t>(ungraded IPNA).</w:t>
      </w:r>
      <w:r w:rsidRPr="00E85C29">
        <w:rPr>
          <w:rFonts w:ascii="Times New Roman" w:eastAsia="Calibri" w:hAnsi="Times New Roman" w:cs="Times New Roman"/>
          <w:sz w:val="24"/>
          <w:szCs w:val="24"/>
        </w:rPr>
        <w:t xml:space="preserve"> Alternatively, we suggest</w:t>
      </w:r>
      <w:r w:rsidRPr="00E85C29">
        <w:rPr>
          <w:rFonts w:ascii="Times New Roman" w:eastAsia="Calibri" w:hAnsi="Times New Roman" w:cs="Times New Roman"/>
          <w:b/>
          <w:bCs/>
          <w:sz w:val="24"/>
          <w:szCs w:val="24"/>
        </w:rPr>
        <w:t xml:space="preserve"> Rituximab</w:t>
      </w:r>
      <w:r w:rsidRPr="00E85C29">
        <w:rPr>
          <w:rFonts w:ascii="Times New Roman" w:eastAsia="Calibri" w:hAnsi="Times New Roman" w:cs="Times New Roman"/>
          <w:sz w:val="24"/>
          <w:szCs w:val="24"/>
        </w:rPr>
        <w:t xml:space="preserve"> infusions 1-2 infusions within 2 weeks, after exclusion of infections (tuberculosis, hepatitis B, C.) </w:t>
      </w:r>
      <w:r w:rsidRPr="00E85C29">
        <w:rPr>
          <w:rFonts w:ascii="Times New Roman" w:eastAsia="Calibri" w:hAnsi="Times New Roman" w:cs="Times New Roman"/>
          <w:b/>
          <w:bCs/>
          <w:sz w:val="24"/>
          <w:szCs w:val="24"/>
        </w:rPr>
        <w:t>(C) IPNA</w:t>
      </w:r>
      <w:r w:rsidRPr="00E85C29">
        <w:rPr>
          <w:rFonts w:ascii="Times New Roman" w:eastAsia="Calibri" w:hAnsi="Times New Roman" w:cs="Times New Roman"/>
          <w:sz w:val="24"/>
          <w:szCs w:val="24"/>
        </w:rPr>
        <w:t xml:space="preserve">  </w:t>
      </w:r>
    </w:p>
    <w:p w14:paraId="0175EB83" w14:textId="77777777" w:rsidR="00E85C29" w:rsidRPr="00E85C29" w:rsidRDefault="00E85C29" w:rsidP="00E85C29">
      <w:pPr>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In patients </w:t>
      </w:r>
      <w:r w:rsidRPr="00E85C29">
        <w:rPr>
          <w:rFonts w:ascii="Times New Roman" w:eastAsia="Calibri" w:hAnsi="Times New Roman" w:cs="Times New Roman"/>
          <w:b/>
          <w:bCs/>
          <w:sz w:val="24"/>
          <w:szCs w:val="24"/>
        </w:rPr>
        <w:t>achieving partial or complete remission</w:t>
      </w:r>
      <w:r w:rsidRPr="00E85C29">
        <w:rPr>
          <w:rFonts w:ascii="Times New Roman" w:eastAsia="Calibri" w:hAnsi="Times New Roman" w:cs="Times New Roman"/>
          <w:sz w:val="24"/>
          <w:szCs w:val="24"/>
        </w:rPr>
        <w:t xml:space="preserve">, a second course of rituximab after B cell reconstitution. Serum IgG level should be monitored in such patients </w:t>
      </w:r>
      <w:r w:rsidRPr="00E85C29">
        <w:rPr>
          <w:rFonts w:ascii="Times New Roman" w:eastAsia="Calibri" w:hAnsi="Times New Roman" w:cs="Times New Roman"/>
          <w:b/>
          <w:bCs/>
          <w:sz w:val="24"/>
          <w:szCs w:val="24"/>
        </w:rPr>
        <w:t>(C) IPNA.</w:t>
      </w:r>
      <w:r w:rsidRPr="00E85C29">
        <w:rPr>
          <w:rFonts w:ascii="Times New Roman" w:eastAsia="Calibri" w:hAnsi="Times New Roman" w:cs="Times New Roman"/>
          <w:sz w:val="24"/>
          <w:szCs w:val="24"/>
        </w:rPr>
        <w:t xml:space="preserve"> </w:t>
      </w:r>
    </w:p>
    <w:p w14:paraId="23D8A29C" w14:textId="77777777" w:rsidR="00E85C29" w:rsidRPr="00E85C29" w:rsidRDefault="00E85C29" w:rsidP="00E85C29">
      <w:pPr>
        <w:ind w:left="540" w:hanging="45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(8)</w:t>
      </w:r>
      <w:r w:rsidRPr="00E85C29">
        <w:rPr>
          <w:rFonts w:ascii="Times New Roman" w:eastAsia="Calibri" w:hAnsi="Times New Roman" w:cs="Times New Roman"/>
          <w:sz w:val="24"/>
          <w:szCs w:val="24"/>
        </w:rPr>
        <w:t xml:space="preserve"> We suggest for </w:t>
      </w:r>
      <w:r w:rsidRPr="00E85C29">
        <w:rPr>
          <w:rFonts w:ascii="Times New Roman" w:eastAsia="Calibri" w:hAnsi="Times New Roman" w:cs="Times New Roman"/>
          <w:b/>
          <w:bCs/>
          <w:sz w:val="24"/>
          <w:szCs w:val="24"/>
        </w:rPr>
        <w:t>rituximab resistant or intolerant</w:t>
      </w:r>
      <w:r w:rsidRPr="00E85C29">
        <w:rPr>
          <w:rFonts w:ascii="Times New Roman" w:eastAsia="Calibri" w:hAnsi="Times New Roman" w:cs="Times New Roman"/>
          <w:sz w:val="24"/>
          <w:szCs w:val="24"/>
        </w:rPr>
        <w:t xml:space="preserve"> patients to consider </w:t>
      </w:r>
      <w:r w:rsidRPr="00E85C29">
        <w:rPr>
          <w:rFonts w:ascii="Times New Roman" w:eastAsia="Calibri" w:hAnsi="Times New Roman" w:cs="Times New Roman"/>
          <w:b/>
          <w:bCs/>
          <w:sz w:val="24"/>
          <w:szCs w:val="24"/>
        </w:rPr>
        <w:t>plasma exchange</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immunoadsorption</w:t>
      </w:r>
      <w:r w:rsidRPr="00E85C29">
        <w:rPr>
          <w:rFonts w:ascii="Times New Roman" w:eastAsia="Calibri" w:hAnsi="Times New Roman" w:cs="Times New Roman"/>
          <w:sz w:val="24"/>
          <w:szCs w:val="24"/>
        </w:rPr>
        <w:t xml:space="preserve"> or </w:t>
      </w:r>
      <w:r w:rsidRPr="00E85C29">
        <w:rPr>
          <w:rFonts w:ascii="Times New Roman" w:eastAsia="Calibri" w:hAnsi="Times New Roman" w:cs="Times New Roman"/>
          <w:b/>
          <w:bCs/>
          <w:sz w:val="24"/>
          <w:szCs w:val="24"/>
        </w:rPr>
        <w:t>lipid apheresis</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(C) IPNA</w:t>
      </w:r>
    </w:p>
    <w:p w14:paraId="48E2FFFB" w14:textId="77777777" w:rsidR="00E85C29" w:rsidRPr="00E85C29" w:rsidRDefault="00E85C29" w:rsidP="00E85C29">
      <w:pPr>
        <w:ind w:left="450" w:hanging="36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(9)</w:t>
      </w:r>
      <w:r w:rsidRPr="00E85C29">
        <w:rPr>
          <w:rFonts w:ascii="Times New Roman" w:eastAsia="Calibri" w:hAnsi="Times New Roman" w:cs="Times New Roman"/>
          <w:sz w:val="24"/>
          <w:szCs w:val="24"/>
        </w:rPr>
        <w:t xml:space="preserve"> We recommend for non- </w:t>
      </w:r>
      <w:r w:rsidRPr="00E85C29">
        <w:rPr>
          <w:rFonts w:ascii="Times New Roman" w:eastAsia="Calibri" w:hAnsi="Times New Roman" w:cs="Times New Roman"/>
          <w:b/>
          <w:bCs/>
          <w:sz w:val="24"/>
          <w:szCs w:val="24"/>
        </w:rPr>
        <w:t>responsive patients</w:t>
      </w:r>
      <w:r w:rsidRPr="00E85C29">
        <w:rPr>
          <w:rFonts w:ascii="Times New Roman" w:eastAsia="Calibri" w:hAnsi="Times New Roman" w:cs="Times New Roman"/>
          <w:sz w:val="24"/>
          <w:szCs w:val="24"/>
        </w:rPr>
        <w:t xml:space="preserve">, discontinuing ineffective immunosuppressive therapies and continuing RASi and other supportive measures after </w:t>
      </w:r>
      <w:r w:rsidRPr="00E85C29">
        <w:rPr>
          <w:rFonts w:ascii="Times New Roman" w:eastAsia="Calibri" w:hAnsi="Times New Roman" w:cs="Times New Roman"/>
          <w:b/>
          <w:bCs/>
          <w:sz w:val="24"/>
          <w:szCs w:val="24"/>
        </w:rPr>
        <w:t>screening for all known podocytopathy genes (X strong recommendations).</w:t>
      </w:r>
      <w:r w:rsidRPr="00E85C29">
        <w:rPr>
          <w:rFonts w:ascii="Times New Roman" w:eastAsia="Calibri" w:hAnsi="Times New Roman" w:cs="Times New Roman"/>
          <w:sz w:val="24"/>
          <w:szCs w:val="24"/>
        </w:rPr>
        <w:t xml:space="preserve"> </w:t>
      </w:r>
    </w:p>
    <w:p w14:paraId="47832633" w14:textId="77777777" w:rsidR="00E85C29" w:rsidRPr="00E85C29" w:rsidRDefault="00E85C29" w:rsidP="00E85C29">
      <w:pPr>
        <w:ind w:firstLine="0"/>
        <w:jc w:val="left"/>
        <w:rPr>
          <w:rFonts w:ascii="Times New Roman" w:eastAsia="Calibri" w:hAnsi="Times New Roman" w:cs="Times New Roman"/>
          <w:b/>
          <w:bCs/>
          <w:sz w:val="24"/>
          <w:szCs w:val="24"/>
        </w:rPr>
      </w:pPr>
    </w:p>
    <w:p w14:paraId="0D5D44CD" w14:textId="77777777" w:rsidR="00E85C29" w:rsidRPr="00E85C29" w:rsidRDefault="00126279" w:rsidP="00E85C29">
      <w:pPr>
        <w:ind w:firstLine="0"/>
        <w:jc w:val="left"/>
        <w:rPr>
          <w:rFonts w:ascii="Times New Roman" w:eastAsia="Calibri" w:hAnsi="Times New Roman" w:cs="Times New Roman"/>
          <w:b/>
          <w:bCs/>
          <w:sz w:val="24"/>
          <w:szCs w:val="24"/>
        </w:rPr>
      </w:pPr>
      <w:r>
        <w:rPr>
          <w:rFonts w:ascii="Times New Roman" w:eastAsia="Calibri" w:hAnsi="Times New Roman" w:cs="Times New Roman"/>
          <w:b/>
          <w:bCs/>
          <w:sz w:val="24"/>
          <w:szCs w:val="24"/>
        </w:rPr>
        <w:t>R 3.2.2.</w:t>
      </w:r>
      <w:r w:rsidR="00E85C29" w:rsidRPr="00E85C29">
        <w:rPr>
          <w:rFonts w:ascii="Times New Roman" w:eastAsia="Calibri" w:hAnsi="Times New Roman" w:cs="Times New Roman"/>
          <w:b/>
          <w:bCs/>
          <w:sz w:val="24"/>
          <w:szCs w:val="24"/>
        </w:rPr>
        <w:t>A2 T</w:t>
      </w:r>
      <w:r w:rsidRPr="00E85C29">
        <w:rPr>
          <w:rFonts w:ascii="Times New Roman" w:eastAsia="Calibri" w:hAnsi="Times New Roman" w:cs="Times New Roman"/>
          <w:b/>
          <w:bCs/>
          <w:sz w:val="24"/>
          <w:szCs w:val="24"/>
        </w:rPr>
        <w:t xml:space="preserve">reatment of relapse </w:t>
      </w:r>
      <w:r w:rsidR="00E85C29" w:rsidRPr="00E85C29">
        <w:rPr>
          <w:rFonts w:ascii="Times New Roman" w:eastAsia="Calibri" w:hAnsi="Times New Roman" w:cs="Times New Roman"/>
          <w:b/>
          <w:bCs/>
          <w:sz w:val="24"/>
          <w:szCs w:val="24"/>
        </w:rPr>
        <w:t>in Cyclosporin responsive patient</w:t>
      </w:r>
    </w:p>
    <w:p w14:paraId="4E2530E2"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(1)</w:t>
      </w:r>
      <w:r w:rsidRPr="00E85C29">
        <w:rPr>
          <w:rFonts w:ascii="Times New Roman" w:eastAsia="Calibri" w:hAnsi="Times New Roman" w:cs="Times New Roman"/>
          <w:sz w:val="24"/>
          <w:szCs w:val="24"/>
        </w:rPr>
        <w:t>After assuring patient adherence &amp; measuring drug trough level</w:t>
      </w:r>
    </w:p>
    <w:p w14:paraId="03D121BA" w14:textId="77777777" w:rsidR="00E85C29" w:rsidRPr="00E85C29" w:rsidRDefault="00E85C29" w:rsidP="00E85C29">
      <w:pPr>
        <w:ind w:left="540" w:hanging="454"/>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(2)</w:t>
      </w:r>
      <w:r w:rsidRPr="00E85C29">
        <w:rPr>
          <w:rFonts w:ascii="Times New Roman" w:eastAsia="Calibri" w:hAnsi="Times New Roman" w:cs="Times New Roman"/>
          <w:sz w:val="24"/>
          <w:szCs w:val="24"/>
        </w:rPr>
        <w:t xml:space="preserve"> We suggest giving oral PDN (60 mg/M2 daily) until remission is achieved or for a maximum of 4 week, with subsequent tapering when remission is achieved and biopsy. </w:t>
      </w:r>
      <w:r w:rsidRPr="00E85C29">
        <w:rPr>
          <w:rFonts w:ascii="Times New Roman" w:eastAsia="Calibri" w:hAnsi="Times New Roman" w:cs="Times New Roman"/>
          <w:b/>
          <w:bCs/>
          <w:sz w:val="24"/>
          <w:szCs w:val="24"/>
        </w:rPr>
        <w:t>(C) IPNA</w:t>
      </w:r>
      <w:r w:rsidRPr="00E85C29">
        <w:rPr>
          <w:rFonts w:ascii="Times New Roman" w:eastAsia="Calibri" w:hAnsi="Times New Roman" w:cs="Times New Roman"/>
          <w:sz w:val="24"/>
          <w:szCs w:val="24"/>
        </w:rPr>
        <w:t xml:space="preserve">  </w:t>
      </w:r>
    </w:p>
    <w:p w14:paraId="090784F6" w14:textId="77777777" w:rsidR="00E85C29" w:rsidRPr="00E85C29" w:rsidRDefault="00E85C29" w:rsidP="00E85C29">
      <w:pPr>
        <w:ind w:left="540" w:hanging="450"/>
        <w:rPr>
          <w:rFonts w:ascii="Times New Roman" w:eastAsia="Calibri" w:hAnsi="Times New Roman" w:cs="Times New Roman"/>
          <w:sz w:val="24"/>
          <w:szCs w:val="24"/>
        </w:rPr>
      </w:pPr>
      <w:r w:rsidRPr="00E85C29">
        <w:rPr>
          <w:rFonts w:ascii="Times New Roman" w:eastAsia="Calibri" w:hAnsi="Times New Roman" w:cs="Times New Roman"/>
          <w:sz w:val="24"/>
          <w:szCs w:val="24"/>
        </w:rPr>
        <w:lastRenderedPageBreak/>
        <w:t xml:space="preserve"> </w:t>
      </w:r>
      <w:r w:rsidRPr="00E85C29">
        <w:rPr>
          <w:rFonts w:ascii="Times New Roman" w:eastAsia="Calibri" w:hAnsi="Times New Roman" w:cs="Times New Roman"/>
          <w:b/>
          <w:bCs/>
          <w:sz w:val="24"/>
          <w:szCs w:val="24"/>
        </w:rPr>
        <w:t>(3)</w:t>
      </w:r>
      <w:r w:rsidRPr="00E85C29">
        <w:rPr>
          <w:rFonts w:ascii="Times New Roman" w:eastAsia="Calibri" w:hAnsi="Times New Roman" w:cs="Times New Roman"/>
          <w:sz w:val="24"/>
          <w:szCs w:val="24"/>
        </w:rPr>
        <w:t xml:space="preserve"> If biopsy shows signs of cyclosporine toxicity a switch to mycophenolate is recommended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IPNA</w:t>
      </w:r>
      <w:r w:rsidRPr="00E85C29">
        <w:rPr>
          <w:rFonts w:ascii="Times New Roman" w:eastAsia="Calibri" w:hAnsi="Times New Roman" w:cs="Times New Roman"/>
          <w:sz w:val="24"/>
          <w:szCs w:val="24"/>
        </w:rPr>
        <w:t xml:space="preserve">, Alternatively, if there are no signs of cyclosporine toxicity, continue CSA for               12-24 m.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consider addition of MMF </w:t>
      </w:r>
      <w:r w:rsidRPr="00E85C29">
        <w:rPr>
          <w:rFonts w:ascii="Times New Roman" w:eastAsia="Calibri" w:hAnsi="Times New Roman" w:cs="Times New Roman"/>
          <w:b/>
          <w:bCs/>
          <w:sz w:val="24"/>
          <w:szCs w:val="24"/>
        </w:rPr>
        <w:t>(C) IPNA</w:t>
      </w:r>
    </w:p>
    <w:p w14:paraId="0084812D" w14:textId="77777777" w:rsidR="00E85C29" w:rsidRPr="00E85C29" w:rsidRDefault="00E85C29" w:rsidP="00126279">
      <w:pPr>
        <w:ind w:left="630" w:hanging="54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 (4)</w:t>
      </w:r>
      <w:r w:rsidRPr="00E85C29">
        <w:rPr>
          <w:rFonts w:ascii="Times New Roman" w:eastAsia="Calibri" w:hAnsi="Times New Roman" w:cs="Times New Roman"/>
          <w:sz w:val="24"/>
          <w:szCs w:val="24"/>
        </w:rPr>
        <w:t xml:space="preserve"> If steroid did not induce remission after 6weeks (SR/CNIR) we suggest a switch to:  Mycophenolate is recommended </w:t>
      </w:r>
      <w:r w:rsidRPr="00E85C29">
        <w:rPr>
          <w:rFonts w:ascii="Times New Roman" w:eastAsia="Calibri" w:hAnsi="Times New Roman" w:cs="Times New Roman"/>
          <w:b/>
          <w:bCs/>
          <w:sz w:val="24"/>
          <w:szCs w:val="24"/>
        </w:rPr>
        <w:t>(C) IPNA</w:t>
      </w:r>
      <w:r w:rsidRPr="00E85C29">
        <w:rPr>
          <w:rFonts w:ascii="Times New Roman" w:eastAsia="Calibri" w:hAnsi="Times New Roman" w:cs="Times New Roman"/>
          <w:sz w:val="24"/>
          <w:szCs w:val="24"/>
        </w:rPr>
        <w:t xml:space="preserve"> or Dexamethasone </w:t>
      </w:r>
      <w:r w:rsidRPr="00E85C29">
        <w:rPr>
          <w:rFonts w:ascii="Times New Roman" w:eastAsia="Calibri" w:hAnsi="Times New Roman" w:cs="Times New Roman"/>
          <w:b/>
          <w:bCs/>
          <w:sz w:val="24"/>
          <w:szCs w:val="24"/>
        </w:rPr>
        <w:t>+</w:t>
      </w:r>
      <w:r w:rsidRPr="00E85C29">
        <w:rPr>
          <w:rFonts w:ascii="Times New Roman" w:eastAsia="Calibri" w:hAnsi="Times New Roman" w:cs="Times New Roman"/>
          <w:sz w:val="24"/>
          <w:szCs w:val="24"/>
        </w:rPr>
        <w:t xml:space="preserve"> MMF </w:t>
      </w:r>
      <w:r w:rsidRPr="00E85C29">
        <w:rPr>
          <w:rFonts w:ascii="Times New Roman" w:eastAsia="Calibri" w:hAnsi="Times New Roman" w:cs="Times New Roman"/>
          <w:b/>
          <w:bCs/>
          <w:sz w:val="24"/>
          <w:szCs w:val="24"/>
        </w:rPr>
        <w:t>(C) IPNA</w:t>
      </w:r>
      <w:r w:rsidRPr="00E85C29">
        <w:rPr>
          <w:rFonts w:ascii="Times New Roman" w:eastAsia="Calibri" w:hAnsi="Times New Roman" w:cs="Times New Roman"/>
          <w:sz w:val="24"/>
          <w:szCs w:val="24"/>
        </w:rPr>
        <w:t xml:space="preserve">. However, </w:t>
      </w:r>
      <w:r w:rsidRPr="00E85C29">
        <w:rPr>
          <w:rFonts w:ascii="Times New Roman" w:eastAsia="Calibri" w:hAnsi="Times New Roman" w:cs="Times New Roman"/>
          <w:b/>
          <w:bCs/>
          <w:sz w:val="24"/>
          <w:szCs w:val="24"/>
        </w:rPr>
        <w:t>KDIGO 2021</w:t>
      </w:r>
      <w:r w:rsidRPr="00E85C29">
        <w:rPr>
          <w:rFonts w:ascii="Times New Roman" w:eastAsia="Calibri" w:hAnsi="Times New Roman" w:cs="Times New Roman"/>
          <w:sz w:val="24"/>
          <w:szCs w:val="24"/>
        </w:rPr>
        <w:t xml:space="preserve"> Work Group removed the use of MMF and high dose dexamethasone recommendation in </w:t>
      </w:r>
      <w:r w:rsidRPr="00E85C29">
        <w:rPr>
          <w:rFonts w:ascii="Times New Roman" w:eastAsia="Calibri" w:hAnsi="Times New Roman" w:cs="Times New Roman"/>
          <w:b/>
          <w:bCs/>
          <w:sz w:val="24"/>
          <w:szCs w:val="24"/>
        </w:rPr>
        <w:t>KDIGO 2012</w:t>
      </w:r>
      <w:r w:rsidRPr="00E85C29">
        <w:rPr>
          <w:rFonts w:ascii="Times New Roman" w:eastAsia="Calibri" w:hAnsi="Times New Roman" w:cs="Times New Roman"/>
          <w:sz w:val="24"/>
          <w:szCs w:val="24"/>
        </w:rPr>
        <w:t xml:space="preserve"> and considered it as an alternative when other options failed</w:t>
      </w:r>
      <w:r w:rsidR="00126279">
        <w:rPr>
          <w:rFonts w:ascii="Times New Roman" w:eastAsia="Calibri" w:hAnsi="Times New Roman" w:cs="Times New Roman"/>
          <w:sz w:val="24"/>
          <w:szCs w:val="24"/>
        </w:rPr>
        <w:t>.</w:t>
      </w:r>
      <w:r w:rsidRPr="00E85C29">
        <w:rPr>
          <w:rFonts w:ascii="Times New Roman" w:eastAsia="Calibri" w:hAnsi="Times New Roman" w:cs="Times New Roman"/>
          <w:b/>
          <w:bCs/>
          <w:sz w:val="24"/>
          <w:szCs w:val="24"/>
        </w:rPr>
        <w:t xml:space="preserve"> </w:t>
      </w:r>
      <w:r w:rsidR="00126279">
        <w:rPr>
          <w:rFonts w:ascii="Times New Roman" w:eastAsia="Calibri" w:hAnsi="Times New Roman" w:cs="Times New Roman"/>
          <w:b/>
          <w:bCs/>
          <w:sz w:val="24"/>
          <w:szCs w:val="24"/>
        </w:rPr>
        <w:t xml:space="preserve">Switch to </w:t>
      </w:r>
      <w:proofErr w:type="gramStart"/>
      <w:r w:rsidRPr="00E85C29">
        <w:rPr>
          <w:rFonts w:ascii="Times New Roman" w:eastAsia="Calibri" w:hAnsi="Times New Roman" w:cs="Times New Roman"/>
          <w:b/>
          <w:bCs/>
          <w:sz w:val="24"/>
          <w:szCs w:val="24"/>
        </w:rPr>
        <w:t xml:space="preserve">Rituximab </w:t>
      </w:r>
      <w:r w:rsidR="00126279">
        <w:rPr>
          <w:rFonts w:ascii="Times New Roman" w:eastAsia="Calibri" w:hAnsi="Times New Roman" w:cs="Times New Roman"/>
          <w:b/>
          <w:bCs/>
          <w:sz w:val="24"/>
          <w:szCs w:val="24"/>
        </w:rPr>
        <w:t xml:space="preserve"> was</w:t>
      </w:r>
      <w:proofErr w:type="gramEnd"/>
      <w:r w:rsidR="00126279">
        <w:rPr>
          <w:rFonts w:ascii="Times New Roman" w:eastAsia="Calibri" w:hAnsi="Times New Roman" w:cs="Times New Roman"/>
          <w:b/>
          <w:bCs/>
          <w:sz w:val="24"/>
          <w:szCs w:val="24"/>
        </w:rPr>
        <w:t xml:space="preserve"> also suggested </w:t>
      </w:r>
      <w:r w:rsidRPr="00E85C29">
        <w:rPr>
          <w:rFonts w:ascii="Times New Roman" w:eastAsia="Calibri" w:hAnsi="Times New Roman" w:cs="Times New Roman"/>
          <w:b/>
          <w:bCs/>
          <w:sz w:val="24"/>
          <w:szCs w:val="24"/>
        </w:rPr>
        <w:t xml:space="preserve">(2c) Japanese. </w:t>
      </w:r>
    </w:p>
    <w:p w14:paraId="765C4A79" w14:textId="77777777" w:rsidR="00E85C29" w:rsidRPr="00E85C29" w:rsidRDefault="00E85C29" w:rsidP="00E85C29">
      <w:pPr>
        <w:ind w:left="18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(5)</w:t>
      </w:r>
      <w:r w:rsidRPr="00E85C29">
        <w:rPr>
          <w:rFonts w:ascii="Times New Roman" w:eastAsia="Calibri" w:hAnsi="Times New Roman" w:cs="Times New Roman"/>
          <w:sz w:val="24"/>
          <w:szCs w:val="24"/>
        </w:rPr>
        <w:t xml:space="preserve"> If biopsy show high chronicity score FSGS/ESRD refer to dialysis/transplant. </w:t>
      </w:r>
    </w:p>
    <w:p w14:paraId="4DA20DD3" w14:textId="77777777" w:rsidR="00E85C29" w:rsidRPr="00E85C29" w:rsidRDefault="00E85C29" w:rsidP="00E85C29">
      <w:pPr>
        <w:ind w:left="18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(6) </w:t>
      </w:r>
      <w:r w:rsidRPr="00E85C29">
        <w:rPr>
          <w:rFonts w:ascii="Times New Roman" w:eastAsia="Calibri" w:hAnsi="Times New Roman" w:cs="Times New Roman"/>
          <w:sz w:val="24"/>
          <w:szCs w:val="24"/>
        </w:rPr>
        <w:t xml:space="preserve">Do Genetic Testing if not previously done to identify genic types. </w:t>
      </w:r>
    </w:p>
    <w:p w14:paraId="5CF9456C" w14:textId="77777777" w:rsidR="00E85C29" w:rsidRPr="00E85C29" w:rsidRDefault="00E85C29" w:rsidP="00126279">
      <w:pPr>
        <w:ind w:firstLine="0"/>
        <w:rPr>
          <w:rFonts w:ascii="Times New Roman" w:eastAsia="Calibri" w:hAnsi="Times New Roman" w:cs="Times New Roman"/>
          <w:sz w:val="24"/>
          <w:szCs w:val="24"/>
        </w:rPr>
      </w:pPr>
    </w:p>
    <w:p w14:paraId="61E91E0B" w14:textId="77777777" w:rsidR="00E85C29" w:rsidRPr="00E85C29" w:rsidRDefault="00E85C29" w:rsidP="00E85C29">
      <w:pPr>
        <w:ind w:left="86" w:firstLine="0"/>
        <w:rPr>
          <w:rFonts w:ascii="Times New Roman" w:eastAsia="Calibri" w:hAnsi="Times New Roman" w:cs="Times New Roman"/>
          <w:sz w:val="24"/>
          <w:szCs w:val="24"/>
        </w:rPr>
      </w:pPr>
    </w:p>
    <w:p w14:paraId="473275B8" w14:textId="77777777" w:rsidR="00E85C29" w:rsidRPr="00E85C29" w:rsidRDefault="00E85C29" w:rsidP="00E85C29">
      <w:pPr>
        <w:ind w:firstLine="0"/>
        <w:jc w:val="left"/>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A3: TREATMENT FOR FSGS/ESRD</w:t>
      </w:r>
    </w:p>
    <w:p w14:paraId="75DAF8FE" w14:textId="77777777" w:rsidR="00E85C29" w:rsidRPr="00E85C29" w:rsidRDefault="00E85C29" w:rsidP="00BB113C">
      <w:pPr>
        <w:numPr>
          <w:ilvl w:val="0"/>
          <w:numId w:val="11"/>
        </w:numPr>
        <w:tabs>
          <w:tab w:val="left" w:pos="360"/>
          <w:tab w:val="left" w:pos="45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If ESRD with positive (+) genetic tests, stop immunosuppressive and refer to transplant /dialysis. </w:t>
      </w:r>
      <w:r w:rsidRPr="00E85C29">
        <w:rPr>
          <w:rFonts w:ascii="Times New Roman" w:eastAsia="Calibri" w:hAnsi="Times New Roman" w:cs="Times New Roman"/>
          <w:b/>
          <w:bCs/>
          <w:sz w:val="24"/>
          <w:szCs w:val="24"/>
        </w:rPr>
        <w:t>(X).</w:t>
      </w:r>
    </w:p>
    <w:p w14:paraId="6C8F30B7" w14:textId="77777777" w:rsidR="00E85C29" w:rsidRPr="00E85C29" w:rsidRDefault="00E85C29" w:rsidP="00BB113C">
      <w:pPr>
        <w:numPr>
          <w:ilvl w:val="0"/>
          <w:numId w:val="11"/>
        </w:numPr>
        <w:tabs>
          <w:tab w:val="left" w:pos="360"/>
          <w:tab w:val="left" w:pos="45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Idiopathic non-hereditary FSGS/ESRD commonly suffer the debate of dialysis versus transplantation.   High rate of recurrence makes some patients hesitant to transplant their children although the advantages of transplant over dialysis are well known. </w:t>
      </w:r>
      <w:r w:rsidRPr="00E85C29">
        <w:rPr>
          <w:rFonts w:ascii="Times New Roman" w:eastAsia="Calibri" w:hAnsi="Times New Roman" w:cs="Times New Roman"/>
          <w:b/>
          <w:bCs/>
          <w:sz w:val="24"/>
          <w:szCs w:val="24"/>
        </w:rPr>
        <w:t>We recommend</w:t>
      </w:r>
    </w:p>
    <w:p w14:paraId="4C4CD3D7" w14:textId="77777777" w:rsidR="00E85C29" w:rsidRPr="00E85C29" w:rsidRDefault="00E85C29" w:rsidP="00BB113C">
      <w:pPr>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(1)</w:t>
      </w:r>
      <w:r w:rsidRPr="00E85C29">
        <w:rPr>
          <w:rFonts w:ascii="Times New Roman" w:eastAsia="Calibri" w:hAnsi="Times New Roman" w:cs="Times New Roman"/>
          <w:sz w:val="24"/>
          <w:szCs w:val="24"/>
        </w:rPr>
        <w:t xml:space="preserve"> Genetic tests, if not done, for proper differentiation of hereditary types as it carries better prognosis. </w:t>
      </w:r>
      <w:r w:rsidRPr="00E85C29">
        <w:rPr>
          <w:rFonts w:ascii="Times New Roman" w:eastAsia="Calibri" w:hAnsi="Times New Roman" w:cs="Times New Roman"/>
          <w:b/>
          <w:bCs/>
          <w:sz w:val="24"/>
          <w:szCs w:val="24"/>
        </w:rPr>
        <w:t>(X)</w:t>
      </w:r>
      <w:r w:rsidRPr="00E85C29">
        <w:rPr>
          <w:rFonts w:ascii="Times New Roman" w:eastAsia="Calibri" w:hAnsi="Times New Roman" w:cs="Times New Roman"/>
          <w:sz w:val="24"/>
          <w:szCs w:val="24"/>
        </w:rPr>
        <w:t xml:space="preserve"> </w:t>
      </w:r>
    </w:p>
    <w:p w14:paraId="3A67C695" w14:textId="77777777" w:rsidR="00E85C29" w:rsidRPr="00E85C29" w:rsidRDefault="00E85C29" w:rsidP="00BB113C">
      <w:pPr>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(2)</w:t>
      </w:r>
      <w:r w:rsidRPr="00E85C29">
        <w:rPr>
          <w:rFonts w:ascii="Times New Roman" w:eastAsia="Calibri" w:hAnsi="Times New Roman" w:cs="Times New Roman"/>
          <w:sz w:val="24"/>
          <w:szCs w:val="24"/>
        </w:rPr>
        <w:t xml:space="preserve"> Frank discussion of benefit risk value with the family </w:t>
      </w:r>
      <w:r w:rsidRPr="00E85C29">
        <w:rPr>
          <w:rFonts w:ascii="Times New Roman" w:eastAsia="Calibri" w:hAnsi="Times New Roman" w:cs="Times New Roman"/>
          <w:b/>
          <w:bCs/>
          <w:sz w:val="24"/>
          <w:szCs w:val="24"/>
        </w:rPr>
        <w:t>(A).</w:t>
      </w:r>
    </w:p>
    <w:p w14:paraId="3A3A160D" w14:textId="77777777" w:rsidR="00E85C29" w:rsidRPr="00E85C29" w:rsidRDefault="00E85C29" w:rsidP="00BB113C">
      <w:pPr>
        <w:shd w:val="clear" w:color="auto" w:fill="FFFFFF"/>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      For Hereditary types, we recommend </w:t>
      </w:r>
    </w:p>
    <w:p w14:paraId="616CB4FB" w14:textId="77777777" w:rsidR="00E85C29" w:rsidRPr="00E85C29" w:rsidRDefault="00E85C29" w:rsidP="00BB113C">
      <w:pPr>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(3)</w:t>
      </w:r>
      <w:r w:rsidRPr="00E85C29">
        <w:rPr>
          <w:rFonts w:ascii="Times New Roman" w:eastAsia="Calibri" w:hAnsi="Times New Roman" w:cs="Times New Roman"/>
          <w:sz w:val="24"/>
          <w:szCs w:val="24"/>
        </w:rPr>
        <w:t xml:space="preserve"> Pre transplant genetic tests to donors &amp; recipients. (X) (WES, Pathogenicity). </w:t>
      </w:r>
    </w:p>
    <w:p w14:paraId="2267ED3B" w14:textId="77777777" w:rsidR="00E85C29" w:rsidRPr="00E85C29" w:rsidRDefault="00E85C29" w:rsidP="00BB113C">
      <w:pPr>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(4)</w:t>
      </w:r>
      <w:r w:rsidRPr="00E85C29">
        <w:rPr>
          <w:rFonts w:ascii="Times New Roman" w:eastAsia="Calibri" w:hAnsi="Times New Roman" w:cs="Times New Roman"/>
          <w:sz w:val="24"/>
          <w:szCs w:val="24"/>
        </w:rPr>
        <w:t xml:space="preserve"> Proper selection of the potential donor</w:t>
      </w:r>
      <w:r w:rsidRPr="00E85C29">
        <w:rPr>
          <w:rFonts w:ascii="Times New Roman" w:eastAsia="Calibri" w:hAnsi="Times New Roman" w:cs="Times New Roman"/>
          <w:b/>
          <w:bCs/>
          <w:sz w:val="24"/>
          <w:szCs w:val="24"/>
        </w:rPr>
        <w:t>. (X)</w:t>
      </w:r>
    </w:p>
    <w:p w14:paraId="0804C76E" w14:textId="77777777" w:rsidR="00E85C29" w:rsidRPr="00E85C29" w:rsidRDefault="00E85C29" w:rsidP="00BB113C">
      <w:pPr>
        <w:shd w:val="clear" w:color="auto" w:fill="FFFFFF"/>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      For non -hereditary types, we recommend</w:t>
      </w:r>
    </w:p>
    <w:p w14:paraId="3A637604" w14:textId="77777777" w:rsidR="00E85C29" w:rsidRPr="00E85C29" w:rsidRDefault="00E85C29" w:rsidP="00BB113C">
      <w:pPr>
        <w:ind w:left="180" w:hanging="9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(5)</w:t>
      </w:r>
      <w:r w:rsidRPr="00E85C29">
        <w:rPr>
          <w:rFonts w:ascii="Times New Roman" w:eastAsia="Calibri" w:hAnsi="Times New Roman" w:cs="Times New Roman"/>
          <w:sz w:val="24"/>
          <w:szCs w:val="24"/>
        </w:rPr>
        <w:t xml:space="preserve"> Preventive protocols (plasma exchange, strong immunosuppressive) pre &amp; post TX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w:t>
      </w:r>
    </w:p>
    <w:p w14:paraId="14B353FE" w14:textId="77777777" w:rsidR="00E85C29" w:rsidRPr="00E85C29" w:rsidRDefault="00E85C29" w:rsidP="00BB113C">
      <w:pPr>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(6)</w:t>
      </w:r>
      <w:r w:rsidRPr="00E85C29">
        <w:rPr>
          <w:rFonts w:ascii="Times New Roman" w:eastAsia="Calibri" w:hAnsi="Times New Roman" w:cs="Times New Roman"/>
          <w:sz w:val="24"/>
          <w:szCs w:val="24"/>
        </w:rPr>
        <w:t xml:space="preserve"> Post TX proteinuria, anti-body monitoring, biopsy for early diagnosis and aggressive immunosuppressive treatment for recurrence. </w:t>
      </w:r>
      <w:r w:rsidRPr="00E85C29">
        <w:rPr>
          <w:rFonts w:ascii="Times New Roman" w:eastAsia="Calibri" w:hAnsi="Times New Roman" w:cs="Times New Roman"/>
          <w:b/>
          <w:bCs/>
          <w:sz w:val="24"/>
          <w:szCs w:val="24"/>
        </w:rPr>
        <w:t>(B)</w:t>
      </w:r>
      <w:r w:rsidRPr="00E85C29">
        <w:rPr>
          <w:rFonts w:ascii="Times New Roman" w:eastAsia="Calibri" w:hAnsi="Times New Roman" w:cs="Times New Roman"/>
          <w:sz w:val="24"/>
          <w:szCs w:val="24"/>
        </w:rPr>
        <w:t xml:space="preserve"> </w:t>
      </w:r>
    </w:p>
    <w:p w14:paraId="3EA9F743" w14:textId="77777777" w:rsidR="00E85C29" w:rsidRPr="00E85C29" w:rsidRDefault="00E85C29" w:rsidP="00BB113C">
      <w:pPr>
        <w:tabs>
          <w:tab w:val="left" w:pos="90"/>
        </w:tabs>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(7)</w:t>
      </w:r>
      <w:r w:rsidRPr="00E85C29">
        <w:rPr>
          <w:rFonts w:ascii="Times New Roman" w:eastAsia="Calibri" w:hAnsi="Times New Roman" w:cs="Times New Roman"/>
          <w:sz w:val="24"/>
          <w:szCs w:val="24"/>
        </w:rPr>
        <w:t xml:space="preserve"> Cadaveric transplants are preferred in primary idiopathic FSGS. (C) IPNA</w:t>
      </w:r>
    </w:p>
    <w:p w14:paraId="197FA3D4" w14:textId="1DFC960E" w:rsidR="00E85C29" w:rsidRPr="00E85C29" w:rsidRDefault="00126279" w:rsidP="00BB113C">
      <w:pPr>
        <w:tabs>
          <w:tab w:val="left" w:pos="180"/>
        </w:tabs>
        <w:ind w:left="360" w:firstLine="0"/>
        <w:jc w:val="left"/>
        <w:rPr>
          <w:rFonts w:ascii="Times New Roman" w:eastAsia="Calibri" w:hAnsi="Times New Roman" w:cs="Times New Roman"/>
          <w:b/>
          <w:bCs/>
          <w:sz w:val="24"/>
          <w:szCs w:val="24"/>
        </w:rPr>
      </w:pPr>
      <w:r w:rsidRPr="001E2598">
        <w:rPr>
          <w:rFonts w:ascii="Times New Roman" w:eastAsia="Calibri" w:hAnsi="Times New Roman" w:cs="Times New Roman"/>
          <w:b/>
          <w:bCs/>
          <w:color w:val="FF0000"/>
          <w:sz w:val="24"/>
          <w:szCs w:val="24"/>
          <w:highlight w:val="yellow"/>
        </w:rPr>
        <w:t xml:space="preserve">EPG </w:t>
      </w:r>
      <w:r w:rsidR="00E85C29" w:rsidRPr="001E2598">
        <w:rPr>
          <w:rFonts w:ascii="Times New Roman" w:eastAsia="Calibri" w:hAnsi="Times New Roman" w:cs="Times New Roman"/>
          <w:b/>
          <w:bCs/>
          <w:color w:val="FF0000"/>
          <w:sz w:val="24"/>
          <w:szCs w:val="24"/>
          <w:highlight w:val="yellow"/>
        </w:rPr>
        <w:t xml:space="preserve">Fig </w:t>
      </w:r>
      <w:r w:rsidR="00E85C29" w:rsidRPr="0086455B">
        <w:rPr>
          <w:rFonts w:ascii="Times New Roman" w:eastAsia="Calibri" w:hAnsi="Times New Roman" w:cs="Times New Roman"/>
          <w:b/>
          <w:bCs/>
          <w:color w:val="FF0000"/>
          <w:sz w:val="24"/>
          <w:szCs w:val="24"/>
          <w:highlight w:val="yellow"/>
        </w:rPr>
        <w:t>(</w:t>
      </w:r>
      <w:r w:rsidR="0086455B" w:rsidRPr="0086455B">
        <w:rPr>
          <w:rFonts w:ascii="Times New Roman" w:eastAsia="Calibri" w:hAnsi="Times New Roman" w:cs="Times New Roman"/>
          <w:b/>
          <w:bCs/>
          <w:color w:val="FF0000"/>
          <w:sz w:val="24"/>
          <w:szCs w:val="24"/>
          <w:highlight w:val="yellow"/>
        </w:rPr>
        <w:t>2</w:t>
      </w:r>
      <w:r w:rsidR="00E85C29" w:rsidRPr="0086455B">
        <w:rPr>
          <w:rFonts w:ascii="Times New Roman" w:eastAsia="Calibri" w:hAnsi="Times New Roman" w:cs="Times New Roman"/>
          <w:b/>
          <w:bCs/>
          <w:color w:val="FF0000"/>
          <w:sz w:val="24"/>
          <w:szCs w:val="24"/>
          <w:highlight w:val="yellow"/>
        </w:rPr>
        <w:t>)</w:t>
      </w:r>
      <w:r w:rsidR="00E85C29" w:rsidRPr="0086455B">
        <w:rPr>
          <w:rFonts w:ascii="Times New Roman" w:eastAsia="Calibri" w:hAnsi="Times New Roman" w:cs="Times New Roman"/>
          <w:b/>
          <w:bCs/>
          <w:color w:val="FF0000"/>
          <w:sz w:val="24"/>
          <w:szCs w:val="24"/>
        </w:rPr>
        <w:t xml:space="preserve"> </w:t>
      </w:r>
      <w:r w:rsidR="00E85C29" w:rsidRPr="00E85C29">
        <w:rPr>
          <w:rFonts w:ascii="Times New Roman" w:eastAsia="Calibri" w:hAnsi="Times New Roman" w:cs="Times New Roman"/>
          <w:b/>
          <w:bCs/>
          <w:color w:val="0070C0"/>
          <w:sz w:val="24"/>
          <w:szCs w:val="24"/>
        </w:rPr>
        <w:t xml:space="preserve">NCGL Treatment plan SRNS / FSGS (Idiopathic &amp; Hereditary FSGS). </w:t>
      </w:r>
    </w:p>
    <w:p w14:paraId="50BCB15D" w14:textId="77777777" w:rsidR="00E85C29" w:rsidRPr="00E85C29" w:rsidRDefault="00E85C29" w:rsidP="00BB113C">
      <w:pPr>
        <w:tabs>
          <w:tab w:val="left" w:pos="180"/>
        </w:tabs>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    </w:t>
      </w:r>
    </w:p>
    <w:p w14:paraId="71ED2336" w14:textId="77777777" w:rsidR="00E85C29" w:rsidRPr="00E85C29" w:rsidRDefault="00E85C29" w:rsidP="00E85C29">
      <w:pPr>
        <w:shd w:val="clear" w:color="auto" w:fill="F2F2F2"/>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shd w:val="clear" w:color="auto" w:fill="F2F2F2"/>
        </w:rPr>
        <w:t xml:space="preserve">A4.1   HEREDITARY </w:t>
      </w:r>
      <w:proofErr w:type="gramStart"/>
      <w:r w:rsidRPr="00E85C29">
        <w:rPr>
          <w:rFonts w:ascii="Times New Roman" w:eastAsia="Calibri" w:hAnsi="Times New Roman" w:cs="Times New Roman"/>
          <w:b/>
          <w:bCs/>
          <w:sz w:val="24"/>
          <w:szCs w:val="24"/>
          <w:shd w:val="clear" w:color="auto" w:fill="F2F2F2"/>
        </w:rPr>
        <w:t>PODOCYTOPATHIES  (</w:t>
      </w:r>
      <w:proofErr w:type="gramEnd"/>
      <w:r w:rsidRPr="00E85C29">
        <w:rPr>
          <w:rFonts w:ascii="Times New Roman" w:eastAsia="Calibri" w:hAnsi="Times New Roman" w:cs="Times New Roman"/>
          <w:b/>
          <w:bCs/>
          <w:sz w:val="24"/>
          <w:szCs w:val="24"/>
          <w:shd w:val="clear" w:color="auto" w:fill="F2F2F2"/>
        </w:rPr>
        <w:t xml:space="preserve">FSGS)                                                                </w:t>
      </w:r>
    </w:p>
    <w:p w14:paraId="316CB412" w14:textId="77777777" w:rsidR="00E85C29" w:rsidRPr="00E85C29" w:rsidRDefault="00E85C29" w:rsidP="00E85C29">
      <w:pPr>
        <w:ind w:left="18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 R 3.2.2.A 4.1:</w:t>
      </w:r>
      <w:r w:rsidRPr="00E85C29">
        <w:rPr>
          <w:rFonts w:ascii="Times New Roman" w:eastAsia="Calibri" w:hAnsi="Times New Roman" w:cs="Times New Roman"/>
          <w:sz w:val="24"/>
          <w:szCs w:val="24"/>
        </w:rPr>
        <w:t xml:space="preserve"> Since monogenic forms of NS are not rare in our community and since we use only live related TX programs, therefore genetic   testing is crucial. </w:t>
      </w:r>
    </w:p>
    <w:p w14:paraId="3244EE48" w14:textId="77777777" w:rsidR="00E85C29" w:rsidRPr="00E85C29" w:rsidRDefault="00E85C29" w:rsidP="00E85C29">
      <w:pPr>
        <w:ind w:left="18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We (EPG),</w:t>
      </w:r>
      <w:r w:rsidRPr="00E85C29">
        <w:rPr>
          <w:rFonts w:ascii="Times New Roman" w:eastAsia="Calibri" w:hAnsi="Times New Roman" w:cs="Times New Roman"/>
          <w:sz w:val="24"/>
          <w:szCs w:val="24"/>
        </w:rPr>
        <w:t xml:space="preserve"> recommend Genetic tests to be done for all SRNS /FSGS or DMS, familial, syndromic, congenital /infantile onset, Steroid /</w:t>
      </w:r>
      <w:proofErr w:type="spellStart"/>
      <w:r w:rsidRPr="00E85C29">
        <w:rPr>
          <w:rFonts w:ascii="Times New Roman" w:eastAsia="Calibri" w:hAnsi="Times New Roman" w:cs="Times New Roman"/>
          <w:sz w:val="24"/>
          <w:szCs w:val="24"/>
        </w:rPr>
        <w:t>CsA</w:t>
      </w:r>
      <w:proofErr w:type="spellEnd"/>
      <w:r w:rsidRPr="00E85C29">
        <w:rPr>
          <w:rFonts w:ascii="Times New Roman" w:eastAsia="Calibri" w:hAnsi="Times New Roman" w:cs="Times New Roman"/>
          <w:sz w:val="24"/>
          <w:szCs w:val="24"/>
        </w:rPr>
        <w:t xml:space="preserve"> resistant and </w:t>
      </w:r>
      <w:proofErr w:type="spellStart"/>
      <w:r w:rsidRPr="00E85C29">
        <w:rPr>
          <w:rFonts w:ascii="Times New Roman" w:eastAsia="Calibri" w:hAnsi="Times New Roman" w:cs="Times New Roman"/>
          <w:sz w:val="24"/>
          <w:szCs w:val="24"/>
        </w:rPr>
        <w:t>pretransplant</w:t>
      </w:r>
      <w:proofErr w:type="spellEnd"/>
      <w:r w:rsidRPr="00E85C29">
        <w:rPr>
          <w:rFonts w:ascii="Times New Roman" w:eastAsia="Calibri" w:hAnsi="Times New Roman" w:cs="Times New Roman"/>
          <w:sz w:val="24"/>
          <w:szCs w:val="24"/>
        </w:rPr>
        <w:t xml:space="preserve">. Referral to tertiary centers with genetic facilities is crucial in these cases. </w:t>
      </w:r>
      <w:r w:rsidRPr="00E85C29">
        <w:rPr>
          <w:rFonts w:ascii="Times New Roman" w:eastAsia="Calibri" w:hAnsi="Times New Roman" w:cs="Times New Roman"/>
          <w:b/>
          <w:bCs/>
          <w:sz w:val="24"/>
          <w:szCs w:val="24"/>
        </w:rPr>
        <w:t>(B) IPNA. (EPG-GPP5)</w:t>
      </w:r>
      <w:r w:rsidRPr="00E85C29">
        <w:rPr>
          <w:rFonts w:ascii="Times New Roman" w:eastAsia="Calibri" w:hAnsi="Times New Roman" w:cs="Times New Roman"/>
          <w:sz w:val="24"/>
          <w:szCs w:val="24"/>
        </w:rPr>
        <w:t xml:space="preserve"> </w:t>
      </w:r>
    </w:p>
    <w:p w14:paraId="19760E89" w14:textId="77777777" w:rsidR="00E85C29" w:rsidRPr="00E85C29" w:rsidRDefault="00E85C29" w:rsidP="00E85C29">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 </w:t>
      </w:r>
      <w:r w:rsidRPr="00E85C29">
        <w:rPr>
          <w:rFonts w:ascii="Times New Roman" w:eastAsia="Calibri" w:hAnsi="Times New Roman" w:cs="Times New Roman"/>
          <w:b/>
          <w:bCs/>
          <w:sz w:val="24"/>
          <w:szCs w:val="24"/>
          <w:shd w:val="clear" w:color="auto" w:fill="FFFFFF"/>
        </w:rPr>
        <w:t>A4.2:   Management for Hereditary podocytopathie</w:t>
      </w:r>
      <w:r w:rsidRPr="00E85C29">
        <w:rPr>
          <w:rFonts w:ascii="Times New Roman" w:eastAsia="Calibri" w:hAnsi="Times New Roman" w:cs="Times New Roman"/>
          <w:b/>
          <w:bCs/>
          <w:sz w:val="24"/>
          <w:szCs w:val="24"/>
        </w:rPr>
        <w:t xml:space="preserve">s </w:t>
      </w:r>
    </w:p>
    <w:p w14:paraId="61185118"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 R 3.2.2.A4.2:</w:t>
      </w:r>
      <w:r w:rsidRPr="00E85C29">
        <w:rPr>
          <w:rFonts w:ascii="Times New Roman" w:eastAsia="Calibri" w:hAnsi="Times New Roman" w:cs="Times New Roman"/>
          <w:sz w:val="24"/>
          <w:szCs w:val="24"/>
        </w:rPr>
        <w:t xml:space="preserve"> We suggest referral to optimize their management regarding:</w:t>
      </w:r>
    </w:p>
    <w:p w14:paraId="7CEBEFD0"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Immunosuppressive agents:</w:t>
      </w:r>
      <w:r w:rsidRPr="00E85C29">
        <w:rPr>
          <w:rFonts w:ascii="Times New Roman" w:eastAsia="Calibri" w:hAnsi="Times New Roman" w:cs="Times New Roman"/>
          <w:sz w:val="24"/>
          <w:szCs w:val="24"/>
        </w:rPr>
        <w:t xml:space="preserve">  </w:t>
      </w:r>
    </w:p>
    <w:p w14:paraId="025C0690"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Some patients with inherited forms of SRNS have shown partial or complete remission with CSA. Therefore, a therapeutic trial with CSA in genetic SRNS is justified as CSA has been shown to exert a relevant stabilizing action on podocyte cytoskeleton and reducing proteinuria in some patients. Nevertheless, there is evidence from some studies with small patient numbers that early start of CSA in combination with RAS inhibitors can lead to favorable response in patients with WT1 mutations </w:t>
      </w:r>
      <w:r w:rsidRPr="00E85C29">
        <w:rPr>
          <w:rFonts w:ascii="Times New Roman" w:eastAsia="Calibri" w:hAnsi="Times New Roman" w:cs="Times New Roman"/>
          <w:b/>
          <w:bCs/>
          <w:color w:val="0070C0"/>
          <w:sz w:val="24"/>
          <w:szCs w:val="24"/>
        </w:rPr>
        <w:t>[Kemper M.J. et al 2018].</w:t>
      </w:r>
      <w:r w:rsidRPr="00E85C29">
        <w:rPr>
          <w:rFonts w:ascii="Times New Roman" w:eastAsia="Calibri" w:hAnsi="Times New Roman" w:cs="Times New Roman"/>
          <w:color w:val="0070C0"/>
          <w:sz w:val="24"/>
          <w:szCs w:val="24"/>
        </w:rPr>
        <w:t xml:space="preserve"> </w:t>
      </w:r>
    </w:p>
    <w:p w14:paraId="1F746981" w14:textId="77777777" w:rsidR="00E85C29" w:rsidRPr="00E85C29" w:rsidRDefault="00E85C29" w:rsidP="00E85C29">
      <w:pPr>
        <w:ind w:left="90" w:firstLine="0"/>
        <w:rPr>
          <w:rFonts w:ascii="Times New Roman" w:eastAsia="Calibri" w:hAnsi="Times New Roman" w:cs="Times New Roman"/>
          <w:b/>
          <w:bCs/>
          <w:color w:val="0070C0"/>
          <w:sz w:val="24"/>
          <w:szCs w:val="24"/>
        </w:rPr>
      </w:pP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Treatment with co Q10</w:t>
      </w:r>
      <w:r w:rsidRPr="00E85C29">
        <w:rPr>
          <w:rFonts w:ascii="Times New Roman" w:eastAsia="Calibri" w:hAnsi="Times New Roman" w:cs="Times New Roman"/>
          <w:sz w:val="24"/>
          <w:szCs w:val="24"/>
        </w:rPr>
        <w:t>: Patients with Mutation in COQ2, COQ6, PDSS2 and ADCK4 genes are responsible for SRNS associated with extra renal symptoms. These patients should be treated with CoQ10 early to limit progression of lesions and emergence of new symptoms</w:t>
      </w:r>
      <w:r w:rsidRPr="00E85C29">
        <w:rPr>
          <w:rFonts w:ascii="Times New Roman" w:eastAsia="Calibri" w:hAnsi="Times New Roman" w:cs="Times New Roman"/>
          <w:b/>
          <w:bCs/>
          <w:color w:val="0070C0"/>
          <w:sz w:val="24"/>
          <w:szCs w:val="24"/>
        </w:rPr>
        <w:t>. [</w:t>
      </w:r>
      <w:proofErr w:type="spellStart"/>
      <w:r w:rsidRPr="00E85C29">
        <w:rPr>
          <w:rFonts w:ascii="Times New Roman" w:eastAsia="Calibri" w:hAnsi="Times New Roman" w:cs="Times New Roman"/>
          <w:b/>
          <w:bCs/>
          <w:color w:val="0070C0"/>
          <w:sz w:val="24"/>
          <w:szCs w:val="24"/>
        </w:rPr>
        <w:t>Ozaltin</w:t>
      </w:r>
      <w:proofErr w:type="spellEnd"/>
      <w:r w:rsidRPr="00E85C29">
        <w:rPr>
          <w:rFonts w:ascii="Times New Roman" w:eastAsia="Calibri" w:hAnsi="Times New Roman" w:cs="Times New Roman"/>
          <w:b/>
          <w:bCs/>
          <w:color w:val="0070C0"/>
          <w:sz w:val="24"/>
          <w:szCs w:val="24"/>
        </w:rPr>
        <w:t xml:space="preserve"> F. 2014].</w:t>
      </w:r>
    </w:p>
    <w:p w14:paraId="50002D44" w14:textId="77777777" w:rsidR="00E85C29" w:rsidRPr="00BB113C" w:rsidRDefault="00E85C29" w:rsidP="00BB113C">
      <w:pPr>
        <w:ind w:left="90" w:firstLine="0"/>
        <w:rPr>
          <w:rFonts w:ascii="Times New Roman" w:eastAsia="Calibri" w:hAnsi="Times New Roman" w:cs="Times New Roman"/>
          <w:sz w:val="24"/>
          <w:szCs w:val="24"/>
        </w:rPr>
      </w:pPr>
      <w:r w:rsidRPr="00BB113C">
        <w:rPr>
          <w:rFonts w:ascii="Times New Roman" w:eastAsia="Calibri" w:hAnsi="Times New Roman" w:cs="Times New Roman"/>
          <w:b/>
          <w:bCs/>
          <w:sz w:val="24"/>
          <w:szCs w:val="24"/>
        </w:rPr>
        <w:t>Supportive treatment</w:t>
      </w:r>
    </w:p>
    <w:p w14:paraId="31D56B69" w14:textId="77777777" w:rsidR="00E85C29" w:rsidRPr="00BB113C" w:rsidRDefault="00E85C29" w:rsidP="00BB113C">
      <w:pPr>
        <w:numPr>
          <w:ilvl w:val="0"/>
          <w:numId w:val="12"/>
        </w:numPr>
        <w:tabs>
          <w:tab w:val="left" w:pos="360"/>
        </w:tabs>
        <w:ind w:left="450" w:hanging="270"/>
        <w:jc w:val="left"/>
        <w:rPr>
          <w:rFonts w:ascii="Times New Roman" w:eastAsia="Calibri" w:hAnsi="Times New Roman" w:cs="Times New Roman"/>
          <w:sz w:val="24"/>
          <w:szCs w:val="24"/>
        </w:rPr>
      </w:pPr>
      <w:r w:rsidRPr="00BB113C">
        <w:rPr>
          <w:rFonts w:ascii="Times New Roman" w:eastAsia="Calibri" w:hAnsi="Times New Roman" w:cs="Times New Roman"/>
          <w:b/>
          <w:bCs/>
          <w:sz w:val="24"/>
          <w:szCs w:val="24"/>
        </w:rPr>
        <w:t>RAAS</w:t>
      </w:r>
      <w:r w:rsidRPr="00BB113C">
        <w:rPr>
          <w:rFonts w:ascii="Times New Roman" w:eastAsia="Calibri" w:hAnsi="Times New Roman" w:cs="Times New Roman"/>
          <w:sz w:val="24"/>
          <w:szCs w:val="24"/>
        </w:rPr>
        <w:t xml:space="preserve"> inhibitors are often used to decrease proteinuria, slow progression of CKD and treat hypertension. They should be discontinued with intravascular depletion. </w:t>
      </w:r>
    </w:p>
    <w:p w14:paraId="63866F96" w14:textId="77777777" w:rsidR="00E85C29" w:rsidRPr="00BB113C" w:rsidRDefault="00E85C29" w:rsidP="00BB113C">
      <w:pPr>
        <w:numPr>
          <w:ilvl w:val="0"/>
          <w:numId w:val="12"/>
        </w:numPr>
        <w:tabs>
          <w:tab w:val="left" w:pos="360"/>
        </w:tabs>
        <w:ind w:left="450" w:hanging="270"/>
        <w:jc w:val="left"/>
        <w:rPr>
          <w:rFonts w:ascii="Times New Roman" w:eastAsia="Calibri" w:hAnsi="Times New Roman" w:cs="Times New Roman"/>
          <w:sz w:val="24"/>
          <w:szCs w:val="24"/>
        </w:rPr>
      </w:pPr>
      <w:r w:rsidRPr="00BB113C">
        <w:rPr>
          <w:rFonts w:ascii="Times New Roman" w:eastAsia="Calibri" w:hAnsi="Times New Roman" w:cs="Times New Roman"/>
          <w:b/>
          <w:bCs/>
          <w:sz w:val="24"/>
          <w:szCs w:val="24"/>
        </w:rPr>
        <w:lastRenderedPageBreak/>
        <w:t>Anti-hypertensive</w:t>
      </w:r>
      <w:r w:rsidRPr="00BB113C">
        <w:rPr>
          <w:rFonts w:ascii="Times New Roman" w:eastAsia="Calibri" w:hAnsi="Times New Roman" w:cs="Times New Roman"/>
          <w:sz w:val="24"/>
          <w:szCs w:val="24"/>
        </w:rPr>
        <w:t xml:space="preserve"> drugs to maintain BP below 50 </w:t>
      </w:r>
      <w:proofErr w:type="spellStart"/>
      <w:r w:rsidRPr="00BB113C">
        <w:rPr>
          <w:rFonts w:ascii="Times New Roman" w:eastAsia="Calibri" w:hAnsi="Times New Roman" w:cs="Times New Roman"/>
          <w:sz w:val="24"/>
          <w:szCs w:val="24"/>
        </w:rPr>
        <w:t>th</w:t>
      </w:r>
      <w:proofErr w:type="spellEnd"/>
      <w:r w:rsidRPr="00BB113C">
        <w:rPr>
          <w:rFonts w:ascii="Times New Roman" w:eastAsia="Calibri" w:hAnsi="Times New Roman" w:cs="Times New Roman"/>
          <w:sz w:val="24"/>
          <w:szCs w:val="24"/>
        </w:rPr>
        <w:t xml:space="preserve"> centile for age &amp;height are crucial to avoid CVD. </w:t>
      </w:r>
    </w:p>
    <w:p w14:paraId="3773C288" w14:textId="77777777" w:rsidR="00E85C29" w:rsidRPr="00BB113C" w:rsidRDefault="00E85C29" w:rsidP="00BB113C">
      <w:pPr>
        <w:numPr>
          <w:ilvl w:val="0"/>
          <w:numId w:val="12"/>
        </w:numPr>
        <w:tabs>
          <w:tab w:val="left" w:pos="360"/>
        </w:tabs>
        <w:ind w:left="180" w:firstLine="0"/>
        <w:jc w:val="left"/>
        <w:rPr>
          <w:rFonts w:ascii="Times New Roman" w:eastAsia="Calibri" w:hAnsi="Times New Roman" w:cs="Times New Roman"/>
          <w:sz w:val="24"/>
          <w:szCs w:val="24"/>
        </w:rPr>
      </w:pPr>
      <w:r w:rsidRPr="00BB113C">
        <w:rPr>
          <w:rFonts w:ascii="Times New Roman" w:eastAsia="Calibri" w:hAnsi="Times New Roman" w:cs="Times New Roman"/>
          <w:b/>
          <w:bCs/>
          <w:sz w:val="24"/>
          <w:szCs w:val="24"/>
        </w:rPr>
        <w:t>Statin</w:t>
      </w:r>
      <w:r w:rsidRPr="00BB113C">
        <w:rPr>
          <w:rFonts w:ascii="Times New Roman" w:eastAsia="Calibri" w:hAnsi="Times New Roman" w:cs="Times New Roman"/>
          <w:sz w:val="24"/>
          <w:szCs w:val="24"/>
        </w:rPr>
        <w:t xml:space="preserve"> and diet modifications to control dyslipidemia.</w:t>
      </w:r>
    </w:p>
    <w:p w14:paraId="6EFAAA9A" w14:textId="77777777" w:rsidR="00E85C29" w:rsidRPr="00BB113C" w:rsidRDefault="00E85C29" w:rsidP="00BB113C">
      <w:pPr>
        <w:numPr>
          <w:ilvl w:val="0"/>
          <w:numId w:val="12"/>
        </w:numPr>
        <w:tabs>
          <w:tab w:val="left" w:pos="360"/>
        </w:tabs>
        <w:ind w:left="180" w:firstLine="0"/>
        <w:jc w:val="left"/>
        <w:rPr>
          <w:rFonts w:ascii="Times New Roman" w:eastAsia="Calibri" w:hAnsi="Times New Roman" w:cs="Times New Roman"/>
          <w:sz w:val="24"/>
          <w:szCs w:val="24"/>
        </w:rPr>
      </w:pPr>
      <w:r w:rsidRPr="00BB113C">
        <w:rPr>
          <w:rFonts w:ascii="Times New Roman" w:eastAsia="Calibri" w:hAnsi="Times New Roman" w:cs="Times New Roman"/>
          <w:b/>
          <w:bCs/>
          <w:sz w:val="24"/>
          <w:szCs w:val="24"/>
        </w:rPr>
        <w:t xml:space="preserve">Diuretics </w:t>
      </w:r>
      <w:r w:rsidRPr="00BB113C">
        <w:rPr>
          <w:rFonts w:ascii="Times New Roman" w:eastAsia="Calibri" w:hAnsi="Times New Roman" w:cs="Times New Roman"/>
          <w:sz w:val="24"/>
          <w:szCs w:val="24"/>
        </w:rPr>
        <w:t xml:space="preserve">should be used cautiously to avoid hypovolemia and its complications.  </w:t>
      </w:r>
    </w:p>
    <w:p w14:paraId="216FD5ED" w14:textId="77777777" w:rsidR="00E85C29" w:rsidRPr="00BB113C" w:rsidRDefault="00E85C29" w:rsidP="00BB113C">
      <w:pPr>
        <w:numPr>
          <w:ilvl w:val="0"/>
          <w:numId w:val="12"/>
        </w:numPr>
        <w:tabs>
          <w:tab w:val="left" w:pos="360"/>
        </w:tabs>
        <w:ind w:left="180" w:firstLine="0"/>
        <w:jc w:val="left"/>
        <w:rPr>
          <w:rFonts w:ascii="Times New Roman" w:eastAsia="Calibri" w:hAnsi="Times New Roman" w:cs="Times New Roman"/>
          <w:sz w:val="24"/>
          <w:szCs w:val="24"/>
        </w:rPr>
      </w:pPr>
      <w:r w:rsidRPr="00BB113C">
        <w:rPr>
          <w:rFonts w:ascii="Times New Roman" w:eastAsia="Calibri" w:hAnsi="Times New Roman" w:cs="Times New Roman"/>
          <w:b/>
          <w:bCs/>
          <w:sz w:val="24"/>
          <w:szCs w:val="24"/>
        </w:rPr>
        <w:t>Nutritional support</w:t>
      </w:r>
      <w:r w:rsidRPr="00BB113C">
        <w:rPr>
          <w:rFonts w:ascii="Times New Roman" w:eastAsia="Calibri" w:hAnsi="Times New Roman" w:cs="Times New Roman"/>
          <w:sz w:val="24"/>
          <w:szCs w:val="24"/>
        </w:rPr>
        <w:t xml:space="preserve"> for growth catch-up. Tube feeding or gastrostomy may be needed. </w:t>
      </w:r>
    </w:p>
    <w:p w14:paraId="5A6EA1DD" w14:textId="77777777" w:rsidR="00E85C29" w:rsidRPr="00BB113C" w:rsidRDefault="00E85C29" w:rsidP="00BB113C">
      <w:pPr>
        <w:numPr>
          <w:ilvl w:val="0"/>
          <w:numId w:val="12"/>
        </w:numPr>
        <w:tabs>
          <w:tab w:val="left" w:pos="360"/>
        </w:tabs>
        <w:ind w:left="180" w:firstLine="0"/>
        <w:jc w:val="left"/>
        <w:rPr>
          <w:rFonts w:ascii="Times New Roman" w:eastAsia="Calibri" w:hAnsi="Times New Roman" w:cs="Times New Roman"/>
          <w:sz w:val="24"/>
          <w:szCs w:val="24"/>
        </w:rPr>
      </w:pPr>
      <w:r w:rsidRPr="00BB113C">
        <w:rPr>
          <w:rFonts w:ascii="Times New Roman" w:eastAsia="Calibri" w:hAnsi="Times New Roman" w:cs="Times New Roman"/>
          <w:b/>
          <w:bCs/>
          <w:sz w:val="24"/>
          <w:szCs w:val="24"/>
        </w:rPr>
        <w:t>Vaccination.</w:t>
      </w:r>
      <w:r w:rsidRPr="00BB113C">
        <w:rPr>
          <w:rFonts w:ascii="Times New Roman" w:eastAsia="Calibri" w:hAnsi="Times New Roman" w:cs="Times New Roman"/>
          <w:sz w:val="24"/>
          <w:szCs w:val="24"/>
        </w:rPr>
        <w:t xml:space="preserve"> *Infection control. *Prevention of thrombosis.</w:t>
      </w:r>
    </w:p>
    <w:p w14:paraId="61448109" w14:textId="77777777" w:rsidR="00E85C29" w:rsidRPr="00BB113C" w:rsidRDefault="00E85C29" w:rsidP="00BB113C">
      <w:pPr>
        <w:numPr>
          <w:ilvl w:val="0"/>
          <w:numId w:val="12"/>
        </w:numPr>
        <w:tabs>
          <w:tab w:val="left" w:pos="360"/>
        </w:tabs>
        <w:ind w:left="180" w:firstLine="0"/>
        <w:jc w:val="left"/>
        <w:rPr>
          <w:rFonts w:ascii="Times New Roman" w:eastAsia="Calibri" w:hAnsi="Times New Roman" w:cs="Times New Roman"/>
          <w:sz w:val="24"/>
          <w:szCs w:val="24"/>
        </w:rPr>
      </w:pPr>
      <w:r w:rsidRPr="00BB113C">
        <w:rPr>
          <w:rFonts w:ascii="Times New Roman" w:eastAsia="Calibri" w:hAnsi="Times New Roman" w:cs="Times New Roman"/>
          <w:sz w:val="24"/>
          <w:szCs w:val="24"/>
        </w:rPr>
        <w:t xml:space="preserve">Management of </w:t>
      </w:r>
      <w:r w:rsidRPr="00BB113C">
        <w:rPr>
          <w:rFonts w:ascii="Times New Roman" w:eastAsia="Calibri" w:hAnsi="Times New Roman" w:cs="Times New Roman"/>
          <w:b/>
          <w:bCs/>
          <w:sz w:val="24"/>
          <w:szCs w:val="24"/>
        </w:rPr>
        <w:t>anemia, CVD, BMD, Acidosis.</w:t>
      </w:r>
    </w:p>
    <w:p w14:paraId="1C1729BD" w14:textId="77777777" w:rsidR="00E85C29" w:rsidRPr="00BB113C" w:rsidRDefault="00E85C29" w:rsidP="00BB113C">
      <w:pPr>
        <w:numPr>
          <w:ilvl w:val="0"/>
          <w:numId w:val="12"/>
        </w:numPr>
        <w:tabs>
          <w:tab w:val="left" w:pos="360"/>
        </w:tabs>
        <w:ind w:left="180" w:firstLine="0"/>
        <w:jc w:val="left"/>
        <w:rPr>
          <w:rFonts w:ascii="Times New Roman" w:eastAsia="Calibri" w:hAnsi="Times New Roman" w:cs="Times New Roman"/>
          <w:sz w:val="24"/>
          <w:szCs w:val="24"/>
        </w:rPr>
      </w:pPr>
      <w:r w:rsidRPr="00BB113C">
        <w:rPr>
          <w:rFonts w:ascii="Times New Roman" w:eastAsia="Calibri" w:hAnsi="Times New Roman" w:cs="Times New Roman"/>
          <w:b/>
          <w:bCs/>
          <w:sz w:val="24"/>
          <w:szCs w:val="24"/>
        </w:rPr>
        <w:t xml:space="preserve">Growth </w:t>
      </w:r>
      <w:r w:rsidRPr="00BB113C">
        <w:rPr>
          <w:rFonts w:ascii="Times New Roman" w:eastAsia="Calibri" w:hAnsi="Times New Roman" w:cs="Times New Roman"/>
          <w:sz w:val="24"/>
          <w:szCs w:val="24"/>
        </w:rPr>
        <w:t xml:space="preserve">assessment, tube feeding/gastrostomy. </w:t>
      </w:r>
    </w:p>
    <w:p w14:paraId="3FA8E79D" w14:textId="77777777" w:rsidR="00E85C29" w:rsidRPr="00BB113C" w:rsidRDefault="00E85C29" w:rsidP="00BB113C">
      <w:pPr>
        <w:numPr>
          <w:ilvl w:val="0"/>
          <w:numId w:val="12"/>
        </w:numPr>
        <w:tabs>
          <w:tab w:val="left" w:pos="360"/>
        </w:tabs>
        <w:ind w:left="180" w:firstLine="0"/>
        <w:jc w:val="left"/>
        <w:rPr>
          <w:rFonts w:ascii="Times New Roman" w:eastAsia="Calibri" w:hAnsi="Times New Roman" w:cs="Times New Roman"/>
          <w:sz w:val="24"/>
          <w:szCs w:val="24"/>
        </w:rPr>
      </w:pPr>
      <w:r w:rsidRPr="00BB113C">
        <w:rPr>
          <w:rFonts w:ascii="Times New Roman" w:eastAsia="Calibri" w:hAnsi="Times New Roman" w:cs="Times New Roman"/>
          <w:sz w:val="24"/>
          <w:szCs w:val="24"/>
        </w:rPr>
        <w:t xml:space="preserve">Those with GFR&lt; 30 /m/1.7m2 should be evaluated for </w:t>
      </w:r>
      <w:r w:rsidRPr="00BB113C">
        <w:rPr>
          <w:rFonts w:ascii="Times New Roman" w:eastAsia="Calibri" w:hAnsi="Times New Roman" w:cs="Times New Roman"/>
          <w:b/>
          <w:bCs/>
          <w:sz w:val="24"/>
          <w:szCs w:val="24"/>
        </w:rPr>
        <w:t>dialysis CPD.</w:t>
      </w:r>
      <w:r w:rsidRPr="00BB113C">
        <w:rPr>
          <w:rFonts w:ascii="Times New Roman" w:eastAsia="Calibri" w:hAnsi="Times New Roman" w:cs="Times New Roman"/>
          <w:sz w:val="24"/>
          <w:szCs w:val="24"/>
        </w:rPr>
        <w:t xml:space="preserve"> </w:t>
      </w:r>
    </w:p>
    <w:p w14:paraId="4DCA5577" w14:textId="77777777" w:rsidR="00E85C29" w:rsidRPr="00BB113C" w:rsidRDefault="00E85C29" w:rsidP="00BB113C">
      <w:pPr>
        <w:numPr>
          <w:ilvl w:val="0"/>
          <w:numId w:val="12"/>
        </w:numPr>
        <w:tabs>
          <w:tab w:val="left" w:pos="360"/>
        </w:tabs>
        <w:ind w:left="360" w:hanging="270"/>
        <w:jc w:val="left"/>
        <w:rPr>
          <w:rFonts w:ascii="Times New Roman" w:eastAsia="Calibri" w:hAnsi="Times New Roman" w:cs="Times New Roman"/>
          <w:sz w:val="24"/>
          <w:szCs w:val="24"/>
        </w:rPr>
      </w:pPr>
      <w:r w:rsidRPr="00BB113C">
        <w:rPr>
          <w:rFonts w:ascii="Times New Roman" w:eastAsia="Calibri" w:hAnsi="Times New Roman" w:cs="Times New Roman"/>
          <w:b/>
          <w:bCs/>
          <w:sz w:val="24"/>
          <w:szCs w:val="24"/>
        </w:rPr>
        <w:t>Transplantation</w:t>
      </w:r>
      <w:r w:rsidRPr="00BB113C">
        <w:rPr>
          <w:rFonts w:ascii="Times New Roman" w:eastAsia="Calibri" w:hAnsi="Times New Roman" w:cs="Times New Roman"/>
          <w:sz w:val="24"/>
          <w:szCs w:val="24"/>
        </w:rPr>
        <w:t xml:space="preserve">. Discussing with the family relative low risk of recurrence. Proper donor selection, proper recipient preparation with proper genetic testing will be discussed in ESRD/ SRNS Recommendations.   </w:t>
      </w:r>
      <w:r w:rsidRPr="00BB113C">
        <w:rPr>
          <w:rFonts w:ascii="Times New Roman" w:eastAsia="Calibri" w:hAnsi="Times New Roman" w:cs="Times New Roman"/>
          <w:b/>
          <w:bCs/>
          <w:sz w:val="24"/>
          <w:szCs w:val="24"/>
        </w:rPr>
        <w:t>IPNA P; 1544, 1550.</w:t>
      </w:r>
    </w:p>
    <w:p w14:paraId="663D917E" w14:textId="77777777" w:rsidR="00E85C29" w:rsidRPr="00E85C29" w:rsidRDefault="00E85C29" w:rsidP="00D969A0">
      <w:pPr>
        <w:tabs>
          <w:tab w:val="left" w:pos="360"/>
        </w:tabs>
        <w:ind w:firstLine="0"/>
        <w:rPr>
          <w:rFonts w:ascii="Times New Roman" w:eastAsia="Calibri" w:hAnsi="Times New Roman" w:cs="Times New Roman"/>
          <w:sz w:val="24"/>
          <w:szCs w:val="24"/>
        </w:rPr>
      </w:pPr>
    </w:p>
    <w:p w14:paraId="630371C0" w14:textId="70E29864" w:rsidR="00E85C29" w:rsidRPr="00E85C29" w:rsidRDefault="00E85C29" w:rsidP="00E85C29">
      <w:pPr>
        <w:shd w:val="clear" w:color="auto" w:fill="F2F2F2"/>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R3.2.2.B1:</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 xml:space="preserve">ANCA </w:t>
      </w:r>
      <w:proofErr w:type="spellStart"/>
      <w:r w:rsidRPr="00E85C29">
        <w:rPr>
          <w:rFonts w:ascii="Times New Roman" w:eastAsia="Calibri" w:hAnsi="Times New Roman" w:cs="Times New Roman"/>
          <w:b/>
          <w:bCs/>
          <w:sz w:val="24"/>
          <w:szCs w:val="24"/>
        </w:rPr>
        <w:t>Vasculitis</w:t>
      </w:r>
      <w:proofErr w:type="spellEnd"/>
      <w:r w:rsidR="007F1899">
        <w:rPr>
          <w:rFonts w:ascii="Times New Roman" w:eastAsia="Calibri" w:hAnsi="Times New Roman" w:cs="Times New Roman"/>
          <w:b/>
          <w:bCs/>
          <w:sz w:val="24"/>
          <w:szCs w:val="24"/>
        </w:rPr>
        <w:t xml:space="preserve">   </w:t>
      </w:r>
      <w:r w:rsidR="001E2598" w:rsidRPr="001E2598">
        <w:rPr>
          <w:rFonts w:ascii="Times New Roman" w:eastAsia="Calibri" w:hAnsi="Times New Roman" w:cs="Times New Roman"/>
          <w:b/>
          <w:bCs/>
          <w:color w:val="FF0000"/>
          <w:sz w:val="24"/>
          <w:szCs w:val="24"/>
          <w:highlight w:val="yellow"/>
        </w:rPr>
        <w:t>(</w:t>
      </w:r>
      <w:r w:rsidR="001E2598">
        <w:rPr>
          <w:rFonts w:ascii="Times New Roman" w:eastAsia="Calibri" w:hAnsi="Times New Roman" w:cs="Times New Roman"/>
          <w:b/>
          <w:bCs/>
          <w:color w:val="FF0000"/>
          <w:sz w:val="24"/>
          <w:szCs w:val="24"/>
          <w:highlight w:val="yellow"/>
        </w:rPr>
        <w:t>EPG - Fig 3</w:t>
      </w:r>
      <w:r w:rsidR="007F1899" w:rsidRPr="007F1899">
        <w:rPr>
          <w:rFonts w:ascii="Times New Roman" w:eastAsia="Calibri" w:hAnsi="Times New Roman" w:cs="Times New Roman"/>
          <w:b/>
          <w:bCs/>
          <w:color w:val="FF0000"/>
          <w:sz w:val="24"/>
          <w:szCs w:val="24"/>
          <w:highlight w:val="yellow"/>
        </w:rPr>
        <w:t>)</w:t>
      </w:r>
    </w:p>
    <w:p w14:paraId="162FD0EF"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After evaluating your patient for secondary or hereditary causes, and confirming your diagnosis (with ANCA serology, genetic tests &amp;renal biopsy) as recommended in EPG diagnosis workup, we recommend starting induction treatment. However, in the case of a clinical presentation compatible with small vessel vasculitis with positive myeloperoxidase (MPO) or proteinase (PR3) ANCA serology especially in a rapidly deteriorating case, waiting for the kidney biopsy report should not delay starting immunosuppressive therapy </w:t>
      </w:r>
      <w:r w:rsidRPr="00E85C29">
        <w:rPr>
          <w:rFonts w:ascii="Times New Roman" w:eastAsia="Calibri" w:hAnsi="Times New Roman" w:cs="Times New Roman"/>
          <w:b/>
          <w:bCs/>
          <w:sz w:val="24"/>
          <w:szCs w:val="24"/>
        </w:rPr>
        <w:t>(KDIGO 2021) PP 9.1.1</w:t>
      </w:r>
      <w:r w:rsidRPr="00E85C29">
        <w:rPr>
          <w:rFonts w:ascii="Times New Roman" w:eastAsia="Calibri" w:hAnsi="Times New Roman" w:cs="Times New Roman"/>
          <w:sz w:val="24"/>
          <w:szCs w:val="24"/>
        </w:rPr>
        <w:t xml:space="preserve"> Patients with ANCA- associated vasculitis V should be treated at centers expert in </w:t>
      </w:r>
      <w:r w:rsidRPr="00E85C29">
        <w:rPr>
          <w:rFonts w:ascii="Times New Roman" w:eastAsia="Calibri" w:hAnsi="Times New Roman" w:cs="Times New Roman"/>
          <w:b/>
          <w:bCs/>
          <w:sz w:val="24"/>
          <w:szCs w:val="24"/>
        </w:rPr>
        <w:t>ANCA KDIGO 2021                      PP: 9.1.2</w:t>
      </w:r>
    </w:p>
    <w:p w14:paraId="436F0FCE"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 </w:t>
      </w:r>
      <w:r w:rsidRPr="00E85C29">
        <w:rPr>
          <w:rFonts w:ascii="Times New Roman" w:eastAsia="Calibri" w:hAnsi="Times New Roman" w:cs="Times New Roman"/>
          <w:b/>
          <w:bCs/>
          <w:sz w:val="24"/>
          <w:szCs w:val="24"/>
          <w:shd w:val="clear" w:color="auto" w:fill="FFFFFF"/>
        </w:rPr>
        <w:t>INDUCTION TREATMENT:</w:t>
      </w:r>
    </w:p>
    <w:p w14:paraId="16BE2768" w14:textId="77777777" w:rsidR="00BB113C" w:rsidRDefault="00E85C29" w:rsidP="00E85C29">
      <w:pPr>
        <w:ind w:left="90" w:firstLine="0"/>
        <w:jc w:val="left"/>
        <w:rPr>
          <w:rFonts w:ascii="Times New Roman" w:eastAsia="Calibri" w:hAnsi="Times New Roman" w:cs="Times New Roman"/>
          <w:sz w:val="24"/>
          <w:szCs w:val="24"/>
        </w:rPr>
      </w:pPr>
      <w:bookmarkStart w:id="3" w:name="_Hlk96686750"/>
      <w:r w:rsidRPr="00E85C29">
        <w:rPr>
          <w:rFonts w:ascii="Times New Roman" w:eastAsia="Calibri" w:hAnsi="Times New Roman" w:cs="Times New Roman"/>
          <w:sz w:val="24"/>
          <w:szCs w:val="24"/>
        </w:rPr>
        <w:t>We recommend that glucocorticoids in combination with cyclophosphamide or rituximab be used as initial treatment of new onset AAV (1B) KDIGO 21 PP.9.3.1.1</w:t>
      </w:r>
    </w:p>
    <w:p w14:paraId="17FA84E5" w14:textId="77777777" w:rsidR="00E85C29" w:rsidRPr="00E5050B" w:rsidRDefault="00E85C29" w:rsidP="00E5050B">
      <w:pPr>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w:t>
      </w:r>
      <w:r w:rsidRPr="00E85C29">
        <w:rPr>
          <w:rFonts w:ascii="Times New Roman" w:eastAsia="Calibri" w:hAnsi="Times New Roman" w:cs="Times New Roman"/>
          <w:b/>
          <w:bCs/>
          <w:sz w:val="24"/>
          <w:szCs w:val="24"/>
        </w:rPr>
        <w:t>We suggest the following treatment options</w:t>
      </w:r>
    </w:p>
    <w:bookmarkEnd w:id="3"/>
    <w:p w14:paraId="00C8FCF1" w14:textId="77777777" w:rsidR="00E85C29" w:rsidRPr="00E5050B" w:rsidRDefault="00E85C29" w:rsidP="00BB3BBA">
      <w:pPr>
        <w:pStyle w:val="ListParagraph"/>
        <w:numPr>
          <w:ilvl w:val="0"/>
          <w:numId w:val="49"/>
        </w:numPr>
        <w:tabs>
          <w:tab w:val="left" w:pos="270"/>
          <w:tab w:val="left" w:pos="450"/>
        </w:tabs>
        <w:ind w:left="540" w:hanging="450"/>
        <w:jc w:val="left"/>
        <w:rPr>
          <w:rFonts w:ascii="Times New Roman" w:eastAsia="Calibri" w:hAnsi="Times New Roman" w:cs="Times New Roman"/>
          <w:sz w:val="24"/>
          <w:szCs w:val="24"/>
        </w:rPr>
      </w:pPr>
      <w:r w:rsidRPr="00E5050B">
        <w:rPr>
          <w:rFonts w:ascii="Times New Roman" w:eastAsia="Calibri" w:hAnsi="Times New Roman" w:cs="Times New Roman"/>
          <w:b/>
          <w:bCs/>
          <w:sz w:val="24"/>
          <w:szCs w:val="24"/>
        </w:rPr>
        <w:t>Cyclophosphamide with Corticosteroids</w:t>
      </w:r>
      <w:r w:rsidRPr="00E5050B">
        <w:rPr>
          <w:rFonts w:ascii="Times New Roman" w:eastAsia="Calibri" w:hAnsi="Times New Roman" w:cs="Times New Roman"/>
          <w:sz w:val="24"/>
          <w:szCs w:val="24"/>
        </w:rPr>
        <w:t xml:space="preserve"> </w:t>
      </w:r>
      <w:r w:rsidRPr="00E5050B">
        <w:rPr>
          <w:rFonts w:ascii="Times New Roman" w:eastAsia="Calibri" w:hAnsi="Times New Roman" w:cs="Times New Roman"/>
          <w:b/>
          <w:bCs/>
          <w:sz w:val="24"/>
          <w:szCs w:val="24"/>
        </w:rPr>
        <w:t>(IB) KDIGO 2021.</w:t>
      </w:r>
      <w:r w:rsidRPr="00E5050B">
        <w:rPr>
          <w:rFonts w:ascii="Times New Roman" w:eastAsia="Calibri" w:hAnsi="Times New Roman" w:cs="Times New Roman"/>
          <w:sz w:val="24"/>
          <w:szCs w:val="24"/>
        </w:rPr>
        <w:t xml:space="preserve"> Is preferable in severe forms of the disease. </w:t>
      </w:r>
    </w:p>
    <w:p w14:paraId="399C626C" w14:textId="77777777" w:rsidR="00E85C29" w:rsidRPr="00E85C29" w:rsidRDefault="00E85C29" w:rsidP="00E5050B">
      <w:pPr>
        <w:numPr>
          <w:ilvl w:val="0"/>
          <w:numId w:val="13"/>
        </w:numPr>
        <w:tabs>
          <w:tab w:val="left" w:pos="450"/>
        </w:tabs>
        <w:ind w:left="450" w:hanging="176"/>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IV Methyl prednisolone</w:t>
      </w:r>
      <w:r w:rsidRPr="00E85C29">
        <w:rPr>
          <w:rFonts w:ascii="Times New Roman" w:eastAsia="Calibri" w:hAnsi="Times New Roman" w:cs="Times New Roman"/>
          <w:sz w:val="24"/>
          <w:szCs w:val="24"/>
        </w:rPr>
        <w:t xml:space="preserve"> 500 mg daily 3 days doses followed with </w:t>
      </w:r>
      <w:r w:rsidRPr="00E85C29">
        <w:rPr>
          <w:rFonts w:ascii="Times New Roman" w:eastAsia="Calibri" w:hAnsi="Times New Roman" w:cs="Times New Roman"/>
          <w:b/>
          <w:bCs/>
          <w:sz w:val="24"/>
          <w:szCs w:val="24"/>
        </w:rPr>
        <w:t>oral (prednisolone 1</w:t>
      </w:r>
      <w:r w:rsidRPr="00E85C29">
        <w:rPr>
          <w:rFonts w:ascii="Times New Roman" w:eastAsia="Calibri" w:hAnsi="Times New Roman" w:cs="Times New Roman"/>
          <w:sz w:val="24"/>
          <w:szCs w:val="24"/>
        </w:rPr>
        <w:t xml:space="preserve"> mg/kg/d max 60mg) in combination with oral or iv CYP</w:t>
      </w:r>
    </w:p>
    <w:p w14:paraId="3F789DE8" w14:textId="77777777" w:rsidR="00E85C29" w:rsidRPr="00E85C29" w:rsidRDefault="00E85C29" w:rsidP="00E5050B">
      <w:pPr>
        <w:numPr>
          <w:ilvl w:val="0"/>
          <w:numId w:val="13"/>
        </w:numPr>
        <w:tabs>
          <w:tab w:val="left" w:pos="450"/>
        </w:tabs>
        <w:ind w:left="450" w:hanging="18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Oral cyclophosphamides</w:t>
      </w:r>
      <w:r w:rsidRPr="00E85C29">
        <w:rPr>
          <w:rFonts w:ascii="Times New Roman" w:eastAsia="Calibri" w:hAnsi="Times New Roman" w:cs="Times New Roman"/>
          <w:sz w:val="24"/>
          <w:szCs w:val="24"/>
        </w:rPr>
        <w:t>, 1.5-2 mg/kg/d for 3 months</w:t>
      </w:r>
      <w:r w:rsidRPr="00E85C29">
        <w:rPr>
          <w:rFonts w:ascii="Times New Roman" w:eastAsia="Calibri" w:hAnsi="Times New Roman" w:cs="Times New Roman"/>
          <w:strike/>
          <w:sz w:val="24"/>
          <w:szCs w:val="24"/>
        </w:rPr>
        <w:t>,</w:t>
      </w:r>
      <w:r w:rsidRPr="00E85C29">
        <w:rPr>
          <w:rFonts w:ascii="Times New Roman" w:eastAsia="Calibri" w:hAnsi="Times New Roman" w:cs="Times New Roman"/>
          <w:sz w:val="24"/>
          <w:szCs w:val="24"/>
        </w:rPr>
        <w:t xml:space="preserve"> adjust dose to keep leukocyte count &gt;3000/mm</w:t>
      </w:r>
      <w:r w:rsidRPr="00E5050B">
        <w:rPr>
          <w:rFonts w:ascii="Times New Roman" w:eastAsia="Calibri" w:hAnsi="Times New Roman" w:cs="Times New Roman"/>
          <w:sz w:val="24"/>
          <w:szCs w:val="24"/>
          <w:vertAlign w:val="superscript"/>
        </w:rPr>
        <w:t>3</w:t>
      </w:r>
      <w:r w:rsidRPr="00E85C29">
        <w:rPr>
          <w:rFonts w:ascii="Times New Roman" w:eastAsia="Calibri" w:hAnsi="Times New Roman" w:cs="Times New Roman"/>
          <w:sz w:val="24"/>
          <w:szCs w:val="24"/>
        </w:rPr>
        <w:t>, or</w:t>
      </w:r>
    </w:p>
    <w:p w14:paraId="114E95F7" w14:textId="77777777" w:rsidR="00E85C29" w:rsidRPr="00E85C29" w:rsidRDefault="00E85C29" w:rsidP="00E5050B">
      <w:pPr>
        <w:numPr>
          <w:ilvl w:val="0"/>
          <w:numId w:val="13"/>
        </w:numPr>
        <w:tabs>
          <w:tab w:val="left" w:pos="450"/>
        </w:tabs>
        <w:ind w:left="450" w:hanging="18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IV CYP</w:t>
      </w:r>
      <w:r w:rsidRPr="00E85C29">
        <w:rPr>
          <w:rFonts w:ascii="Times New Roman" w:eastAsia="Calibri" w:hAnsi="Times New Roman" w:cs="Times New Roman"/>
          <w:sz w:val="24"/>
          <w:szCs w:val="24"/>
        </w:rPr>
        <w:t xml:space="preserve"> 500</w:t>
      </w:r>
      <w:r w:rsidR="00D969A0">
        <w:rPr>
          <w:rFonts w:ascii="Times New Roman" w:eastAsia="Calibri" w:hAnsi="Times New Roman" w:cs="Times New Roman"/>
          <w:sz w:val="24"/>
          <w:szCs w:val="24"/>
        </w:rPr>
        <w:t xml:space="preserve"> </w:t>
      </w:r>
      <w:r w:rsidRPr="00E85C29">
        <w:rPr>
          <w:rFonts w:ascii="Times New Roman" w:eastAsia="Calibri" w:hAnsi="Times New Roman" w:cs="Times New Roman"/>
          <w:sz w:val="24"/>
          <w:szCs w:val="24"/>
        </w:rPr>
        <w:t>mg/m</w:t>
      </w:r>
      <w:r w:rsidRPr="00D969A0">
        <w:rPr>
          <w:rFonts w:ascii="Times New Roman" w:eastAsia="Calibri" w:hAnsi="Times New Roman" w:cs="Times New Roman"/>
          <w:sz w:val="24"/>
          <w:szCs w:val="24"/>
          <w:vertAlign w:val="superscript"/>
        </w:rPr>
        <w:t>2</w:t>
      </w:r>
      <w:r w:rsidRPr="00E85C29">
        <w:rPr>
          <w:rFonts w:ascii="Times New Roman" w:eastAsia="Calibri" w:hAnsi="Times New Roman" w:cs="Times New Roman"/>
          <w:sz w:val="24"/>
          <w:szCs w:val="24"/>
        </w:rPr>
        <w:t xml:space="preserve"> monthly 6 doses or 15 mg/kg at weeks 0, 2, 4, 7, 10, 13, 16, 19, 21, 24 if required. Adjust dose to keep WBC&gt;3000) </w:t>
      </w:r>
      <w:proofErr w:type="gramStart"/>
      <w:r w:rsidRPr="00E85C29">
        <w:rPr>
          <w:rFonts w:ascii="Times New Roman" w:eastAsia="Calibri" w:hAnsi="Times New Roman" w:cs="Times New Roman"/>
          <w:b/>
          <w:bCs/>
          <w:sz w:val="24"/>
          <w:szCs w:val="24"/>
        </w:rPr>
        <w:t>PP :</w:t>
      </w:r>
      <w:proofErr w:type="gramEnd"/>
      <w:r w:rsidRPr="00E85C29">
        <w:rPr>
          <w:rFonts w:ascii="Times New Roman" w:eastAsia="Calibri" w:hAnsi="Times New Roman" w:cs="Times New Roman"/>
          <w:b/>
          <w:bCs/>
          <w:sz w:val="24"/>
          <w:szCs w:val="24"/>
        </w:rPr>
        <w:t xml:space="preserve"> 9.3.1.7.  KDIGO 2021</w:t>
      </w:r>
      <w:r w:rsidRPr="00E85C29">
        <w:rPr>
          <w:rFonts w:ascii="Times New Roman" w:eastAsia="Calibri" w:hAnsi="Times New Roman" w:cs="Times New Roman"/>
          <w:sz w:val="24"/>
          <w:szCs w:val="24"/>
        </w:rPr>
        <w:t xml:space="preserve"> </w:t>
      </w:r>
      <w:proofErr w:type="gramStart"/>
      <w:r w:rsidRPr="00E85C29">
        <w:rPr>
          <w:rFonts w:ascii="Times New Roman" w:eastAsia="Calibri" w:hAnsi="Times New Roman" w:cs="Times New Roman"/>
          <w:b/>
          <w:bCs/>
          <w:sz w:val="24"/>
          <w:szCs w:val="24"/>
        </w:rPr>
        <w:t>PP :</w:t>
      </w:r>
      <w:proofErr w:type="gramEnd"/>
      <w:r w:rsidRPr="00E85C29">
        <w:rPr>
          <w:rFonts w:ascii="Times New Roman" w:eastAsia="Calibri" w:hAnsi="Times New Roman" w:cs="Times New Roman"/>
          <w:b/>
          <w:bCs/>
          <w:sz w:val="24"/>
          <w:szCs w:val="24"/>
        </w:rPr>
        <w:t xml:space="preserve"> 9.3.1.1, PP 9.3.1.2. </w:t>
      </w:r>
      <w:r w:rsidRPr="00E85C29">
        <w:rPr>
          <w:rFonts w:ascii="Times New Roman" w:eastAsia="Calibri" w:hAnsi="Times New Roman" w:cs="Times New Roman"/>
          <w:sz w:val="24"/>
          <w:szCs w:val="24"/>
        </w:rPr>
        <w:t>Or,</w:t>
      </w:r>
    </w:p>
    <w:p w14:paraId="0EDBDF8D" w14:textId="77777777" w:rsidR="00E85C29" w:rsidRPr="00E85C29" w:rsidRDefault="00E85C29" w:rsidP="00E5050B">
      <w:pPr>
        <w:numPr>
          <w:ilvl w:val="0"/>
          <w:numId w:val="13"/>
        </w:numPr>
        <w:tabs>
          <w:tab w:val="left" w:pos="450"/>
        </w:tabs>
        <w:ind w:left="45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IV cyclophosphamide is preferred to oral for patients with moderate cumulative dose or lower WBC count at risk of further drop to &lt;3000 after start of cyclophosphamides   or with poor patient adherence, and for those with ready access to an infusion center, although relapse rate is higher with IV. </w:t>
      </w:r>
      <w:r w:rsidRPr="00E85C29">
        <w:rPr>
          <w:rFonts w:ascii="Times New Roman" w:eastAsia="Calibri" w:hAnsi="Times New Roman" w:cs="Times New Roman"/>
          <w:b/>
          <w:bCs/>
          <w:sz w:val="24"/>
          <w:szCs w:val="24"/>
        </w:rPr>
        <w:t>KDIGO 2021 PP: 9.3.1.3. PP 9.3.1.4.</w:t>
      </w:r>
      <w:r w:rsidRPr="00E85C29">
        <w:rPr>
          <w:rFonts w:ascii="Times New Roman" w:eastAsia="Calibri" w:hAnsi="Times New Roman" w:cs="Times New Roman"/>
          <w:sz w:val="24"/>
          <w:szCs w:val="24"/>
        </w:rPr>
        <w:t xml:space="preserve"> </w:t>
      </w:r>
    </w:p>
    <w:p w14:paraId="241BEE41" w14:textId="77777777" w:rsidR="00E85C29" w:rsidRPr="00E85C29" w:rsidRDefault="00E85C29" w:rsidP="00E5050B">
      <w:pPr>
        <w:numPr>
          <w:ilvl w:val="0"/>
          <w:numId w:val="13"/>
        </w:numPr>
        <w:tabs>
          <w:tab w:val="left" w:pos="450"/>
        </w:tabs>
        <w:ind w:left="450" w:hanging="176"/>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Oral Cyclophosphamides to be stopped after 3m or if no extra renal manifestations or if he becomes dialysis dependent</w:t>
      </w:r>
      <w:r w:rsidRPr="00E85C29">
        <w:rPr>
          <w:rFonts w:ascii="Times New Roman" w:eastAsia="Calibri" w:hAnsi="Times New Roman" w:cs="Times New Roman"/>
          <w:b/>
          <w:bCs/>
          <w:sz w:val="24"/>
          <w:szCs w:val="24"/>
        </w:rPr>
        <w:t>. (2C) KDIGO 2012, KDIGO 2021 PP: 9.3.1.5.</w:t>
      </w:r>
      <w:r w:rsidRPr="00E85C29">
        <w:rPr>
          <w:rFonts w:ascii="Times New Roman" w:eastAsia="Calibri" w:hAnsi="Times New Roman" w:cs="Times New Roman"/>
          <w:sz w:val="24"/>
          <w:szCs w:val="24"/>
        </w:rPr>
        <w:t xml:space="preserve"> </w:t>
      </w:r>
    </w:p>
    <w:p w14:paraId="5E8FF8C5" w14:textId="77777777" w:rsidR="00BB3BBA" w:rsidRDefault="00E85C29" w:rsidP="00E5050B">
      <w:pPr>
        <w:numPr>
          <w:ilvl w:val="0"/>
          <w:numId w:val="13"/>
        </w:numPr>
        <w:tabs>
          <w:tab w:val="left" w:pos="450"/>
        </w:tabs>
        <w:ind w:left="450" w:hanging="18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Although Cyclophosphamide and glucocorticoids are preferred for induction therapy in patients presenting with markedly reduced or rapidly declining GFR (</w:t>
      </w:r>
      <w:proofErr w:type="spellStart"/>
      <w:r w:rsidRPr="00E85C29">
        <w:rPr>
          <w:rFonts w:ascii="Times New Roman" w:eastAsia="Calibri" w:hAnsi="Times New Roman" w:cs="Times New Roman"/>
          <w:sz w:val="24"/>
          <w:szCs w:val="24"/>
        </w:rPr>
        <w:t>Scr</w:t>
      </w:r>
      <w:proofErr w:type="spellEnd"/>
      <w:r w:rsidRPr="00E85C29">
        <w:rPr>
          <w:rFonts w:ascii="Times New Roman" w:eastAsia="Calibri" w:hAnsi="Times New Roman" w:cs="Times New Roman"/>
          <w:sz w:val="24"/>
          <w:szCs w:val="24"/>
        </w:rPr>
        <w:t xml:space="preserve"> &gt;4mg/dl), but also the combination of rituximab and cyclophosphamide is considered in this setting. KDIGO21 pp9.3.1.2. Combining 4 weekly infusions rituximab and 2 </w:t>
      </w:r>
      <w:proofErr w:type="spellStart"/>
      <w:r w:rsidRPr="00E85C29">
        <w:rPr>
          <w:rFonts w:ascii="Times New Roman" w:eastAsia="Calibri" w:hAnsi="Times New Roman" w:cs="Times New Roman"/>
          <w:sz w:val="24"/>
          <w:szCs w:val="24"/>
        </w:rPr>
        <w:t>i.v.</w:t>
      </w:r>
      <w:proofErr w:type="spellEnd"/>
      <w:r w:rsidRPr="00E85C29">
        <w:rPr>
          <w:rFonts w:ascii="Times New Roman" w:eastAsia="Calibri" w:hAnsi="Times New Roman" w:cs="Times New Roman"/>
          <w:sz w:val="24"/>
          <w:szCs w:val="24"/>
        </w:rPr>
        <w:t xml:space="preserve"> cyclophosphamide pulses with glucocorticoids might be an alternative to </w:t>
      </w:r>
      <w:proofErr w:type="spellStart"/>
      <w:r w:rsidRPr="00E85C29">
        <w:rPr>
          <w:rFonts w:ascii="Times New Roman" w:eastAsia="Calibri" w:hAnsi="Times New Roman" w:cs="Times New Roman"/>
          <w:sz w:val="24"/>
          <w:szCs w:val="24"/>
        </w:rPr>
        <w:t>i.v.</w:t>
      </w:r>
      <w:proofErr w:type="spellEnd"/>
      <w:r w:rsidRPr="00E85C29">
        <w:rPr>
          <w:rFonts w:ascii="Times New Roman" w:eastAsia="Calibri" w:hAnsi="Times New Roman" w:cs="Times New Roman"/>
          <w:sz w:val="24"/>
          <w:szCs w:val="24"/>
        </w:rPr>
        <w:t xml:space="preserve"> Cyclophosphamide for 3-6 months. </w:t>
      </w:r>
      <w:r w:rsidRPr="00E85C29">
        <w:rPr>
          <w:rFonts w:ascii="Times New Roman" w:eastAsia="Calibri" w:hAnsi="Times New Roman" w:cs="Times New Roman"/>
          <w:b/>
          <w:bCs/>
          <w:sz w:val="24"/>
          <w:szCs w:val="24"/>
        </w:rPr>
        <w:t xml:space="preserve">KDIGO 2021 PP 9.3.1.7   </w:t>
      </w:r>
    </w:p>
    <w:p w14:paraId="54479081" w14:textId="77777777" w:rsidR="00E85C29" w:rsidRPr="00E85C29" w:rsidRDefault="00E85C29" w:rsidP="00BB3BBA">
      <w:pPr>
        <w:tabs>
          <w:tab w:val="left" w:pos="450"/>
        </w:tabs>
        <w:ind w:left="45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 </w:t>
      </w:r>
    </w:p>
    <w:p w14:paraId="587F9721" w14:textId="77777777" w:rsidR="00E85C29" w:rsidRPr="00E85C29" w:rsidRDefault="00E85C29" w:rsidP="00BB3BBA">
      <w:pPr>
        <w:tabs>
          <w:tab w:val="left" w:pos="450"/>
        </w:tabs>
        <w:ind w:left="450" w:hanging="36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(2) Rituximab with steroids</w:t>
      </w:r>
      <w:r w:rsidRPr="00E85C29">
        <w:rPr>
          <w:rFonts w:ascii="Times New Roman" w:eastAsia="Calibri" w:hAnsi="Times New Roman" w:cs="Times New Roman"/>
          <w:sz w:val="24"/>
          <w:szCs w:val="24"/>
        </w:rPr>
        <w:t xml:space="preserve"> in less severe disease or contra indication to cyclophosphamides (as in children being concerned with infertility) or in relapsing disease.  We recommend steroids with rituximab weekly (as 375mg/m2/w for 4 w or 1 gm at weeks 0, 2) </w:t>
      </w:r>
      <w:r w:rsidRPr="00E85C29">
        <w:rPr>
          <w:rFonts w:ascii="Times New Roman" w:eastAsia="Calibri" w:hAnsi="Times New Roman" w:cs="Times New Roman"/>
          <w:b/>
          <w:bCs/>
          <w:sz w:val="24"/>
          <w:szCs w:val="24"/>
        </w:rPr>
        <w:t xml:space="preserve">(1B) KDIGO 2012, KDIGO 2021. PP: 9.3.1.3. and PP 9.3.1.7 </w:t>
      </w:r>
    </w:p>
    <w:p w14:paraId="31D5A6E7" w14:textId="77777777" w:rsidR="00E85C29" w:rsidRPr="00E85C29" w:rsidRDefault="00E85C29" w:rsidP="00BB3BBA">
      <w:pPr>
        <w:ind w:left="450" w:hanging="27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lastRenderedPageBreak/>
        <w:t xml:space="preserve">    We suggest adding PE (seven sessions, over a maxi</w:t>
      </w:r>
      <w:r w:rsidR="00BB3BBA">
        <w:rPr>
          <w:rFonts w:ascii="Times New Roman" w:eastAsia="Calibri" w:hAnsi="Times New Roman" w:cs="Times New Roman"/>
          <w:sz w:val="24"/>
          <w:szCs w:val="24"/>
        </w:rPr>
        <w:t xml:space="preserve">mum of 2 weeks, 60 ml/kg volume </w:t>
      </w:r>
      <w:r w:rsidRPr="00E85C29">
        <w:rPr>
          <w:rFonts w:ascii="Times New Roman" w:eastAsia="Calibri" w:hAnsi="Times New Roman" w:cs="Times New Roman"/>
          <w:sz w:val="24"/>
          <w:szCs w:val="24"/>
        </w:rPr>
        <w:t xml:space="preserve">replacement, albumin substitution) if pulmonary hemorrhages KDIGO12 </w:t>
      </w:r>
      <w:r w:rsidRPr="00E85C29">
        <w:rPr>
          <w:rFonts w:ascii="Times New Roman" w:eastAsia="Calibri" w:hAnsi="Times New Roman" w:cs="Times New Roman"/>
          <w:b/>
          <w:bCs/>
          <w:sz w:val="24"/>
          <w:szCs w:val="24"/>
        </w:rPr>
        <w:t>(2C)</w:t>
      </w:r>
      <w:r w:rsidRPr="00E85C29">
        <w:rPr>
          <w:rFonts w:ascii="Times New Roman" w:eastAsia="Calibri" w:hAnsi="Times New Roman" w:cs="Times New Roman"/>
          <w:sz w:val="24"/>
          <w:szCs w:val="24"/>
        </w:rPr>
        <w:t xml:space="preserve"> or Anti Glomerular Basement Membrane (AGBM) (overlap syndrome of ANCA vasculitis and anti GBM) </w:t>
      </w:r>
      <w:r w:rsidRPr="00E85C29">
        <w:rPr>
          <w:rFonts w:ascii="Times New Roman" w:eastAsia="Calibri" w:hAnsi="Times New Roman" w:cs="Times New Roman"/>
          <w:b/>
          <w:bCs/>
          <w:sz w:val="24"/>
          <w:szCs w:val="24"/>
        </w:rPr>
        <w:t>KDIGO</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2012 (2D), KDIGO 2021 (PP 9.3.1.8) (PP.9.3.1.9). PP: 9.4.1.1.PP: 9.4.1. 2.</w:t>
      </w:r>
    </w:p>
    <w:p w14:paraId="6C70C48E" w14:textId="77777777" w:rsidR="00E85C29" w:rsidRPr="00E85C29" w:rsidRDefault="00E85C29" w:rsidP="00E85C29">
      <w:pPr>
        <w:ind w:left="270" w:hanging="180"/>
        <w:rPr>
          <w:rFonts w:ascii="Times New Roman" w:eastAsia="Calibri" w:hAnsi="Times New Roman" w:cs="Times New Roman"/>
          <w:b/>
          <w:bCs/>
          <w:sz w:val="24"/>
          <w:szCs w:val="24"/>
        </w:rPr>
      </w:pPr>
    </w:p>
    <w:p w14:paraId="3D317738" w14:textId="77777777" w:rsidR="00E85C29" w:rsidRPr="00E85C29" w:rsidRDefault="00E85C29" w:rsidP="00E85C29">
      <w:pPr>
        <w:ind w:left="270" w:hanging="18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MAINTENANCE TREATMENT</w:t>
      </w:r>
    </w:p>
    <w:p w14:paraId="2DB76E18" w14:textId="77777777" w:rsidR="00E85C29" w:rsidRPr="00E85C29" w:rsidRDefault="00E85C29" w:rsidP="00E85C29">
      <w:pPr>
        <w:numPr>
          <w:ilvl w:val="0"/>
          <w:numId w:val="14"/>
        </w:numPr>
        <w:tabs>
          <w:tab w:val="left" w:pos="270"/>
        </w:tabs>
        <w:spacing w:after="160" w:line="254" w:lineRule="auto"/>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maintenance therapy with either </w:t>
      </w:r>
      <w:r w:rsidRPr="00E85C29">
        <w:rPr>
          <w:rFonts w:ascii="Times New Roman" w:eastAsia="Calibri" w:hAnsi="Times New Roman" w:cs="Times New Roman"/>
          <w:b/>
          <w:bCs/>
          <w:sz w:val="24"/>
          <w:szCs w:val="24"/>
        </w:rPr>
        <w:t>rituximab or azathioprine</w:t>
      </w:r>
      <w:r w:rsidRPr="00E85C29">
        <w:rPr>
          <w:rFonts w:ascii="Times New Roman" w:eastAsia="Calibri" w:hAnsi="Times New Roman" w:cs="Times New Roman"/>
          <w:sz w:val="24"/>
          <w:szCs w:val="24"/>
        </w:rPr>
        <w:t xml:space="preserve"> with low dose glucocorticoids after induction of remission </w:t>
      </w:r>
      <w:r w:rsidRPr="00E85C29">
        <w:rPr>
          <w:rFonts w:ascii="Times New Roman" w:eastAsia="Calibri" w:hAnsi="Times New Roman" w:cs="Times New Roman"/>
          <w:b/>
          <w:bCs/>
          <w:sz w:val="24"/>
          <w:szCs w:val="24"/>
        </w:rPr>
        <w:t>(1C) KDIGO 2021.</w:t>
      </w:r>
      <w:r w:rsidRPr="00E85C29">
        <w:rPr>
          <w:rFonts w:ascii="Times New Roman" w:eastAsia="Calibri" w:hAnsi="Times New Roman" w:cs="Times New Roman"/>
          <w:sz w:val="24"/>
          <w:szCs w:val="24"/>
        </w:rPr>
        <w:t xml:space="preserve">  </w:t>
      </w:r>
    </w:p>
    <w:p w14:paraId="710764E2"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Rituximab</w:t>
      </w:r>
      <w:r w:rsidRPr="00E85C29">
        <w:rPr>
          <w:rFonts w:ascii="Times New Roman" w:eastAsia="Calibri" w:hAnsi="Times New Roman" w:cs="Times New Roman"/>
          <w:sz w:val="24"/>
          <w:szCs w:val="24"/>
        </w:rPr>
        <w:t xml:space="preserve"> 375 m infusion at complete remission and at month 6,12,1 with monitoring   basal &amp; follow up IgG, taper steroids (to a dose 5 mg/d by 6 m) and keep on rituximab for 18 months after remission. </w:t>
      </w:r>
    </w:p>
    <w:p w14:paraId="43B62DF5"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Azathioprine</w:t>
      </w:r>
      <w:r w:rsidRPr="00E85C29">
        <w:rPr>
          <w:rFonts w:ascii="Times New Roman" w:eastAsia="Calibri" w:hAnsi="Times New Roman" w:cs="Times New Roman"/>
          <w:sz w:val="24"/>
          <w:szCs w:val="24"/>
        </w:rPr>
        <w:t xml:space="preserve"> 1mg/kg/d at remission until 1 y after diagnosis then taper by 25 mg every 3m) </w:t>
      </w:r>
      <w:r w:rsidRPr="00E85C29">
        <w:rPr>
          <w:rFonts w:ascii="Times New Roman" w:eastAsia="Calibri" w:hAnsi="Times New Roman" w:cs="Times New Roman"/>
          <w:b/>
          <w:bCs/>
          <w:sz w:val="24"/>
          <w:szCs w:val="24"/>
        </w:rPr>
        <w:t>(1B) KDIGO 12, (1C) KDIGO 21 or   3-MMF (600 mg/8h or 12h   for 18 m) (2C) for 18 m (2D) KDIGO 12 KDIGO 21 (1C).</w:t>
      </w:r>
      <w:r w:rsidRPr="00E85C29">
        <w:rPr>
          <w:rFonts w:ascii="Times New Roman" w:eastAsia="Calibri" w:hAnsi="Times New Roman" w:cs="Times New Roman"/>
          <w:sz w:val="24"/>
          <w:szCs w:val="24"/>
        </w:rPr>
        <w:t xml:space="preserve">    </w:t>
      </w:r>
    </w:p>
    <w:p w14:paraId="3F0DF396" w14:textId="77777777" w:rsidR="00E85C29" w:rsidRPr="00E85C29" w:rsidRDefault="00E85C29" w:rsidP="00BB3BBA">
      <w:pPr>
        <w:numPr>
          <w:ilvl w:val="0"/>
          <w:numId w:val="14"/>
        </w:numPr>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We recommend for patients on cyclophosphamide</w:t>
      </w:r>
    </w:p>
    <w:p w14:paraId="15468455" w14:textId="77777777" w:rsidR="00E85C29" w:rsidRPr="00E85C29" w:rsidRDefault="00E85C29" w:rsidP="00BB3BBA">
      <w:pPr>
        <w:ind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1-Shift to rituximab &amp; taper steroids or</w:t>
      </w:r>
    </w:p>
    <w:p w14:paraId="4D4F6541" w14:textId="77777777" w:rsidR="00BB3BBA" w:rsidRDefault="00E85C29" w:rsidP="00724B23">
      <w:pPr>
        <w:ind w:left="540" w:hanging="45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2- Shift to </w:t>
      </w:r>
      <w:bookmarkStart w:id="4" w:name="_Hlk96872305"/>
      <w:r w:rsidRPr="00E85C29">
        <w:rPr>
          <w:rFonts w:ascii="Times New Roman" w:eastAsia="Calibri" w:hAnsi="Times New Roman" w:cs="Times New Roman"/>
          <w:sz w:val="24"/>
          <w:szCs w:val="24"/>
        </w:rPr>
        <w:t xml:space="preserve">azathioprine </w:t>
      </w:r>
      <w:bookmarkStart w:id="5" w:name="_Hlk96872239"/>
      <w:r w:rsidRPr="00E85C29">
        <w:rPr>
          <w:rFonts w:ascii="Times New Roman" w:eastAsia="Calibri" w:hAnsi="Times New Roman" w:cs="Times New Roman"/>
          <w:sz w:val="24"/>
          <w:szCs w:val="24"/>
        </w:rPr>
        <w:t xml:space="preserve">1mg/kg/d at remission until 1 y after diagnosis then taper by 25 mg   every </w:t>
      </w:r>
      <w:r w:rsidR="00724B23">
        <w:rPr>
          <w:rFonts w:ascii="Times New Roman" w:eastAsia="Calibri" w:hAnsi="Times New Roman" w:cs="Times New Roman"/>
          <w:sz w:val="24"/>
          <w:szCs w:val="24"/>
        </w:rPr>
        <w:t xml:space="preserve"> </w:t>
      </w:r>
      <w:r w:rsidR="00280C25">
        <w:rPr>
          <w:rFonts w:ascii="Times New Roman" w:eastAsia="Calibri" w:hAnsi="Times New Roman" w:cs="Times New Roman"/>
          <w:sz w:val="24"/>
          <w:szCs w:val="24"/>
        </w:rPr>
        <w:t xml:space="preserve">     </w:t>
      </w:r>
    </w:p>
    <w:p w14:paraId="79EC472D" w14:textId="77777777" w:rsidR="00E85C29" w:rsidRPr="00E85C29" w:rsidRDefault="00BB3BBA" w:rsidP="00BB3BBA">
      <w:pPr>
        <w:ind w:left="270" w:hanging="18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85C29" w:rsidRPr="00E85C29">
        <w:rPr>
          <w:rFonts w:ascii="Times New Roman" w:eastAsia="Calibri" w:hAnsi="Times New Roman" w:cs="Times New Roman"/>
          <w:sz w:val="24"/>
          <w:szCs w:val="24"/>
        </w:rPr>
        <w:t xml:space="preserve">3-MMF (600 mg/8h or 12h for 18 m) </w:t>
      </w:r>
      <w:r w:rsidR="00E85C29" w:rsidRPr="00E85C29">
        <w:rPr>
          <w:rFonts w:ascii="Times New Roman" w:eastAsia="Calibri" w:hAnsi="Times New Roman" w:cs="Times New Roman"/>
          <w:b/>
          <w:bCs/>
          <w:sz w:val="24"/>
          <w:szCs w:val="24"/>
        </w:rPr>
        <w:t>(2C)</w:t>
      </w:r>
      <w:r w:rsidR="00E85C29" w:rsidRPr="00E85C29">
        <w:rPr>
          <w:rFonts w:ascii="Times New Roman" w:eastAsia="Calibri" w:hAnsi="Times New Roman" w:cs="Times New Roman"/>
          <w:sz w:val="24"/>
          <w:szCs w:val="24"/>
        </w:rPr>
        <w:t xml:space="preserve"> for 18 m </w:t>
      </w:r>
      <w:r w:rsidR="00E85C29" w:rsidRPr="00E85C29">
        <w:rPr>
          <w:rFonts w:ascii="Times New Roman" w:eastAsia="Calibri" w:hAnsi="Times New Roman" w:cs="Times New Roman"/>
          <w:b/>
          <w:bCs/>
          <w:sz w:val="24"/>
          <w:szCs w:val="24"/>
        </w:rPr>
        <w:t>(2D) KDIGO 2012 KDIGO 2021 (1C).</w:t>
      </w:r>
      <w:r w:rsidR="00E85C29" w:rsidRPr="00E85C29">
        <w:rPr>
          <w:rFonts w:ascii="Times New Roman" w:eastAsia="Calibri" w:hAnsi="Times New Roman" w:cs="Times New Roman"/>
          <w:sz w:val="24"/>
          <w:szCs w:val="24"/>
        </w:rPr>
        <w:t xml:space="preserve"> </w:t>
      </w:r>
    </w:p>
    <w:bookmarkEnd w:id="4"/>
    <w:bookmarkEnd w:id="5"/>
    <w:p w14:paraId="78737E02" w14:textId="77777777" w:rsidR="00E85C29" w:rsidRPr="00E85C29" w:rsidRDefault="00E85C29" w:rsidP="00BB3BBA">
      <w:pPr>
        <w:numPr>
          <w:ilvl w:val="0"/>
          <w:numId w:val="14"/>
        </w:numPr>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Optimal duration of azathioprine plus low dose glucocorticoids should be 1-4 years after induction of remission </w:t>
      </w:r>
      <w:r w:rsidRPr="00E85C29">
        <w:rPr>
          <w:rFonts w:ascii="Times New Roman" w:eastAsia="Calibri" w:hAnsi="Times New Roman" w:cs="Times New Roman"/>
          <w:b/>
          <w:bCs/>
          <w:sz w:val="24"/>
          <w:szCs w:val="24"/>
        </w:rPr>
        <w:t>PP.9.3.2.8.</w:t>
      </w:r>
    </w:p>
    <w:p w14:paraId="01B60BE4" w14:textId="77777777" w:rsidR="00E85C29" w:rsidRPr="00E85C29" w:rsidRDefault="00E85C29" w:rsidP="00BB3BBA">
      <w:pPr>
        <w:numPr>
          <w:ilvl w:val="0"/>
          <w:numId w:val="14"/>
        </w:numPr>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for patients who cannot be maintained on rituximab because of  low base line IgG, or HBs Ag positive to use Azathioprine or MMF  for maintenance (2000 mg (divided dose) at complete remission </w:t>
      </w:r>
      <w:r w:rsidRPr="00E85C29">
        <w:rPr>
          <w:rFonts w:ascii="Times New Roman" w:eastAsia="Calibri" w:hAnsi="Times New Roman" w:cs="Times New Roman"/>
          <w:b/>
          <w:bCs/>
          <w:sz w:val="24"/>
          <w:szCs w:val="24"/>
        </w:rPr>
        <w:t>PP9.3.2.7</w:t>
      </w:r>
      <w:r w:rsidRPr="00E85C29">
        <w:rPr>
          <w:rFonts w:ascii="Times New Roman" w:eastAsia="Calibri" w:hAnsi="Times New Roman" w:cs="Times New Roman"/>
          <w:sz w:val="24"/>
          <w:szCs w:val="24"/>
        </w:rPr>
        <w:t xml:space="preserve"> for 18 m to4 years. </w:t>
      </w:r>
      <w:r w:rsidRPr="00E85C29">
        <w:rPr>
          <w:rFonts w:ascii="Times New Roman" w:eastAsia="Calibri" w:hAnsi="Times New Roman" w:cs="Times New Roman"/>
          <w:b/>
          <w:bCs/>
          <w:sz w:val="24"/>
          <w:szCs w:val="24"/>
        </w:rPr>
        <w:t>KDIGO 21 PP 9.3.2.3.</w:t>
      </w:r>
      <w:r w:rsidRPr="00E85C29">
        <w:rPr>
          <w:rFonts w:ascii="Times New Roman" w:eastAsia="Calibri" w:hAnsi="Times New Roman" w:cs="Times New Roman"/>
          <w:sz w:val="24"/>
          <w:szCs w:val="24"/>
        </w:rPr>
        <w:t xml:space="preserve"> </w:t>
      </w:r>
    </w:p>
    <w:p w14:paraId="3FF2D25D" w14:textId="77777777" w:rsidR="00E85C29" w:rsidRPr="00E85C29" w:rsidRDefault="00E85C29" w:rsidP="00BB3BBA">
      <w:pPr>
        <w:numPr>
          <w:ilvl w:val="0"/>
          <w:numId w:val="14"/>
        </w:numPr>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Adults prefer azathioprine being safe in pregnancy, and in children being low cost, available and more tolerable than MMF. </w:t>
      </w:r>
      <w:r w:rsidRPr="00E85C29">
        <w:rPr>
          <w:rFonts w:ascii="Times New Roman" w:eastAsia="Calibri" w:hAnsi="Times New Roman" w:cs="Times New Roman"/>
          <w:b/>
          <w:bCs/>
          <w:sz w:val="24"/>
          <w:szCs w:val="24"/>
        </w:rPr>
        <w:t>KDIGO 2021 PP: 9.3.2.1.</w:t>
      </w:r>
      <w:r w:rsidRPr="00E85C29">
        <w:rPr>
          <w:rFonts w:ascii="Times New Roman" w:eastAsia="Calibri" w:hAnsi="Times New Roman" w:cs="Times New Roman"/>
          <w:sz w:val="24"/>
          <w:szCs w:val="24"/>
        </w:rPr>
        <w:t xml:space="preserve">  Methotrexate is not recommended in children with GFR &lt; 60   </w:t>
      </w:r>
      <w:r w:rsidRPr="00E85C29">
        <w:rPr>
          <w:rFonts w:ascii="Times New Roman" w:eastAsia="Calibri" w:hAnsi="Times New Roman" w:cs="Times New Roman"/>
          <w:b/>
          <w:bCs/>
          <w:sz w:val="24"/>
          <w:szCs w:val="24"/>
        </w:rPr>
        <w:t>KDIGO 2021 PP 9.3.2.6.</w:t>
      </w:r>
    </w:p>
    <w:p w14:paraId="617D1DE4" w14:textId="77777777" w:rsidR="00E85C29" w:rsidRPr="00E85C29" w:rsidRDefault="00E85C29" w:rsidP="00BB3BBA">
      <w:pPr>
        <w:numPr>
          <w:ilvl w:val="0"/>
          <w:numId w:val="14"/>
        </w:numPr>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Patients should be informed about risk of relapse on withdrawal of maintenance, to pay attention for symptoms recurrence. </w:t>
      </w:r>
      <w:r w:rsidRPr="00E85C29">
        <w:rPr>
          <w:rFonts w:ascii="Times New Roman" w:eastAsia="Calibri" w:hAnsi="Times New Roman" w:cs="Times New Roman"/>
          <w:b/>
          <w:bCs/>
          <w:sz w:val="24"/>
          <w:szCs w:val="24"/>
        </w:rPr>
        <w:t>PP 9.3.2.5.</w:t>
      </w:r>
      <w:r w:rsidRPr="00E85C29">
        <w:rPr>
          <w:rFonts w:ascii="Times New Roman" w:eastAsia="Calibri" w:hAnsi="Times New Roman" w:cs="Times New Roman"/>
          <w:sz w:val="24"/>
          <w:szCs w:val="24"/>
        </w:rPr>
        <w:t xml:space="preserve"> </w:t>
      </w:r>
    </w:p>
    <w:p w14:paraId="17F09816" w14:textId="77777777" w:rsidR="00E85C29" w:rsidRPr="00E85C29" w:rsidRDefault="00E85C29" w:rsidP="00E85C29">
      <w:pPr>
        <w:ind w:left="270" w:firstLine="0"/>
        <w:rPr>
          <w:rFonts w:ascii="Times New Roman" w:eastAsia="Calibri" w:hAnsi="Times New Roman" w:cs="Times New Roman"/>
          <w:sz w:val="24"/>
          <w:szCs w:val="24"/>
        </w:rPr>
      </w:pPr>
    </w:p>
    <w:p w14:paraId="040738D2" w14:textId="77777777" w:rsidR="00E85C29" w:rsidRPr="00E85C29" w:rsidRDefault="00E85C29" w:rsidP="00E85C29">
      <w:pPr>
        <w:shd w:val="clear" w:color="auto" w:fill="FFFFFF"/>
        <w:ind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 B2    TREATMENT OF RELAPSE</w:t>
      </w:r>
    </w:p>
    <w:p w14:paraId="241B85F1" w14:textId="77777777" w:rsidR="00E85C29" w:rsidRPr="00E85C29" w:rsidRDefault="00E85C29" w:rsidP="0000755A">
      <w:pPr>
        <w:ind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Rationale:</w:t>
      </w:r>
    </w:p>
    <w:p w14:paraId="4EEE2420" w14:textId="77777777" w:rsidR="00E85C29" w:rsidRPr="00E85C29" w:rsidRDefault="00E85C29" w:rsidP="0000755A">
      <w:pPr>
        <w:numPr>
          <w:ilvl w:val="0"/>
          <w:numId w:val="15"/>
        </w:numPr>
        <w:tabs>
          <w:tab w:val="left" w:pos="270"/>
        </w:tabs>
        <w:ind w:left="360" w:hanging="27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Persistence of ANCA positivity or rising titer or change from – to + are only predictive of future disease relapse &amp; should not be used to guide treatment plan </w:t>
      </w:r>
      <w:r w:rsidRPr="00E85C29">
        <w:rPr>
          <w:rFonts w:ascii="Times New Roman" w:eastAsia="Calibri" w:hAnsi="Times New Roman" w:cs="Times New Roman"/>
          <w:b/>
          <w:bCs/>
          <w:sz w:val="24"/>
          <w:szCs w:val="24"/>
        </w:rPr>
        <w:t>PP 9.2.3. KDIGO 2021.</w:t>
      </w:r>
    </w:p>
    <w:p w14:paraId="20ECB499" w14:textId="77777777" w:rsidR="00E85C29" w:rsidRPr="00E85C29" w:rsidRDefault="00E85C29" w:rsidP="0000755A">
      <w:pPr>
        <w:numPr>
          <w:ilvl w:val="0"/>
          <w:numId w:val="15"/>
        </w:numPr>
        <w:tabs>
          <w:tab w:val="left" w:pos="27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RTX should be preferred for: children and adolescent, glucocorticoid- sparing, PR3_ANCA disease. </w:t>
      </w:r>
    </w:p>
    <w:p w14:paraId="33D9044F" w14:textId="77777777" w:rsidR="00E85C29" w:rsidRPr="00E85C29" w:rsidRDefault="00E85C29" w:rsidP="0000755A">
      <w:pPr>
        <w:numPr>
          <w:ilvl w:val="0"/>
          <w:numId w:val="15"/>
        </w:numPr>
        <w:tabs>
          <w:tab w:val="left" w:pos="27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Cyclophosphamide should be preferred: if rituximab is difficult to access; in case of severe GN (</w:t>
      </w:r>
      <w:proofErr w:type="spellStart"/>
      <w:r w:rsidRPr="00E85C29">
        <w:rPr>
          <w:rFonts w:ascii="Times New Roman" w:eastAsia="Calibri" w:hAnsi="Times New Roman" w:cs="Times New Roman"/>
          <w:sz w:val="24"/>
          <w:szCs w:val="24"/>
        </w:rPr>
        <w:t>Scr</w:t>
      </w:r>
      <w:proofErr w:type="spellEnd"/>
      <w:r w:rsidRPr="00E85C29">
        <w:rPr>
          <w:rFonts w:ascii="Times New Roman" w:eastAsia="Calibri" w:hAnsi="Times New Roman" w:cs="Times New Roman"/>
          <w:sz w:val="24"/>
          <w:szCs w:val="24"/>
        </w:rPr>
        <w:t xml:space="preserve"> &gt;4 mg/dl).</w:t>
      </w:r>
    </w:p>
    <w:p w14:paraId="2787236B" w14:textId="77777777" w:rsidR="00E85C29" w:rsidRPr="00E85C29" w:rsidRDefault="00E85C29" w:rsidP="0000755A">
      <w:pPr>
        <w:numPr>
          <w:ilvl w:val="0"/>
          <w:numId w:val="15"/>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Combination of two. IV pulse of CYP with RTX should be considered.</w:t>
      </w:r>
    </w:p>
    <w:p w14:paraId="066675C0" w14:textId="77777777" w:rsidR="00E85C29" w:rsidRPr="00E85C29" w:rsidRDefault="00E85C29" w:rsidP="00E85C29">
      <w:pPr>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We recommend </w:t>
      </w:r>
    </w:p>
    <w:p w14:paraId="23BFEADE" w14:textId="77777777" w:rsidR="00E85C29" w:rsidRPr="00E85C29" w:rsidRDefault="00E85C29" w:rsidP="0000755A">
      <w:pPr>
        <w:ind w:left="540" w:hanging="45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 (1)</w:t>
      </w:r>
      <w:r w:rsidRPr="00E85C29">
        <w:rPr>
          <w:rFonts w:ascii="Times New Roman" w:eastAsia="Calibri" w:hAnsi="Times New Roman" w:cs="Times New Roman"/>
          <w:sz w:val="24"/>
          <w:szCs w:val="24"/>
        </w:rPr>
        <w:t xml:space="preserve"> Glucocorticoids in combination with cyclophosphamides or   rituximab be used   as in initial therapy considering cumulative dose of CYP </w:t>
      </w:r>
      <w:r w:rsidRPr="00E85C29">
        <w:rPr>
          <w:rFonts w:ascii="Times New Roman" w:eastAsia="Calibri" w:hAnsi="Times New Roman" w:cs="Times New Roman"/>
          <w:b/>
          <w:bCs/>
          <w:sz w:val="24"/>
          <w:szCs w:val="24"/>
        </w:rPr>
        <w:t>PP 9.3.3.1.</w:t>
      </w:r>
      <w:r w:rsidRPr="00E85C29">
        <w:rPr>
          <w:rFonts w:ascii="Times New Roman" w:eastAsia="Calibri" w:hAnsi="Times New Roman" w:cs="Times New Roman"/>
          <w:sz w:val="24"/>
          <w:szCs w:val="24"/>
        </w:rPr>
        <w:t xml:space="preserve"> Use of rituximab is preferred, if high cumulative dose or, patient is resistant to CYP </w:t>
      </w:r>
      <w:r w:rsidRPr="00E85C29">
        <w:rPr>
          <w:rFonts w:ascii="Times New Roman" w:eastAsia="Calibri" w:hAnsi="Times New Roman" w:cs="Times New Roman"/>
          <w:b/>
          <w:bCs/>
          <w:sz w:val="24"/>
          <w:szCs w:val="24"/>
        </w:rPr>
        <w:t>PP 9.3.1.1.</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KDIGO 2021,</w:t>
      </w:r>
      <w:r w:rsidRPr="00E85C29">
        <w:rPr>
          <w:rFonts w:ascii="Times New Roman" w:eastAsia="Calibri" w:hAnsi="Times New Roman" w:cs="Times New Roman"/>
          <w:sz w:val="24"/>
          <w:szCs w:val="24"/>
        </w:rPr>
        <w:t xml:space="preserve"> prefer-rituximab for induction of remission and recommends switch to rituximab if cyclophosphamide was previously   tried or vice versa. </w:t>
      </w:r>
      <w:r w:rsidRPr="00E85C29">
        <w:rPr>
          <w:rFonts w:ascii="Times New Roman" w:eastAsia="Calibri" w:hAnsi="Times New Roman" w:cs="Times New Roman"/>
          <w:b/>
          <w:bCs/>
          <w:sz w:val="24"/>
          <w:szCs w:val="24"/>
        </w:rPr>
        <w:t>PP 9.3.3.1</w:t>
      </w:r>
      <w:r w:rsidRPr="00E85C29">
        <w:rPr>
          <w:rFonts w:ascii="Times New Roman" w:eastAsia="Calibri" w:hAnsi="Times New Roman" w:cs="Times New Roman"/>
          <w:sz w:val="24"/>
          <w:szCs w:val="24"/>
        </w:rPr>
        <w:t xml:space="preserve"> </w:t>
      </w:r>
    </w:p>
    <w:p w14:paraId="14A20F42" w14:textId="77777777" w:rsidR="00E85C29" w:rsidRPr="00E85C29" w:rsidRDefault="00E85C29" w:rsidP="00E85C29">
      <w:pPr>
        <w:ind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(2)</w:t>
      </w:r>
      <w:r w:rsidRPr="00E85C29">
        <w:rPr>
          <w:rFonts w:ascii="Times New Roman" w:eastAsia="Calibri" w:hAnsi="Times New Roman" w:cs="Times New Roman"/>
          <w:sz w:val="24"/>
          <w:szCs w:val="24"/>
        </w:rPr>
        <w:t xml:space="preserve">  Increase dose of oral or iv immunosuppressive agents or steroids. (2C). PP 9.3.3.1.</w:t>
      </w:r>
    </w:p>
    <w:p w14:paraId="28300AD4" w14:textId="77777777" w:rsidR="00E85C29" w:rsidRPr="00E85C29" w:rsidRDefault="00E85C29" w:rsidP="00E85C29">
      <w:pPr>
        <w:ind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 (3)</w:t>
      </w:r>
      <w:r w:rsidRPr="00E85C29">
        <w:rPr>
          <w:rFonts w:ascii="Times New Roman" w:eastAsia="Calibri" w:hAnsi="Times New Roman" w:cs="Times New Roman"/>
          <w:sz w:val="24"/>
          <w:szCs w:val="24"/>
        </w:rPr>
        <w:t xml:space="preserve">  PE, must be considered as well. </w:t>
      </w:r>
      <w:r w:rsidRPr="00E85C29">
        <w:rPr>
          <w:rFonts w:ascii="Times New Roman" w:eastAsia="Calibri" w:hAnsi="Times New Roman" w:cs="Times New Roman"/>
          <w:b/>
          <w:bCs/>
          <w:sz w:val="24"/>
          <w:szCs w:val="24"/>
        </w:rPr>
        <w:t>PP</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9.4.1.1</w:t>
      </w:r>
    </w:p>
    <w:p w14:paraId="561C352A" w14:textId="77777777" w:rsidR="00E85C29" w:rsidRPr="00E85C29" w:rsidRDefault="00E85C29" w:rsidP="0000755A">
      <w:pPr>
        <w:ind w:left="630" w:hanging="54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(4)</w:t>
      </w:r>
      <w:r w:rsidRPr="00E85C29">
        <w:rPr>
          <w:rFonts w:ascii="Times New Roman" w:eastAsia="Calibri" w:hAnsi="Times New Roman" w:cs="Times New Roman"/>
          <w:sz w:val="24"/>
          <w:szCs w:val="24"/>
        </w:rPr>
        <w:t xml:space="preserve"> Disease relapse is related to more extensive disease, (+) ANCA or rising titer, low </w:t>
      </w:r>
      <w:r w:rsidRPr="00E85C29">
        <w:rPr>
          <w:rFonts w:ascii="Times New Roman" w:eastAsia="Calibri" w:hAnsi="Times New Roman" w:cs="Times New Roman"/>
          <w:b/>
          <w:bCs/>
          <w:sz w:val="24"/>
          <w:szCs w:val="24"/>
        </w:rPr>
        <w:t>cyclophosphamide exposure, or steroid withdrawal PP 9.2.3.1.</w:t>
      </w:r>
    </w:p>
    <w:p w14:paraId="13307769" w14:textId="77777777" w:rsidR="00E85C29" w:rsidRPr="00E85C29" w:rsidRDefault="00E85C29" w:rsidP="00E85C29">
      <w:pPr>
        <w:shd w:val="clear" w:color="auto" w:fill="FFFFFF"/>
        <w:ind w:firstLine="0"/>
        <w:rPr>
          <w:rFonts w:ascii="Times New Roman" w:eastAsia="Calibri" w:hAnsi="Times New Roman" w:cs="Times New Roman"/>
          <w:b/>
          <w:bCs/>
          <w:sz w:val="24"/>
          <w:szCs w:val="24"/>
        </w:rPr>
      </w:pPr>
    </w:p>
    <w:p w14:paraId="4561A0E1" w14:textId="77777777" w:rsidR="00E85C29" w:rsidRPr="00E85C29" w:rsidRDefault="00E85C29" w:rsidP="00E85C29">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 B3. We recommend maintenance therapy</w:t>
      </w:r>
    </w:p>
    <w:p w14:paraId="4D65B83F" w14:textId="77777777" w:rsidR="00E85C29" w:rsidRPr="00E85C29" w:rsidRDefault="00E85C29" w:rsidP="00E85C29">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lastRenderedPageBreak/>
        <w:t xml:space="preserve">with either rituximab or azathioprine and low dose glucocorticoids after induction of remission </w:t>
      </w:r>
      <w:r w:rsidRPr="00E85C29">
        <w:rPr>
          <w:rFonts w:ascii="Times New Roman" w:eastAsia="Calibri" w:hAnsi="Times New Roman" w:cs="Times New Roman"/>
          <w:b/>
          <w:bCs/>
          <w:sz w:val="24"/>
          <w:szCs w:val="24"/>
        </w:rPr>
        <w:t xml:space="preserve">KIDIGO 2021 9.3.1.1 </w:t>
      </w:r>
    </w:p>
    <w:p w14:paraId="525A20ED" w14:textId="77777777" w:rsidR="00E85C29" w:rsidRPr="00E85C29" w:rsidRDefault="00E85C29" w:rsidP="00E85C29">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R 3.2.2.B4 When to TRANSPLANT???    </w:t>
      </w:r>
    </w:p>
    <w:p w14:paraId="66AE0E58" w14:textId="77777777" w:rsidR="00E85C29" w:rsidRPr="00E85C29" w:rsidRDefault="00E85C29" w:rsidP="00E85C29">
      <w:pPr>
        <w:shd w:val="clear" w:color="auto" w:fill="FFFFFF"/>
        <w:ind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Delay transplantation until complete clinical remission for 6m-1y even if ANCA +</w:t>
      </w:r>
    </w:p>
    <w:p w14:paraId="3E69358A" w14:textId="771505A3" w:rsidR="00E85C29" w:rsidRPr="00E85C29" w:rsidRDefault="00E85C29" w:rsidP="001E2598">
      <w:pPr>
        <w:shd w:val="clear" w:color="auto" w:fill="FFFFFF"/>
        <w:ind w:firstLine="0"/>
        <w:rPr>
          <w:rFonts w:ascii="Times New Roman" w:eastAsia="Calibri" w:hAnsi="Times New Roman" w:cs="Times New Roman"/>
          <w:b/>
          <w:bCs/>
          <w:color w:val="0070C0"/>
          <w:sz w:val="24"/>
          <w:szCs w:val="24"/>
        </w:rPr>
      </w:pPr>
      <w:r w:rsidRPr="00E85C29">
        <w:rPr>
          <w:rFonts w:ascii="Times New Roman" w:eastAsia="Calibri" w:hAnsi="Times New Roman" w:cs="Times New Roman"/>
          <w:sz w:val="24"/>
          <w:szCs w:val="24"/>
        </w:rPr>
        <w:t xml:space="preserve">In anti GBM /GN, transplant should be delayed till undetectable anti GBM   </w:t>
      </w:r>
      <w:r w:rsidRPr="00E85C29">
        <w:rPr>
          <w:rFonts w:ascii="Times New Roman" w:eastAsia="Calibri" w:hAnsi="Times New Roman" w:cs="Times New Roman"/>
          <w:b/>
          <w:bCs/>
          <w:sz w:val="24"/>
          <w:szCs w:val="24"/>
        </w:rPr>
        <w:t>PP 9.4. 2 .1</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KDIGO 2021.</w:t>
      </w:r>
      <w:r w:rsidR="002B253C" w:rsidRPr="002B253C">
        <w:rPr>
          <w:rFonts w:ascii="Times New Roman" w:eastAsia="Calibri" w:hAnsi="Times New Roman" w:cs="Times New Roman"/>
          <w:b/>
          <w:bCs/>
          <w:color w:val="FF0000"/>
          <w:sz w:val="24"/>
          <w:szCs w:val="24"/>
        </w:rPr>
        <w:t xml:space="preserve"> </w:t>
      </w:r>
      <w:r w:rsidR="002B253C" w:rsidRPr="001E2598">
        <w:rPr>
          <w:rFonts w:ascii="Times New Roman" w:eastAsia="Calibri" w:hAnsi="Times New Roman" w:cs="Times New Roman"/>
          <w:b/>
          <w:bCs/>
          <w:color w:val="FF0000"/>
          <w:sz w:val="24"/>
          <w:szCs w:val="24"/>
          <w:highlight w:val="yellow"/>
        </w:rPr>
        <w:t>EPG</w:t>
      </w:r>
      <w:r w:rsidRPr="001E2598">
        <w:rPr>
          <w:rFonts w:ascii="Times New Roman" w:eastAsia="Calibri" w:hAnsi="Times New Roman" w:cs="Times New Roman"/>
          <w:b/>
          <w:bCs/>
          <w:color w:val="FF0000"/>
          <w:sz w:val="24"/>
          <w:szCs w:val="24"/>
          <w:highlight w:val="yellow"/>
        </w:rPr>
        <w:t xml:space="preserve"> Fig</w:t>
      </w:r>
      <w:r w:rsidR="001E2598" w:rsidRPr="001E2598">
        <w:rPr>
          <w:rFonts w:ascii="Times New Roman" w:eastAsia="Calibri" w:hAnsi="Times New Roman" w:cs="Times New Roman"/>
          <w:b/>
          <w:bCs/>
          <w:color w:val="FF0000"/>
          <w:sz w:val="24"/>
          <w:szCs w:val="24"/>
          <w:highlight w:val="yellow"/>
        </w:rPr>
        <w:t xml:space="preserve"> 3</w:t>
      </w:r>
      <w:r w:rsidRPr="001E2598">
        <w:rPr>
          <w:rFonts w:ascii="Times New Roman" w:eastAsia="Calibri" w:hAnsi="Times New Roman" w:cs="Times New Roman"/>
          <w:b/>
          <w:bCs/>
          <w:color w:val="FF0000"/>
          <w:sz w:val="24"/>
          <w:szCs w:val="24"/>
          <w:highlight w:val="yellow"/>
        </w:rPr>
        <w:t>)</w:t>
      </w:r>
      <w:r w:rsidRPr="001E2598">
        <w:rPr>
          <w:rFonts w:ascii="Times New Roman" w:eastAsia="Calibri" w:hAnsi="Times New Roman" w:cs="Times New Roman"/>
          <w:b/>
          <w:bCs/>
          <w:color w:val="FF0000"/>
          <w:sz w:val="24"/>
          <w:szCs w:val="24"/>
        </w:rPr>
        <w:t xml:space="preserve"> </w:t>
      </w:r>
      <w:r w:rsidRPr="00E85C29">
        <w:rPr>
          <w:rFonts w:ascii="Times New Roman" w:eastAsia="Calibri" w:hAnsi="Times New Roman" w:cs="Times New Roman"/>
          <w:b/>
          <w:bCs/>
          <w:color w:val="0070C0"/>
          <w:sz w:val="24"/>
          <w:szCs w:val="24"/>
        </w:rPr>
        <w:t xml:space="preserve">ANCAV+ Treatment </w:t>
      </w:r>
      <w:r w:rsidRPr="002B253C">
        <w:rPr>
          <w:rFonts w:ascii="Times New Roman" w:eastAsia="Calibri" w:hAnsi="Times New Roman" w:cs="Times New Roman"/>
          <w:b/>
          <w:bCs/>
          <w:color w:val="0070C0"/>
          <w:sz w:val="24"/>
          <w:szCs w:val="24"/>
          <w:highlight w:val="yellow"/>
        </w:rPr>
        <w:t>(Appendix)</w:t>
      </w:r>
    </w:p>
    <w:p w14:paraId="6537B45D" w14:textId="77777777" w:rsidR="00E85C29" w:rsidRPr="00E85C29" w:rsidRDefault="00E85C29" w:rsidP="00E85C29">
      <w:pPr>
        <w:shd w:val="clear" w:color="auto" w:fill="FFFFFF"/>
        <w:ind w:firstLine="0"/>
        <w:rPr>
          <w:rFonts w:ascii="Times New Roman" w:eastAsia="Calibri" w:hAnsi="Times New Roman" w:cs="Times New Roman"/>
          <w:b/>
          <w:bCs/>
          <w:sz w:val="24"/>
          <w:szCs w:val="24"/>
        </w:rPr>
      </w:pPr>
    </w:p>
    <w:p w14:paraId="250F4DB2" w14:textId="77777777" w:rsidR="00E85C29" w:rsidRPr="00E85C29" w:rsidRDefault="00E85C29" w:rsidP="00E85C29">
      <w:pPr>
        <w:shd w:val="clear" w:color="auto" w:fill="F2F2F2"/>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R3.2.2.C                     INFECTION Related SRNS</w:t>
      </w:r>
    </w:p>
    <w:p w14:paraId="57246D72" w14:textId="77777777" w:rsidR="00E85C29" w:rsidRPr="00E85C29" w:rsidRDefault="00E85C29" w:rsidP="00E85C2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3.2.2.C1</w:t>
      </w:r>
      <w:r w:rsidRPr="00E85C29">
        <w:rPr>
          <w:rFonts w:ascii="Times New Roman" w:eastAsia="Calibri" w:hAnsi="Times New Roman" w:cs="Times New Roman"/>
          <w:sz w:val="24"/>
          <w:szCs w:val="24"/>
        </w:rPr>
        <w:t xml:space="preserve">   We suggest giving appropriate treatment of common </w:t>
      </w:r>
      <w:r w:rsidRPr="00E85C29">
        <w:rPr>
          <w:rFonts w:ascii="Times New Roman" w:eastAsia="Calibri" w:hAnsi="Times New Roman" w:cs="Times New Roman"/>
          <w:b/>
          <w:bCs/>
          <w:sz w:val="24"/>
          <w:szCs w:val="24"/>
        </w:rPr>
        <w:t>bacterial infections</w:t>
      </w:r>
      <w:r w:rsidRPr="00E85C29">
        <w:rPr>
          <w:rFonts w:ascii="Times New Roman" w:eastAsia="Calibri" w:hAnsi="Times New Roman" w:cs="Times New Roman"/>
          <w:sz w:val="24"/>
          <w:szCs w:val="24"/>
        </w:rPr>
        <w:t xml:space="preserve"> related to GN; poststreptococcal GN, infective endocarditis GN, shunt nephritis, </w:t>
      </w:r>
      <w:r w:rsidRPr="00E85C29">
        <w:rPr>
          <w:rFonts w:ascii="Times New Roman" w:eastAsia="Calibri" w:hAnsi="Times New Roman" w:cs="Times New Roman"/>
          <w:b/>
          <w:bCs/>
          <w:sz w:val="24"/>
          <w:szCs w:val="24"/>
        </w:rPr>
        <w:t>PP 7.1.2.1 KDIGO 2021</w:t>
      </w:r>
    </w:p>
    <w:p w14:paraId="2B8788B4"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 We recommend that </w:t>
      </w:r>
    </w:p>
    <w:p w14:paraId="09943683" w14:textId="77777777" w:rsidR="00E85C29" w:rsidRPr="00E85C29" w:rsidRDefault="00E85C29" w:rsidP="00E85C29">
      <w:pPr>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3.2.2.C2</w:t>
      </w:r>
      <w:r w:rsidRPr="00E85C29">
        <w:rPr>
          <w:rFonts w:ascii="Times New Roman" w:eastAsia="Calibri" w:hAnsi="Times New Roman" w:cs="Times New Roman"/>
          <w:sz w:val="24"/>
          <w:szCs w:val="24"/>
        </w:rPr>
        <w:t xml:space="preserve"> All CKD patients infected with</w:t>
      </w:r>
      <w:r w:rsidRPr="00E85C29">
        <w:rPr>
          <w:rFonts w:ascii="Times New Roman" w:eastAsia="Calibri" w:hAnsi="Times New Roman" w:cs="Times New Roman"/>
          <w:b/>
          <w:bCs/>
          <w:sz w:val="24"/>
          <w:szCs w:val="24"/>
        </w:rPr>
        <w:t xml:space="preserve"> HCV</w:t>
      </w:r>
      <w:r w:rsidRPr="00E85C29">
        <w:rPr>
          <w:rFonts w:ascii="Times New Roman" w:eastAsia="Calibri" w:hAnsi="Times New Roman" w:cs="Times New Roman"/>
          <w:sz w:val="24"/>
          <w:szCs w:val="24"/>
        </w:rPr>
        <w:t xml:space="preserve"> be evaluated for antiviral therapy </w:t>
      </w:r>
      <w:r w:rsidRPr="00E85C29">
        <w:rPr>
          <w:rFonts w:ascii="Times New Roman" w:eastAsia="Calibri" w:hAnsi="Times New Roman" w:cs="Times New Roman"/>
          <w:b/>
          <w:bCs/>
          <w:sz w:val="24"/>
          <w:szCs w:val="24"/>
        </w:rPr>
        <w:t>(1A).</w:t>
      </w:r>
      <w:r w:rsidRPr="00E85C29">
        <w:rPr>
          <w:rFonts w:ascii="Times New Roman" w:eastAsia="Calibri" w:hAnsi="Times New Roman" w:cs="Times New Roman"/>
          <w:sz w:val="24"/>
          <w:szCs w:val="24"/>
        </w:rPr>
        <w:t xml:space="preserve">    Interferon - free regimen </w:t>
      </w:r>
      <w:r w:rsidRPr="00E85C29">
        <w:rPr>
          <w:rFonts w:ascii="Times New Roman" w:eastAsia="Calibri" w:hAnsi="Times New Roman" w:cs="Times New Roman"/>
          <w:b/>
          <w:bCs/>
          <w:sz w:val="24"/>
          <w:szCs w:val="24"/>
        </w:rPr>
        <w:t>(1A) KDIGO 2018</w:t>
      </w:r>
    </w:p>
    <w:p w14:paraId="15FC0041" w14:textId="77777777" w:rsidR="00E85C29" w:rsidRPr="00E85C29" w:rsidRDefault="00E85C29" w:rsidP="00134F53">
      <w:pPr>
        <w:numPr>
          <w:ilvl w:val="0"/>
          <w:numId w:val="16"/>
        </w:numPr>
        <w:tabs>
          <w:tab w:val="left" w:pos="270"/>
        </w:tabs>
        <w:ind w:left="270" w:hanging="180"/>
        <w:jc w:val="left"/>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HCV with mixed cryoglobulinemia IgG/IgM with nephrotic proteinuria or progressive kidney disease or an acute flare of cryoglobulinemia, we suggest either plasmapheresis, rituximab, or cyclophosphamides in conjunction with IV MP&amp; Concomitant anti-viral therapy   </w:t>
      </w:r>
      <w:r w:rsidRPr="00E85C29">
        <w:rPr>
          <w:rFonts w:ascii="Times New Roman" w:eastAsia="Calibri" w:hAnsi="Times New Roman" w:cs="Times New Roman"/>
          <w:b/>
          <w:bCs/>
          <w:sz w:val="24"/>
          <w:szCs w:val="24"/>
        </w:rPr>
        <w:t>KDIGO 2018.</w:t>
      </w:r>
    </w:p>
    <w:p w14:paraId="7FA28E15" w14:textId="77777777" w:rsidR="00E85C29" w:rsidRPr="00E85C29" w:rsidRDefault="00E85C29" w:rsidP="00134F53">
      <w:pPr>
        <w:numPr>
          <w:ilvl w:val="0"/>
          <w:numId w:val="16"/>
        </w:numPr>
        <w:tabs>
          <w:tab w:val="left" w:pos="270"/>
        </w:tabs>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that patients with GFR &gt;30 ml/min/1,7m2 CKD (G1-G3b) be treated with any licensed direct acting antiviral (DAA) </w:t>
      </w:r>
      <w:r w:rsidRPr="00E85C29">
        <w:rPr>
          <w:rFonts w:ascii="Times New Roman" w:eastAsia="Calibri" w:hAnsi="Times New Roman" w:cs="Times New Roman"/>
          <w:b/>
          <w:bCs/>
          <w:sz w:val="24"/>
          <w:szCs w:val="24"/>
        </w:rPr>
        <w:t>(1A) 2018.</w:t>
      </w:r>
      <w:r w:rsidRPr="00E85C29">
        <w:rPr>
          <w:rFonts w:ascii="Times New Roman" w:eastAsia="Calibri" w:hAnsi="Times New Roman" w:cs="Times New Roman"/>
          <w:sz w:val="24"/>
          <w:szCs w:val="24"/>
        </w:rPr>
        <w:t xml:space="preserve"> We recommend interferon free regimen KDOGO 2018.</w:t>
      </w:r>
    </w:p>
    <w:p w14:paraId="1A31BEFB" w14:textId="77777777" w:rsidR="00E85C29" w:rsidRPr="00E85C29" w:rsidRDefault="00E85C29" w:rsidP="00134F53">
      <w:pPr>
        <w:numPr>
          <w:ilvl w:val="0"/>
          <w:numId w:val="16"/>
        </w:numPr>
        <w:tabs>
          <w:tab w:val="left" w:pos="270"/>
        </w:tabs>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We recommend that patients with GFR &gt; 30ml/min/ 1.7 m2CKD G1-3D) should be treated with any licensed direct acting antiviral   -DAA based regimen (KDIGO 2018) 1 A</w:t>
      </w:r>
    </w:p>
    <w:p w14:paraId="017866B3" w14:textId="77777777" w:rsidR="00E85C29" w:rsidRPr="00E85C29" w:rsidRDefault="00E85C29" w:rsidP="00134F53">
      <w:pPr>
        <w:numPr>
          <w:ilvl w:val="0"/>
          <w:numId w:val="16"/>
        </w:numPr>
        <w:tabs>
          <w:tab w:val="left" w:pos="360"/>
        </w:tabs>
        <w:ind w:left="180" w:hanging="9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We recommend that patients with GFR &lt; 30ml/min/ 1.7 m2CKD (CKD4-5D) should be treated with a ribavirin-free DAA based regimen 2018</w:t>
      </w:r>
    </w:p>
    <w:p w14:paraId="03088765" w14:textId="77777777" w:rsidR="00E85C29" w:rsidRPr="00E85C29" w:rsidRDefault="00E85C29" w:rsidP="00134F53">
      <w:pPr>
        <w:numPr>
          <w:ilvl w:val="0"/>
          <w:numId w:val="16"/>
        </w:numPr>
        <w:tabs>
          <w:tab w:val="left" w:pos="360"/>
        </w:tabs>
        <w:ind w:left="180" w:hanging="90"/>
        <w:jc w:val="left"/>
        <w:rPr>
          <w:rFonts w:ascii="Times New Roman" w:eastAsia="Calibri" w:hAnsi="Times New Roman" w:cs="Times New Roman"/>
          <w:i/>
          <w:iCs/>
          <w:sz w:val="24"/>
          <w:szCs w:val="24"/>
        </w:rPr>
      </w:pPr>
      <w:r w:rsidRPr="00E85C29">
        <w:rPr>
          <w:rFonts w:ascii="Times New Roman" w:eastAsia="Calibri" w:hAnsi="Times New Roman" w:cs="Times New Roman"/>
          <w:b/>
          <w:bCs/>
          <w:sz w:val="24"/>
          <w:szCs w:val="24"/>
        </w:rPr>
        <w:t>R 3.2.2.C3</w:t>
      </w:r>
      <w:r w:rsidRPr="00E85C29">
        <w:rPr>
          <w:rFonts w:ascii="Times New Roman" w:eastAsia="Calibri" w:hAnsi="Times New Roman" w:cs="Times New Roman"/>
          <w:sz w:val="24"/>
          <w:szCs w:val="24"/>
        </w:rPr>
        <w:t xml:space="preserve"> for</w:t>
      </w:r>
      <w:r w:rsidRPr="00E85C29">
        <w:rPr>
          <w:rFonts w:ascii="Times New Roman" w:eastAsia="Calibri" w:hAnsi="Times New Roman" w:cs="Times New Roman"/>
          <w:b/>
          <w:bCs/>
          <w:sz w:val="24"/>
          <w:szCs w:val="24"/>
        </w:rPr>
        <w:t xml:space="preserve"> HBV</w:t>
      </w:r>
      <w:r w:rsidRPr="00E85C29">
        <w:rPr>
          <w:rFonts w:ascii="Times New Roman" w:eastAsia="Calibri" w:hAnsi="Times New Roman" w:cs="Times New Roman"/>
          <w:sz w:val="24"/>
          <w:szCs w:val="24"/>
        </w:rPr>
        <w:t>.</w:t>
      </w:r>
    </w:p>
    <w:p w14:paraId="793EE12A" w14:textId="77777777" w:rsidR="00E85C29" w:rsidRPr="00E85C29" w:rsidRDefault="00E85C29" w:rsidP="00134F53">
      <w:pPr>
        <w:numPr>
          <w:ilvl w:val="0"/>
          <w:numId w:val="16"/>
        </w:numPr>
        <w:tabs>
          <w:tab w:val="left" w:pos="360"/>
        </w:tabs>
        <w:ind w:left="360" w:hanging="270"/>
        <w:jc w:val="left"/>
        <w:rPr>
          <w:rFonts w:ascii="Times New Roman" w:eastAsia="Calibri" w:hAnsi="Times New Roman" w:cs="Times New Roman"/>
          <w:i/>
          <w:iCs/>
          <w:sz w:val="24"/>
          <w:szCs w:val="24"/>
        </w:rPr>
      </w:pPr>
      <w:r w:rsidRPr="00E85C29">
        <w:rPr>
          <w:rFonts w:ascii="Times New Roman" w:eastAsia="Calibri" w:hAnsi="Times New Roman" w:cs="Times New Roman"/>
          <w:sz w:val="24"/>
          <w:szCs w:val="24"/>
        </w:rPr>
        <w:t xml:space="preserve">We recommend that patients with replicative HBV (&gt;2000 </w:t>
      </w:r>
      <w:proofErr w:type="spellStart"/>
      <w:r w:rsidRPr="00E85C29">
        <w:rPr>
          <w:rFonts w:ascii="Times New Roman" w:eastAsia="Calibri" w:hAnsi="Times New Roman" w:cs="Times New Roman"/>
          <w:sz w:val="24"/>
          <w:szCs w:val="24"/>
        </w:rPr>
        <w:t>iu</w:t>
      </w:r>
      <w:proofErr w:type="spellEnd"/>
      <w:r w:rsidRPr="00E85C29">
        <w:rPr>
          <w:rFonts w:ascii="Times New Roman" w:eastAsia="Calibri" w:hAnsi="Times New Roman" w:cs="Times New Roman"/>
          <w:sz w:val="24"/>
          <w:szCs w:val="24"/>
        </w:rPr>
        <w:t xml:space="preserve">/ml) treatment with </w:t>
      </w:r>
      <w:proofErr w:type="spellStart"/>
      <w:r w:rsidRPr="00E85C29">
        <w:rPr>
          <w:rFonts w:ascii="Times New Roman" w:eastAsia="Calibri" w:hAnsi="Times New Roman" w:cs="Times New Roman"/>
          <w:sz w:val="24"/>
          <w:szCs w:val="24"/>
        </w:rPr>
        <w:t>nucleos</w:t>
      </w:r>
      <w:proofErr w:type="spellEnd"/>
      <w:r w:rsidRPr="00E85C29">
        <w:rPr>
          <w:rFonts w:ascii="Times New Roman" w:eastAsia="Calibri" w:hAnsi="Times New Roman" w:cs="Times New Roman"/>
          <w:sz w:val="24"/>
          <w:szCs w:val="24"/>
        </w:rPr>
        <w:t xml:space="preserve">(t)ide analogues (NAs) as recommended for general population by standard CGL for HBV infection </w:t>
      </w:r>
      <w:r w:rsidRPr="00E85C29">
        <w:rPr>
          <w:rFonts w:ascii="Times New Roman" w:eastAsia="Calibri" w:hAnsi="Times New Roman" w:cs="Times New Roman"/>
          <w:b/>
          <w:bCs/>
          <w:sz w:val="24"/>
          <w:szCs w:val="24"/>
        </w:rPr>
        <w:t xml:space="preserve">(1C) KDIGO 2021/PP 7.2.2.3  </w:t>
      </w:r>
    </w:p>
    <w:p w14:paraId="7C510BCA" w14:textId="77777777" w:rsidR="00E85C29" w:rsidRPr="00E85C29" w:rsidRDefault="00E85C29" w:rsidP="00134F53">
      <w:pPr>
        <w:numPr>
          <w:ilvl w:val="0"/>
          <w:numId w:val="16"/>
        </w:numPr>
        <w:tabs>
          <w:tab w:val="left" w:pos="360"/>
        </w:tabs>
        <w:ind w:left="360" w:hanging="270"/>
        <w:jc w:val="left"/>
        <w:rPr>
          <w:rFonts w:ascii="Times New Roman" w:eastAsia="Calibri" w:hAnsi="Times New Roman" w:cs="Times New Roman"/>
          <w:i/>
          <w:iCs/>
          <w:sz w:val="24"/>
          <w:szCs w:val="24"/>
        </w:rPr>
      </w:pPr>
      <w:r w:rsidRPr="00E85C29">
        <w:rPr>
          <w:rFonts w:ascii="Times New Roman" w:eastAsia="Calibri" w:hAnsi="Times New Roman" w:cs="Times New Roman"/>
          <w:sz w:val="24"/>
          <w:szCs w:val="24"/>
        </w:rPr>
        <w:t xml:space="preserve">Pegylated interferon (PEG-IFN) should not be used to treat patients with replicative HBV infection and GN. </w:t>
      </w:r>
      <w:r w:rsidRPr="00E85C29">
        <w:rPr>
          <w:rFonts w:ascii="Times New Roman" w:eastAsia="Calibri" w:hAnsi="Times New Roman" w:cs="Times New Roman"/>
          <w:b/>
          <w:bCs/>
          <w:sz w:val="24"/>
          <w:szCs w:val="24"/>
        </w:rPr>
        <w:t>PP 7.2.2.3.1</w:t>
      </w:r>
    </w:p>
    <w:p w14:paraId="4C3E3BE5" w14:textId="77777777" w:rsidR="00E85C29" w:rsidRPr="00E85C29" w:rsidRDefault="00134F53" w:rsidP="00134F53">
      <w:pPr>
        <w:numPr>
          <w:ilvl w:val="0"/>
          <w:numId w:val="16"/>
        </w:numPr>
        <w:tabs>
          <w:tab w:val="left" w:pos="270"/>
        </w:tabs>
        <w:ind w:left="360" w:hanging="270"/>
        <w:jc w:val="left"/>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 </w:t>
      </w:r>
      <w:proofErr w:type="spellStart"/>
      <w:r w:rsidR="00E85C29" w:rsidRPr="00E85C29">
        <w:rPr>
          <w:rFonts w:ascii="Times New Roman" w:eastAsia="Calibri" w:hAnsi="Times New Roman" w:cs="Times New Roman"/>
          <w:sz w:val="24"/>
          <w:szCs w:val="24"/>
        </w:rPr>
        <w:t>Immunosupressive</w:t>
      </w:r>
      <w:proofErr w:type="spellEnd"/>
      <w:r w:rsidR="00E85C29" w:rsidRPr="00E85C29">
        <w:rPr>
          <w:rFonts w:ascii="Times New Roman" w:eastAsia="Calibri" w:hAnsi="Times New Roman" w:cs="Times New Roman"/>
          <w:sz w:val="24"/>
          <w:szCs w:val="24"/>
        </w:rPr>
        <w:t xml:space="preserve"> agents such may accelerate viral replication and should be avoided in patients with untreated replicative HBV with GN. </w:t>
      </w:r>
      <w:r w:rsidR="00E85C29" w:rsidRPr="00E85C29">
        <w:rPr>
          <w:rFonts w:ascii="Times New Roman" w:eastAsia="Calibri" w:hAnsi="Times New Roman" w:cs="Times New Roman"/>
          <w:b/>
          <w:bCs/>
          <w:sz w:val="24"/>
          <w:szCs w:val="24"/>
        </w:rPr>
        <w:t xml:space="preserve">PP7.2.2.3.2.   </w:t>
      </w:r>
    </w:p>
    <w:p w14:paraId="0A8C8F3F" w14:textId="77777777" w:rsidR="00E85C29" w:rsidRPr="00E85C29" w:rsidRDefault="00E85C29" w:rsidP="00134F53">
      <w:pPr>
        <w:numPr>
          <w:ilvl w:val="0"/>
          <w:numId w:val="16"/>
        </w:numPr>
        <w:tabs>
          <w:tab w:val="left" w:pos="36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Rituximab and cyclophosphamide should be avoided in patients with MN with HBV until </w:t>
      </w:r>
      <w:proofErr w:type="gramStart"/>
      <w:r w:rsidRPr="00E85C29">
        <w:rPr>
          <w:rFonts w:ascii="Times New Roman" w:eastAsia="Calibri" w:hAnsi="Times New Roman" w:cs="Times New Roman"/>
          <w:sz w:val="24"/>
          <w:szCs w:val="24"/>
        </w:rPr>
        <w:t xml:space="preserve">fixed </w:t>
      </w:r>
      <w:r w:rsidR="00134F53">
        <w:rPr>
          <w:rFonts w:ascii="Times New Roman" w:eastAsia="Calibri" w:hAnsi="Times New Roman" w:cs="Times New Roman"/>
          <w:sz w:val="24"/>
          <w:szCs w:val="24"/>
        </w:rPr>
        <w:t xml:space="preserve"> </w:t>
      </w:r>
      <w:r w:rsidRPr="00E85C29">
        <w:rPr>
          <w:rFonts w:ascii="Times New Roman" w:eastAsia="Calibri" w:hAnsi="Times New Roman" w:cs="Times New Roman"/>
          <w:sz w:val="24"/>
          <w:szCs w:val="24"/>
        </w:rPr>
        <w:t>virologic</w:t>
      </w:r>
      <w:proofErr w:type="gramEnd"/>
      <w:r w:rsidRPr="00E85C29">
        <w:rPr>
          <w:rFonts w:ascii="Times New Roman" w:eastAsia="Calibri" w:hAnsi="Times New Roman" w:cs="Times New Roman"/>
          <w:sz w:val="24"/>
          <w:szCs w:val="24"/>
        </w:rPr>
        <w:t xml:space="preserve"> remission has been obtained by </w:t>
      </w:r>
      <w:proofErr w:type="spellStart"/>
      <w:r w:rsidRPr="00E85C29">
        <w:rPr>
          <w:rFonts w:ascii="Times New Roman" w:eastAsia="Calibri" w:hAnsi="Times New Roman" w:cs="Times New Roman"/>
          <w:sz w:val="24"/>
          <w:szCs w:val="24"/>
        </w:rPr>
        <w:t>nucleos</w:t>
      </w:r>
      <w:proofErr w:type="spellEnd"/>
      <w:r w:rsidRPr="00E85C29">
        <w:rPr>
          <w:rFonts w:ascii="Times New Roman" w:eastAsia="Calibri" w:hAnsi="Times New Roman" w:cs="Times New Roman"/>
          <w:sz w:val="24"/>
          <w:szCs w:val="24"/>
        </w:rPr>
        <w:t xml:space="preserve">(t) ide analogue therapy. </w:t>
      </w:r>
      <w:r w:rsidRPr="00E85C29">
        <w:rPr>
          <w:rFonts w:ascii="Times New Roman" w:eastAsia="Calibri" w:hAnsi="Times New Roman" w:cs="Times New Roman"/>
          <w:b/>
          <w:bCs/>
          <w:sz w:val="24"/>
          <w:szCs w:val="24"/>
        </w:rPr>
        <w:t>PP 7.2.2.4</w:t>
      </w:r>
      <w:r w:rsidRPr="00E85C29">
        <w:rPr>
          <w:rFonts w:ascii="Times New Roman" w:eastAsia="Calibri" w:hAnsi="Times New Roman" w:cs="Times New Roman"/>
          <w:sz w:val="24"/>
          <w:szCs w:val="24"/>
        </w:rPr>
        <w:t xml:space="preserve">  </w:t>
      </w:r>
    </w:p>
    <w:p w14:paraId="4D600933" w14:textId="77777777" w:rsidR="00E85C29" w:rsidRPr="00E85C29" w:rsidRDefault="00E85C29" w:rsidP="00134F53">
      <w:pPr>
        <w:numPr>
          <w:ilvl w:val="0"/>
          <w:numId w:val="16"/>
        </w:numPr>
        <w:tabs>
          <w:tab w:val="left" w:pos="360"/>
        </w:tabs>
        <w:ind w:left="180" w:hanging="9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PE may be tried in patients with cryoglobulinemic vasculitis. </w:t>
      </w:r>
      <w:r w:rsidRPr="00E85C29">
        <w:rPr>
          <w:rFonts w:ascii="Times New Roman" w:eastAsia="Calibri" w:hAnsi="Times New Roman" w:cs="Times New Roman"/>
          <w:b/>
          <w:bCs/>
          <w:sz w:val="24"/>
          <w:szCs w:val="24"/>
        </w:rPr>
        <w:t>PP7.2.2.</w:t>
      </w:r>
    </w:p>
    <w:p w14:paraId="784DD4E5" w14:textId="77777777" w:rsidR="00E85C29" w:rsidRPr="00E85C29" w:rsidRDefault="00E85C29" w:rsidP="00134F53">
      <w:pPr>
        <w:numPr>
          <w:ilvl w:val="0"/>
          <w:numId w:val="16"/>
        </w:numPr>
        <w:tabs>
          <w:tab w:val="left" w:pos="36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Children with HBV infection and MN should be managed conservatively without immunosuppression very likely to have spontaneous remission. </w:t>
      </w:r>
      <w:r w:rsidRPr="00E85C29">
        <w:rPr>
          <w:rFonts w:ascii="Times New Roman" w:eastAsia="Calibri" w:hAnsi="Times New Roman" w:cs="Times New Roman"/>
          <w:b/>
          <w:bCs/>
          <w:sz w:val="24"/>
          <w:szCs w:val="24"/>
        </w:rPr>
        <w:t xml:space="preserve">PP:  7.2.2.4.3.     </w:t>
      </w:r>
    </w:p>
    <w:p w14:paraId="5CED608E" w14:textId="77777777" w:rsidR="00E85C29" w:rsidRPr="00E85C29" w:rsidRDefault="00E85C29" w:rsidP="00E85C29">
      <w:pPr>
        <w:tabs>
          <w:tab w:val="left" w:pos="360"/>
        </w:tabs>
        <w:ind w:left="180" w:firstLine="0"/>
        <w:jc w:val="left"/>
        <w:rPr>
          <w:rFonts w:ascii="Times New Roman" w:eastAsia="Calibri" w:hAnsi="Times New Roman" w:cs="Times New Roman"/>
          <w:b/>
          <w:bCs/>
          <w:sz w:val="24"/>
          <w:szCs w:val="24"/>
        </w:rPr>
      </w:pPr>
    </w:p>
    <w:p w14:paraId="199E2219" w14:textId="77777777" w:rsidR="00E85C29" w:rsidRPr="00E85C29" w:rsidRDefault="00E85C29" w:rsidP="00E85C29">
      <w:pPr>
        <w:ind w:left="86"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3.2.2. C4:</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HIV related GN (HIVAN)</w:t>
      </w:r>
    </w:p>
    <w:p w14:paraId="628ECBE2" w14:textId="77777777" w:rsidR="00E85C29" w:rsidRPr="00E85C29" w:rsidRDefault="00E85C29" w:rsidP="006D1E97">
      <w:pPr>
        <w:numPr>
          <w:ilvl w:val="0"/>
          <w:numId w:val="17"/>
        </w:numPr>
        <w:tabs>
          <w:tab w:val="left" w:pos="360"/>
        </w:tabs>
        <w:ind w:left="360" w:hanging="270"/>
        <w:jc w:val="left"/>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A kidney biopsy should be performed, if feasible, to evaluate HIV morphology related kidney disease as a guide for therapy. </w:t>
      </w:r>
      <w:r w:rsidRPr="00E85C29">
        <w:rPr>
          <w:rFonts w:ascii="Times New Roman" w:eastAsia="Calibri" w:hAnsi="Times New Roman" w:cs="Times New Roman"/>
          <w:b/>
          <w:bCs/>
          <w:sz w:val="24"/>
          <w:szCs w:val="24"/>
        </w:rPr>
        <w:t xml:space="preserve">PP 7.2.3.3. KDIGO 2021 </w:t>
      </w:r>
    </w:p>
    <w:p w14:paraId="1B307CCA" w14:textId="77777777" w:rsidR="00E85C29" w:rsidRPr="00E85C29" w:rsidRDefault="00E85C29" w:rsidP="006D1E97">
      <w:pPr>
        <w:numPr>
          <w:ilvl w:val="0"/>
          <w:numId w:val="17"/>
        </w:numPr>
        <w:tabs>
          <w:tab w:val="left" w:pos="36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anti-viral therapy be initiated in all patients with HIV and CKD, especially in patients with biopsy—proven HIV associated nephropathy (HIVAN), regardless of CD4 count adjusted to the degree of kidney function. </w:t>
      </w:r>
      <w:r w:rsidRPr="00E85C29">
        <w:rPr>
          <w:rFonts w:ascii="Times New Roman" w:eastAsia="Calibri" w:hAnsi="Times New Roman" w:cs="Times New Roman"/>
          <w:b/>
          <w:bCs/>
          <w:sz w:val="24"/>
          <w:szCs w:val="24"/>
        </w:rPr>
        <w:t>(1C) KDIGO 2021 PP 7.2.3.3</w:t>
      </w:r>
    </w:p>
    <w:p w14:paraId="2E300323" w14:textId="77777777" w:rsidR="00E85C29" w:rsidRPr="00E85C29" w:rsidRDefault="00E85C29" w:rsidP="006D1E97">
      <w:pPr>
        <w:numPr>
          <w:ilvl w:val="0"/>
          <w:numId w:val="17"/>
        </w:numPr>
        <w:tabs>
          <w:tab w:val="left" w:pos="36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A decision for the use of steroids as an adjunct therapy for HIVAN should be made on case by case as the long-term benefit risks are uncertain </w:t>
      </w:r>
      <w:r w:rsidRPr="00E85C29">
        <w:rPr>
          <w:rFonts w:ascii="Times New Roman" w:eastAsia="Calibri" w:hAnsi="Times New Roman" w:cs="Times New Roman"/>
          <w:b/>
          <w:bCs/>
          <w:sz w:val="24"/>
          <w:szCs w:val="24"/>
        </w:rPr>
        <w:t>PP 7.2.3.3.1. KDIGO 2021</w:t>
      </w:r>
    </w:p>
    <w:p w14:paraId="02F52092" w14:textId="77777777" w:rsidR="00E85C29" w:rsidRPr="00E85C29" w:rsidRDefault="00E85C29" w:rsidP="00E85C29">
      <w:pPr>
        <w:tabs>
          <w:tab w:val="left" w:pos="360"/>
        </w:tabs>
        <w:ind w:left="90" w:firstLine="0"/>
        <w:rPr>
          <w:rFonts w:ascii="Times New Roman" w:eastAsia="Calibri" w:hAnsi="Times New Roman" w:cs="Times New Roman"/>
          <w:b/>
          <w:bCs/>
          <w:sz w:val="24"/>
          <w:szCs w:val="24"/>
        </w:rPr>
      </w:pPr>
    </w:p>
    <w:p w14:paraId="10EF4620" w14:textId="77777777" w:rsidR="00E85C29" w:rsidRPr="00E85C29" w:rsidRDefault="00E85C29" w:rsidP="00E85C29">
      <w:pPr>
        <w:tabs>
          <w:tab w:val="left" w:pos="360"/>
        </w:tabs>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3.2.2.C5</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Covid-19</w:t>
      </w:r>
    </w:p>
    <w:p w14:paraId="4661FF3C" w14:textId="77777777" w:rsidR="00E85C29" w:rsidRPr="00E85C29" w:rsidRDefault="00E85C29" w:rsidP="00E85C2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COVID-19 can be associated with new-onset NS in children. Its clinical presentation is not significantly different from nephrotic syndrome associated with other viral infections. The patient responds to the standard-dose prednisone treatment that is typically used for new-onset nephrotic syndrome.  The following recommendations were </w:t>
      </w:r>
      <w:proofErr w:type="gramStart"/>
      <w:r w:rsidRPr="00E85C29">
        <w:rPr>
          <w:rFonts w:ascii="Times New Roman" w:eastAsia="Calibri" w:hAnsi="Times New Roman" w:cs="Times New Roman"/>
          <w:sz w:val="24"/>
          <w:szCs w:val="24"/>
        </w:rPr>
        <w:t>suggested :</w:t>
      </w:r>
      <w:proofErr w:type="gramEnd"/>
    </w:p>
    <w:p w14:paraId="388987D3" w14:textId="77777777" w:rsidR="00E85C29" w:rsidRPr="00E85C29" w:rsidRDefault="00E85C29" w:rsidP="00E85C29">
      <w:pPr>
        <w:numPr>
          <w:ilvl w:val="1"/>
          <w:numId w:val="18"/>
        </w:numPr>
        <w:spacing w:after="160" w:line="254" w:lineRule="auto"/>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lastRenderedPageBreak/>
        <w:t>Continue immune suppressive drugs in children with nephrotic syndrome either (new onset or relapse) who are infected with SARS-CoV-2.</w:t>
      </w:r>
    </w:p>
    <w:p w14:paraId="0F2C7A21" w14:textId="77777777" w:rsidR="00E85C29" w:rsidRPr="00E85C29" w:rsidRDefault="00E85C29" w:rsidP="006D1E97">
      <w:pPr>
        <w:numPr>
          <w:ilvl w:val="1"/>
          <w:numId w:val="18"/>
        </w:numPr>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SARS-CoV-2 infection can induce relapse in children with NS, in this case a full dose of immune suppressive drugs is given until the child be brought into remission with no fear of complications.</w:t>
      </w:r>
    </w:p>
    <w:p w14:paraId="3855FA9D" w14:textId="77777777" w:rsidR="00E85C29" w:rsidRPr="00E85C29" w:rsidRDefault="00E85C29" w:rsidP="006D1E97">
      <w:pPr>
        <w:numPr>
          <w:ilvl w:val="1"/>
          <w:numId w:val="18"/>
        </w:numPr>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No need for hospitalization except if the child has severe symptoms of infection or presence of complications.</w:t>
      </w:r>
    </w:p>
    <w:p w14:paraId="557C1C78" w14:textId="77777777" w:rsidR="00E85C29" w:rsidRPr="00E85C29" w:rsidRDefault="00E85C29" w:rsidP="006D1E97">
      <w:pPr>
        <w:numPr>
          <w:ilvl w:val="1"/>
          <w:numId w:val="18"/>
        </w:numPr>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Regarding vaccination: it is recommended for all children with INS to be vaccinated against COVID-19 using mRNA vaccine, according to the age restrictions and following the age limits established by the drug control agencies.</w:t>
      </w:r>
    </w:p>
    <w:p w14:paraId="155D13B8" w14:textId="77777777" w:rsidR="00E85C29" w:rsidRPr="00E85C29" w:rsidRDefault="00E85C29" w:rsidP="006D1E97">
      <w:pPr>
        <w:numPr>
          <w:ilvl w:val="1"/>
          <w:numId w:val="18"/>
        </w:numPr>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Vaccination should be postponed at least six months in children who are on anti-CD20 therapy (i.e., rituximab) after cessation of the treatment. Also, no vaccination during relapse.</w:t>
      </w:r>
    </w:p>
    <w:p w14:paraId="2ECA3171" w14:textId="77777777" w:rsidR="00E85C29" w:rsidRPr="00E85C29" w:rsidRDefault="00E85C29" w:rsidP="006D1E97">
      <w:pPr>
        <w:numPr>
          <w:ilvl w:val="1"/>
          <w:numId w:val="18"/>
        </w:numPr>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Children affected by INS do not require more stringent protection measures compared to healthy peers, during the pandemic).</w:t>
      </w:r>
    </w:p>
    <w:p w14:paraId="1DD78D5A" w14:textId="77777777" w:rsidR="00E85C29" w:rsidRPr="00E85C29" w:rsidRDefault="00E85C29" w:rsidP="006D1E97">
      <w:pPr>
        <w:numPr>
          <w:ilvl w:val="1"/>
          <w:numId w:val="18"/>
        </w:numPr>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Some children develop a spontaneous remission without IS therapy </w:t>
      </w:r>
      <w:r w:rsidRPr="00E85C29">
        <w:rPr>
          <w:rFonts w:ascii="Times New Roman" w:eastAsia="Calibri" w:hAnsi="Times New Roman" w:cs="Times New Roman"/>
          <w:b/>
          <w:bCs/>
          <w:color w:val="0070C0"/>
          <w:sz w:val="24"/>
          <w:szCs w:val="24"/>
        </w:rPr>
        <w:t>[Morello 2021]</w:t>
      </w:r>
    </w:p>
    <w:p w14:paraId="71566C3E" w14:textId="77777777" w:rsidR="00E85C29" w:rsidRPr="00E85C29" w:rsidRDefault="00E85C29" w:rsidP="006D1E97">
      <w:pPr>
        <w:numPr>
          <w:ilvl w:val="1"/>
          <w:numId w:val="18"/>
        </w:numPr>
        <w:jc w:val="left"/>
        <w:rPr>
          <w:rFonts w:ascii="Times New Roman" w:eastAsia="Calibri" w:hAnsi="Times New Roman" w:cs="Times New Roman"/>
          <w:b/>
          <w:bCs/>
          <w:color w:val="0070C0"/>
          <w:sz w:val="24"/>
          <w:szCs w:val="24"/>
        </w:rPr>
      </w:pPr>
      <w:r w:rsidRPr="00E85C29">
        <w:rPr>
          <w:rFonts w:ascii="Times New Roman" w:eastAsia="Calibri" w:hAnsi="Times New Roman" w:cs="Times New Roman"/>
          <w:sz w:val="24"/>
          <w:szCs w:val="24"/>
        </w:rPr>
        <w:t xml:space="preserve">We suggest for nephrotic children/ESRF on Dialysis or transplant program (1) to follow all   protective measures recommended in their community protocols to avoid infection. </w:t>
      </w:r>
      <w:r w:rsidRPr="00E85C29">
        <w:rPr>
          <w:rFonts w:ascii="Times New Roman" w:eastAsia="Calibri" w:hAnsi="Times New Roman" w:cs="Times New Roman"/>
          <w:b/>
          <w:bCs/>
          <w:color w:val="0070C0"/>
          <w:sz w:val="24"/>
          <w:szCs w:val="24"/>
        </w:rPr>
        <w:t>Soliman 2021).</w:t>
      </w:r>
    </w:p>
    <w:p w14:paraId="1B83695B" w14:textId="77777777" w:rsidR="00E85C29" w:rsidRPr="00E85C29" w:rsidRDefault="00E85C29" w:rsidP="006D1E97">
      <w:pPr>
        <w:numPr>
          <w:ilvl w:val="1"/>
          <w:numId w:val="18"/>
        </w:numPr>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Not to stop or change their immunosuppressive therapy unless advised by their treating pediatric nephrologist (PN) who is considering benefit risk value </w:t>
      </w:r>
      <w:r w:rsidRPr="00E85C29">
        <w:rPr>
          <w:rFonts w:ascii="Times New Roman" w:eastAsia="Calibri" w:hAnsi="Times New Roman" w:cs="Times New Roman"/>
          <w:b/>
          <w:bCs/>
          <w:color w:val="0070C0"/>
          <w:sz w:val="24"/>
          <w:szCs w:val="24"/>
        </w:rPr>
        <w:t xml:space="preserve">[Soliman 2021]. </w:t>
      </w:r>
    </w:p>
    <w:p w14:paraId="1B6D9204" w14:textId="77777777" w:rsidR="00E85C29" w:rsidRPr="00E85C29" w:rsidRDefault="00E85C29" w:rsidP="006D1E97">
      <w:pPr>
        <w:numPr>
          <w:ilvl w:val="1"/>
          <w:numId w:val="18"/>
        </w:numPr>
        <w:tabs>
          <w:tab w:val="left" w:pos="540"/>
        </w:tabs>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Strict adherence to infection control measures inside nephrology clinics, hospital admission in-wards, Dialysis &amp; transplantation wards </w:t>
      </w:r>
      <w:r w:rsidRPr="00E85C29">
        <w:rPr>
          <w:rFonts w:ascii="Times New Roman" w:eastAsia="Calibri" w:hAnsi="Times New Roman" w:cs="Times New Roman"/>
          <w:b/>
          <w:bCs/>
          <w:color w:val="0070C0"/>
          <w:sz w:val="24"/>
          <w:szCs w:val="24"/>
        </w:rPr>
        <w:t>[Soliman 2021].</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b/>
          <w:bCs/>
          <w:sz w:val="24"/>
          <w:szCs w:val="24"/>
        </w:rPr>
        <w:t>GPP10.</w:t>
      </w:r>
    </w:p>
    <w:p w14:paraId="558761A5" w14:textId="77777777" w:rsidR="00E85C29" w:rsidRPr="00E85C29" w:rsidRDefault="00E85C29" w:rsidP="006D1E97">
      <w:pPr>
        <w:numPr>
          <w:ilvl w:val="1"/>
          <w:numId w:val="18"/>
        </w:numPr>
        <w:ind w:left="540" w:hanging="45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for any Covid positive patient to monitor his urine sediments and kidney function for earl detection of kidney injury in these patients </w:t>
      </w:r>
      <w:r w:rsidRPr="00E85C29">
        <w:rPr>
          <w:rFonts w:ascii="Times New Roman" w:eastAsia="Calibri" w:hAnsi="Times New Roman" w:cs="Times New Roman"/>
          <w:b/>
          <w:bCs/>
          <w:color w:val="0070C0"/>
          <w:sz w:val="24"/>
          <w:szCs w:val="24"/>
        </w:rPr>
        <w:t>[ Soliman 2021]</w:t>
      </w:r>
    </w:p>
    <w:p w14:paraId="45B9C7A4" w14:textId="77777777" w:rsidR="00E85C29" w:rsidRPr="00E85C29" w:rsidRDefault="00E85C29" w:rsidP="006D1E97">
      <w:pPr>
        <w:ind w:left="540" w:firstLine="0"/>
        <w:rPr>
          <w:rFonts w:ascii="Times New Roman" w:eastAsia="Calibri" w:hAnsi="Times New Roman" w:cs="Times New Roman"/>
          <w:sz w:val="24"/>
          <w:szCs w:val="24"/>
        </w:rPr>
      </w:pPr>
    </w:p>
    <w:p w14:paraId="032CAA1C" w14:textId="77777777" w:rsidR="00E85C29" w:rsidRPr="00E85C29" w:rsidRDefault="00E85C29" w:rsidP="006D1E97">
      <w:pPr>
        <w:shd w:val="clear" w:color="auto" w:fill="FFFFFF"/>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3.2.2.C6: Schistosomiasis, Malaria, Filariasis</w:t>
      </w:r>
      <w:r w:rsidRPr="00E85C29">
        <w:rPr>
          <w:rFonts w:ascii="Times New Roman" w:eastAsia="Calibri" w:hAnsi="Times New Roman" w:cs="Times New Roman"/>
          <w:sz w:val="24"/>
          <w:szCs w:val="24"/>
        </w:rPr>
        <w:t>:</w:t>
      </w:r>
    </w:p>
    <w:p w14:paraId="6386AB3E" w14:textId="77777777" w:rsidR="00E85C29" w:rsidRPr="00E85C29" w:rsidRDefault="00E85C29" w:rsidP="006D1E97">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recommend treating patients with Schistosomiasis, Malaria, Filariasis with proper anti parasitic drug in proper dose and duration to eradicate the organism without use of immunosuppressive agent since GN is believed to be the direct result of infection and the attendant immune response </w:t>
      </w:r>
      <w:r w:rsidRPr="00E85C29">
        <w:rPr>
          <w:rFonts w:ascii="Times New Roman" w:eastAsia="Calibri" w:hAnsi="Times New Roman" w:cs="Times New Roman"/>
          <w:b/>
          <w:bCs/>
          <w:sz w:val="24"/>
          <w:szCs w:val="24"/>
        </w:rPr>
        <w:t>(2C), PP 7.3.1, PP7.3.2, PP:7.3.3.</w:t>
      </w:r>
    </w:p>
    <w:p w14:paraId="406456C6" w14:textId="77777777" w:rsidR="00E85C29" w:rsidRPr="00E85C29" w:rsidRDefault="00E85C29" w:rsidP="00E85C29">
      <w:pPr>
        <w:ind w:firstLine="0"/>
        <w:rPr>
          <w:rFonts w:ascii="Times New Roman" w:eastAsia="Calibri" w:hAnsi="Times New Roman" w:cs="Times New Roman"/>
          <w:b/>
          <w:bCs/>
          <w:sz w:val="24"/>
          <w:szCs w:val="24"/>
        </w:rPr>
      </w:pPr>
    </w:p>
    <w:p w14:paraId="6461ADF6" w14:textId="77777777" w:rsidR="00E85C29" w:rsidRPr="00E85C29" w:rsidRDefault="00E85C29" w:rsidP="006D1E97">
      <w:pPr>
        <w:shd w:val="clear" w:color="auto" w:fill="FFFFFF"/>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R 3.2.2.C7: Vaccination </w:t>
      </w:r>
    </w:p>
    <w:p w14:paraId="125BB3E0" w14:textId="77777777" w:rsidR="00E85C29" w:rsidRPr="00E85C29" w:rsidRDefault="00E85C29" w:rsidP="006D1E9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Review the child vaccination status at disease onset and complete all vaccination without delay, especially for encapsulated bacteria pneumococcal, meningococcal, Hemophilus influenza and if possible, varicella zoster virus. </w:t>
      </w:r>
      <w:r w:rsidRPr="00E85C29">
        <w:rPr>
          <w:rFonts w:ascii="Times New Roman" w:eastAsia="Calibri" w:hAnsi="Times New Roman" w:cs="Times New Roman"/>
          <w:b/>
          <w:bCs/>
          <w:sz w:val="24"/>
          <w:szCs w:val="24"/>
        </w:rPr>
        <w:t>(A) (IPNA Strong recommendation).</w:t>
      </w:r>
      <w:r w:rsidRPr="00E85C29">
        <w:rPr>
          <w:rFonts w:ascii="Times New Roman" w:eastAsia="Calibri" w:hAnsi="Times New Roman" w:cs="Times New Roman"/>
          <w:sz w:val="24"/>
          <w:szCs w:val="24"/>
        </w:rPr>
        <w:t xml:space="preserve"> </w:t>
      </w:r>
    </w:p>
    <w:p w14:paraId="6310555D" w14:textId="77777777" w:rsidR="00E85C29" w:rsidRPr="00E85C29" w:rsidRDefault="00E85C29" w:rsidP="006D1E9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Refer to SSNS Vaccination recommendations </w:t>
      </w:r>
    </w:p>
    <w:p w14:paraId="04A7CB72" w14:textId="77777777" w:rsidR="00E85C29" w:rsidRPr="00E85C29" w:rsidRDefault="00E85C29" w:rsidP="006D1E97">
      <w:pPr>
        <w:numPr>
          <w:ilvl w:val="0"/>
          <w:numId w:val="19"/>
        </w:numPr>
        <w:tabs>
          <w:tab w:val="left" w:pos="360"/>
          <w:tab w:val="left" w:pos="450"/>
          <w:tab w:val="left" w:pos="720"/>
        </w:tabs>
        <w:ind w:left="45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Varicella vaccine should be administered to unimmunized patients in remission and not on immune therapy. </w:t>
      </w:r>
      <w:r w:rsidRPr="00E85C29">
        <w:rPr>
          <w:rFonts w:ascii="Times New Roman" w:eastAsia="Calibri" w:hAnsi="Times New Roman" w:cs="Times New Roman"/>
          <w:b/>
          <w:bCs/>
          <w:sz w:val="24"/>
          <w:szCs w:val="24"/>
        </w:rPr>
        <w:t>(A).</w:t>
      </w:r>
    </w:p>
    <w:p w14:paraId="34349527" w14:textId="77777777" w:rsidR="00E85C29" w:rsidRPr="00E85C29" w:rsidRDefault="00E85C29" w:rsidP="006D1E97">
      <w:pPr>
        <w:numPr>
          <w:ilvl w:val="0"/>
          <w:numId w:val="19"/>
        </w:numPr>
        <w:tabs>
          <w:tab w:val="left" w:pos="270"/>
          <w:tab w:val="left" w:pos="450"/>
          <w:tab w:val="left" w:pos="72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Follow national vaccination guidelines for live and attenuated vaccines in immunocompromised patients. </w:t>
      </w:r>
      <w:r w:rsidRPr="00E85C29">
        <w:rPr>
          <w:rFonts w:ascii="Times New Roman" w:eastAsia="Calibri" w:hAnsi="Times New Roman" w:cs="Times New Roman"/>
          <w:b/>
          <w:bCs/>
          <w:sz w:val="24"/>
          <w:szCs w:val="24"/>
        </w:rPr>
        <w:t>(A).</w:t>
      </w:r>
    </w:p>
    <w:p w14:paraId="604AD09C" w14:textId="77777777" w:rsidR="00E85C29" w:rsidRPr="00E85C29" w:rsidRDefault="00E85C29" w:rsidP="006D1E97">
      <w:pPr>
        <w:numPr>
          <w:ilvl w:val="0"/>
          <w:numId w:val="19"/>
        </w:numPr>
        <w:tabs>
          <w:tab w:val="left" w:pos="270"/>
          <w:tab w:val="left" w:pos="360"/>
          <w:tab w:val="left" w:pos="450"/>
          <w:tab w:val="left" w:pos="720"/>
        </w:tabs>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Inactivated influenza vaccine annually to children and their household contacts. (A).</w:t>
      </w:r>
    </w:p>
    <w:p w14:paraId="3131C98A" w14:textId="77777777" w:rsidR="00E85C29" w:rsidRPr="00E85C29" w:rsidRDefault="00E85C29" w:rsidP="006D1E97">
      <w:pPr>
        <w:numPr>
          <w:ilvl w:val="0"/>
          <w:numId w:val="19"/>
        </w:numPr>
        <w:tabs>
          <w:tab w:val="left" w:pos="270"/>
          <w:tab w:val="left" w:pos="360"/>
          <w:tab w:val="left" w:pos="450"/>
          <w:tab w:val="left" w:pos="72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Live vaccines should not be given to SRNS patients on daily immune suppressive medication including MMF, CNI, PDN. </w:t>
      </w:r>
      <w:r w:rsidRPr="00E85C29">
        <w:rPr>
          <w:rFonts w:ascii="Times New Roman" w:eastAsia="Calibri" w:hAnsi="Times New Roman" w:cs="Times New Roman"/>
          <w:b/>
          <w:bCs/>
          <w:sz w:val="24"/>
          <w:szCs w:val="24"/>
        </w:rPr>
        <w:t>(X).</w:t>
      </w:r>
    </w:p>
    <w:p w14:paraId="5E0D76F1" w14:textId="77777777" w:rsidR="00E85C29" w:rsidRPr="00E85C29" w:rsidRDefault="00E85C29" w:rsidP="006D1E97">
      <w:pPr>
        <w:numPr>
          <w:ilvl w:val="0"/>
          <w:numId w:val="19"/>
        </w:numPr>
        <w:tabs>
          <w:tab w:val="left" w:pos="270"/>
          <w:tab w:val="left" w:pos="450"/>
          <w:tab w:val="left" w:pos="720"/>
        </w:tabs>
        <w:ind w:left="45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Defer vaccination with live vaccines (e.g., measles, mumps, rubella, varicella, Rota virus, yellow fever) until prednisone dose is below either 1mg/kg/daily (20mg/d) or 2mg/kg on alternate days 40 mg/ on alternate days or immunosuppressive was stopped since at least 1-3 m. </w:t>
      </w:r>
      <w:r w:rsidRPr="00E85C29">
        <w:rPr>
          <w:rFonts w:ascii="Times New Roman" w:eastAsia="Calibri" w:hAnsi="Times New Roman" w:cs="Times New Roman"/>
          <w:b/>
          <w:bCs/>
          <w:sz w:val="24"/>
          <w:szCs w:val="24"/>
        </w:rPr>
        <w:t>(Not graded) KDIGO 2012.</w:t>
      </w:r>
      <w:r w:rsidRPr="00E85C29">
        <w:rPr>
          <w:rFonts w:ascii="Times New Roman" w:eastAsia="Calibri" w:hAnsi="Times New Roman" w:cs="Times New Roman"/>
          <w:sz w:val="24"/>
          <w:szCs w:val="24"/>
        </w:rPr>
        <w:t xml:space="preserve"> </w:t>
      </w:r>
    </w:p>
    <w:p w14:paraId="4598E427" w14:textId="77777777" w:rsidR="00E85C29" w:rsidRPr="00CD6F22" w:rsidRDefault="00E85C29" w:rsidP="006D1E97">
      <w:pPr>
        <w:numPr>
          <w:ilvl w:val="0"/>
          <w:numId w:val="19"/>
        </w:numPr>
        <w:tabs>
          <w:tab w:val="left" w:pos="360"/>
          <w:tab w:val="left" w:pos="450"/>
          <w:tab w:val="left" w:pos="720"/>
        </w:tabs>
        <w:ind w:left="45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Healthy siblings and household contact of children with impaired immunity should be vaccinated with live vaccine to prevent them from infecting children with impaired immunity. However immune compromised children should avoid direct exposure to stools, urine, </w:t>
      </w:r>
      <w:r w:rsidRPr="00E85C29">
        <w:rPr>
          <w:rFonts w:ascii="Times New Roman" w:eastAsia="Calibri" w:hAnsi="Times New Roman" w:cs="Times New Roman"/>
          <w:sz w:val="24"/>
          <w:szCs w:val="24"/>
        </w:rPr>
        <w:lastRenderedPageBreak/>
        <w:t xml:space="preserve">respiratory secretions of their vaccinated contacts, for 3-6 w after vaccination (not graded). </w:t>
      </w:r>
      <w:r w:rsidRPr="00E85C29">
        <w:rPr>
          <w:rFonts w:ascii="Times New Roman" w:eastAsia="Calibri" w:hAnsi="Times New Roman" w:cs="Times New Roman"/>
          <w:b/>
          <w:bCs/>
          <w:sz w:val="24"/>
          <w:szCs w:val="24"/>
        </w:rPr>
        <w:t>KDIGO 2012.</w:t>
      </w:r>
    </w:p>
    <w:p w14:paraId="562A68D9" w14:textId="77777777" w:rsidR="00E85C29" w:rsidRPr="00E85C29" w:rsidRDefault="00E85C29" w:rsidP="001E2598">
      <w:pPr>
        <w:tabs>
          <w:tab w:val="left" w:pos="360"/>
          <w:tab w:val="left" w:pos="450"/>
          <w:tab w:val="left" w:pos="720"/>
        </w:tabs>
        <w:ind w:firstLine="0"/>
        <w:rPr>
          <w:rFonts w:ascii="Times New Roman" w:eastAsia="Calibri" w:hAnsi="Times New Roman" w:cs="Times New Roman"/>
          <w:sz w:val="24"/>
          <w:szCs w:val="24"/>
        </w:rPr>
      </w:pPr>
    </w:p>
    <w:p w14:paraId="34053E80" w14:textId="0629E37F" w:rsidR="00E85C29" w:rsidRPr="00E85C29" w:rsidRDefault="00E85C29" w:rsidP="00CD6F22">
      <w:pPr>
        <w:shd w:val="clear" w:color="auto" w:fill="F2F2F2"/>
        <w:ind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3.2.2.D</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LUPUS Nephropathy</w:t>
      </w:r>
      <w:r w:rsidRPr="00E85C29">
        <w:rPr>
          <w:rFonts w:ascii="Times New Roman" w:eastAsia="Calibri" w:hAnsi="Times New Roman" w:cs="Times New Roman"/>
          <w:sz w:val="24"/>
          <w:szCs w:val="24"/>
        </w:rPr>
        <w:t xml:space="preserve"> </w:t>
      </w:r>
      <w:r w:rsidR="007F1899">
        <w:rPr>
          <w:rFonts w:ascii="Times New Roman" w:eastAsia="Calibri" w:hAnsi="Times New Roman" w:cs="Times New Roman"/>
          <w:sz w:val="24"/>
          <w:szCs w:val="24"/>
        </w:rPr>
        <w:t xml:space="preserve">  </w:t>
      </w:r>
      <w:r w:rsidR="007F1899" w:rsidRPr="007F1899">
        <w:rPr>
          <w:rFonts w:ascii="Times New Roman" w:eastAsia="Calibri" w:hAnsi="Times New Roman" w:cs="Times New Roman"/>
          <w:color w:val="FF0000"/>
          <w:sz w:val="24"/>
          <w:szCs w:val="24"/>
          <w:highlight w:val="yellow"/>
        </w:rPr>
        <w:t xml:space="preserve">EPG Fig </w:t>
      </w:r>
      <w:r w:rsidR="007F1899" w:rsidRPr="003B635C">
        <w:rPr>
          <w:rFonts w:ascii="Times New Roman" w:eastAsia="Calibri" w:hAnsi="Times New Roman" w:cs="Times New Roman"/>
          <w:color w:val="FF0000"/>
          <w:sz w:val="24"/>
          <w:szCs w:val="24"/>
          <w:highlight w:val="yellow"/>
        </w:rPr>
        <w:t>4</w:t>
      </w:r>
      <w:r w:rsidR="003B635C" w:rsidRPr="003B635C">
        <w:rPr>
          <w:rFonts w:ascii="Times New Roman" w:eastAsia="Calibri" w:hAnsi="Times New Roman" w:cs="Times New Roman"/>
          <w:color w:val="FF0000"/>
          <w:sz w:val="24"/>
          <w:szCs w:val="24"/>
          <w:highlight w:val="yellow"/>
        </w:rPr>
        <w:t xml:space="preserve"> A &amp; B</w:t>
      </w:r>
    </w:p>
    <w:p w14:paraId="483B7D08" w14:textId="77777777" w:rsidR="00E85C29" w:rsidRPr="00E85C29" w:rsidRDefault="00E85C29" w:rsidP="00CD6F22">
      <w:pPr>
        <w:numPr>
          <w:ilvl w:val="0"/>
          <w:numId w:val="20"/>
        </w:numPr>
        <w:tabs>
          <w:tab w:val="left" w:pos="270"/>
        </w:tabs>
        <w:spacing w:after="160" w:line="254" w:lineRule="auto"/>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LN diagnosis is based on clinical assessment, investigations including urinary sediments, level of proteinuria, GFR, anti-DNA, and renal biopsy). Treatment of pediatric Lupus Nephritis is guided by renal biopsy classes defined by international society of nephrology/renal pathology.</w:t>
      </w:r>
    </w:p>
    <w:p w14:paraId="2D386F27" w14:textId="77777777" w:rsidR="00CD6F22" w:rsidRDefault="00E85C29" w:rsidP="00CD6F22">
      <w:pPr>
        <w:numPr>
          <w:ilvl w:val="0"/>
          <w:numId w:val="20"/>
        </w:numPr>
        <w:tabs>
          <w:tab w:val="left" w:pos="270"/>
        </w:tabs>
        <w:spacing w:after="160" w:line="254" w:lineRule="auto"/>
        <w:ind w:left="360" w:hanging="27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suggest that all patients with LN of any class should be   treated with hydroxychloroquine (maximum daily dose of 6–6.5 mg/kg ideal body weight) unless they have a specific contraindication to this drug.   </w:t>
      </w:r>
      <w:r w:rsidRPr="00E85C29">
        <w:rPr>
          <w:rFonts w:ascii="Times New Roman" w:eastAsia="Calibri" w:hAnsi="Times New Roman" w:cs="Times New Roman"/>
          <w:b/>
          <w:bCs/>
          <w:sz w:val="24"/>
          <w:szCs w:val="24"/>
        </w:rPr>
        <w:t>(1C) KDIGO 2021.</w:t>
      </w:r>
      <w:r w:rsidRPr="00E85C29">
        <w:rPr>
          <w:rFonts w:ascii="Times New Roman" w:eastAsia="Calibri" w:hAnsi="Times New Roman" w:cs="Times New Roman"/>
          <w:sz w:val="24"/>
          <w:szCs w:val="24"/>
        </w:rPr>
        <w:t xml:space="preserve"> Adjunctive therapies to reduce risks related to disease complications or its therapy should be considered. They include RASi blood pressure control, prevention of infection, bone injury, ultraviolet exposure, control of dyslipidemia and prevention of thrombosis, ovarian failure, and cancer. </w:t>
      </w:r>
      <w:r w:rsidRPr="00E85C29">
        <w:rPr>
          <w:rFonts w:ascii="Times New Roman" w:eastAsia="Calibri" w:hAnsi="Times New Roman" w:cs="Times New Roman"/>
          <w:b/>
          <w:bCs/>
          <w:sz w:val="24"/>
          <w:szCs w:val="24"/>
        </w:rPr>
        <w:t xml:space="preserve">PP 10.2.1.1. KDIGO 2021. </w:t>
      </w:r>
    </w:p>
    <w:p w14:paraId="690CFD70" w14:textId="77777777" w:rsidR="00CD6F22" w:rsidRPr="00CD6F22" w:rsidRDefault="00CD6F22" w:rsidP="00CD6F22">
      <w:pPr>
        <w:tabs>
          <w:tab w:val="left" w:pos="270"/>
        </w:tabs>
        <w:ind w:left="360" w:firstLine="0"/>
        <w:rPr>
          <w:rFonts w:ascii="Times New Roman" w:eastAsia="Calibri" w:hAnsi="Times New Roman" w:cs="Times New Roman"/>
          <w:b/>
          <w:bCs/>
          <w:sz w:val="24"/>
          <w:szCs w:val="24"/>
        </w:rPr>
      </w:pPr>
    </w:p>
    <w:p w14:paraId="32639C76" w14:textId="77777777" w:rsidR="00E85C29" w:rsidRPr="00E85C29" w:rsidRDefault="00E85C29" w:rsidP="00CD6F22">
      <w:pPr>
        <w:shd w:val="clear" w:color="auto" w:fill="F2F2F2"/>
        <w:ind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3.2.2.D1:</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TREATMENT OF DIFFERENT CLASSES OF LN</w:t>
      </w:r>
    </w:p>
    <w:p w14:paraId="32762E7D" w14:textId="77777777" w:rsidR="00E85C29" w:rsidRPr="00E85C29" w:rsidRDefault="00E85C29" w:rsidP="00CD6F22">
      <w:pPr>
        <w:numPr>
          <w:ilvl w:val="0"/>
          <w:numId w:val="21"/>
        </w:numPr>
        <w:shd w:val="clear" w:color="auto" w:fill="FFFFFF"/>
        <w:tabs>
          <w:tab w:val="left" w:pos="270"/>
        </w:tabs>
        <w:ind w:left="360" w:hanging="270"/>
        <w:jc w:val="left"/>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suggest treating patients </w:t>
      </w:r>
      <w:r w:rsidRPr="00E85C29">
        <w:rPr>
          <w:rFonts w:ascii="Times New Roman" w:eastAsia="Calibri" w:hAnsi="Times New Roman" w:cs="Times New Roman"/>
          <w:sz w:val="24"/>
          <w:szCs w:val="24"/>
          <w:shd w:val="clear" w:color="auto" w:fill="FFFFFF"/>
        </w:rPr>
        <w:t xml:space="preserve">with </w:t>
      </w:r>
      <w:r w:rsidRPr="00E85C29">
        <w:rPr>
          <w:rFonts w:ascii="Times New Roman" w:eastAsia="Calibri" w:hAnsi="Times New Roman" w:cs="Times New Roman"/>
          <w:b/>
          <w:bCs/>
          <w:sz w:val="24"/>
          <w:szCs w:val="24"/>
          <w:shd w:val="clear" w:color="auto" w:fill="FFFFFF"/>
        </w:rPr>
        <w:t>class I LN (minimal–mesangial LN)</w:t>
      </w:r>
      <w:r w:rsidRPr="00E85C29">
        <w:rPr>
          <w:rFonts w:ascii="Times New Roman" w:eastAsia="Calibri" w:hAnsi="Times New Roman" w:cs="Times New Roman"/>
          <w:sz w:val="24"/>
          <w:szCs w:val="24"/>
          <w:shd w:val="clear" w:color="auto" w:fill="FFFFFF"/>
        </w:rPr>
        <w:t xml:space="preserve"> according</w:t>
      </w:r>
      <w:r w:rsidRPr="00E85C29">
        <w:rPr>
          <w:rFonts w:ascii="Times New Roman" w:eastAsia="Calibri" w:hAnsi="Times New Roman" w:cs="Times New Roman"/>
          <w:sz w:val="24"/>
          <w:szCs w:val="24"/>
        </w:rPr>
        <w:t xml:space="preserve"> to the extra-renal clinical manifestations of lupus: </w:t>
      </w:r>
      <w:r w:rsidRPr="00E85C29">
        <w:rPr>
          <w:rFonts w:ascii="Times New Roman" w:eastAsia="Calibri" w:hAnsi="Times New Roman" w:cs="Times New Roman"/>
          <w:b/>
          <w:bCs/>
          <w:sz w:val="24"/>
          <w:szCs w:val="24"/>
        </w:rPr>
        <w:t>PP10.2.21. KDGO2021</w:t>
      </w:r>
    </w:p>
    <w:p w14:paraId="7AE24028" w14:textId="77777777" w:rsidR="00E85C29" w:rsidRPr="00E85C29" w:rsidRDefault="00E85C29" w:rsidP="00CD6F22">
      <w:pPr>
        <w:numPr>
          <w:ilvl w:val="0"/>
          <w:numId w:val="22"/>
        </w:numPr>
        <w:shd w:val="clear" w:color="auto" w:fill="FFFFFF"/>
        <w:tabs>
          <w:tab w:val="left" w:pos="27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that Patients with </w:t>
      </w:r>
      <w:r w:rsidRPr="00E85C29">
        <w:rPr>
          <w:rFonts w:ascii="Times New Roman" w:eastAsia="Calibri" w:hAnsi="Times New Roman" w:cs="Times New Roman"/>
          <w:sz w:val="24"/>
          <w:szCs w:val="24"/>
          <w:shd w:val="clear" w:color="auto" w:fill="FFFFFF"/>
        </w:rPr>
        <w:t>class II LN (meningeal-proliferative LN)</w:t>
      </w:r>
      <w:r w:rsidRPr="00E85C29">
        <w:rPr>
          <w:rFonts w:ascii="Times New Roman" w:eastAsia="Calibri" w:hAnsi="Times New Roman" w:cs="Times New Roman"/>
          <w:sz w:val="24"/>
          <w:szCs w:val="24"/>
        </w:rPr>
        <w:t xml:space="preserve"> are treated according to degree of proteinuria: </w:t>
      </w:r>
      <w:r w:rsidRPr="00E85C29">
        <w:rPr>
          <w:rFonts w:ascii="Times New Roman" w:eastAsia="Calibri" w:hAnsi="Times New Roman" w:cs="Times New Roman"/>
          <w:b/>
          <w:bCs/>
          <w:sz w:val="24"/>
          <w:szCs w:val="24"/>
        </w:rPr>
        <w:t>PP 10.2. 2.1.</w:t>
      </w:r>
    </w:p>
    <w:p w14:paraId="54C43B10" w14:textId="77777777" w:rsidR="00E85C29" w:rsidRPr="00E85C29" w:rsidRDefault="00E85C29" w:rsidP="00CD6F22">
      <w:pPr>
        <w:numPr>
          <w:ilvl w:val="0"/>
          <w:numId w:val="22"/>
        </w:numPr>
        <w:tabs>
          <w:tab w:val="left" w:pos="270"/>
          <w:tab w:val="left" w:pos="540"/>
        </w:tabs>
        <w:ind w:left="360" w:hanging="27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Proteinuria &lt; 1 g/d, treatment is guided by the extra-renal clinical manifestations of lupus.   </w:t>
      </w:r>
      <w:r w:rsidRPr="00E85C29">
        <w:rPr>
          <w:rFonts w:ascii="Times New Roman" w:eastAsia="Calibri" w:hAnsi="Times New Roman" w:cs="Times New Roman"/>
          <w:b/>
          <w:bCs/>
          <w:sz w:val="24"/>
          <w:szCs w:val="24"/>
        </w:rPr>
        <w:t>PP 10.2.2.1.</w:t>
      </w:r>
      <w:r w:rsidRPr="00E85C29">
        <w:rPr>
          <w:rFonts w:ascii="Times New Roman" w:eastAsia="Calibri" w:hAnsi="Times New Roman" w:cs="Times New Roman"/>
          <w:sz w:val="24"/>
          <w:szCs w:val="24"/>
        </w:rPr>
        <w:t xml:space="preserve"> </w:t>
      </w:r>
    </w:p>
    <w:p w14:paraId="071AAA76" w14:textId="77777777" w:rsidR="00E85C29" w:rsidRPr="00E85C29" w:rsidRDefault="00E85C29" w:rsidP="00CD6F22">
      <w:pPr>
        <w:numPr>
          <w:ilvl w:val="0"/>
          <w:numId w:val="22"/>
        </w:numPr>
        <w:tabs>
          <w:tab w:val="left" w:pos="270"/>
        </w:tabs>
        <w:ind w:left="360" w:hanging="270"/>
        <w:jc w:val="left"/>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Proteinuria &gt; 1 g/m2/d children, should be treated with corticosteroids or CNIs in resistant cases as described for MCD. However most resistant patients respond to MMF. </w:t>
      </w:r>
      <w:r w:rsidRPr="00E85C29">
        <w:rPr>
          <w:rFonts w:ascii="Times New Roman" w:eastAsia="Calibri" w:hAnsi="Times New Roman" w:cs="Times New Roman"/>
          <w:b/>
          <w:bCs/>
          <w:sz w:val="24"/>
          <w:szCs w:val="24"/>
        </w:rPr>
        <w:t xml:space="preserve">(EPG-GPP  10). </w:t>
      </w:r>
      <w:r w:rsidRPr="00E85C29">
        <w:rPr>
          <w:rFonts w:ascii="Times New Roman" w:eastAsia="Calibri" w:hAnsi="Times New Roman" w:cs="Times New Roman"/>
          <w:sz w:val="24"/>
          <w:szCs w:val="24"/>
        </w:rPr>
        <w:t xml:space="preserve">Consider maintenance combination therapy with glucocorticoids &amp; immunosuppressive agent   </w:t>
      </w:r>
      <w:r w:rsidRPr="00E85C29">
        <w:rPr>
          <w:rFonts w:ascii="Times New Roman" w:eastAsia="Calibri" w:hAnsi="Times New Roman" w:cs="Times New Roman"/>
          <w:b/>
          <w:bCs/>
          <w:sz w:val="24"/>
          <w:szCs w:val="24"/>
        </w:rPr>
        <w:t xml:space="preserve">PP 10.2.2.1. </w:t>
      </w:r>
    </w:p>
    <w:p w14:paraId="250A1596" w14:textId="77777777" w:rsidR="00E85C29" w:rsidRPr="00E85C29" w:rsidRDefault="00E85C29" w:rsidP="00CD6F22">
      <w:pPr>
        <w:numPr>
          <w:ilvl w:val="0"/>
          <w:numId w:val="23"/>
        </w:numPr>
        <w:shd w:val="clear" w:color="auto" w:fill="FFFFFF"/>
        <w:tabs>
          <w:tab w:val="left" w:pos="270"/>
        </w:tabs>
        <w:ind w:left="45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shd w:val="clear" w:color="auto" w:fill="FFFFFF"/>
        </w:rPr>
        <w:t xml:space="preserve">We suggest that patients with </w:t>
      </w:r>
      <w:r w:rsidRPr="00E85C29">
        <w:rPr>
          <w:rFonts w:ascii="Times New Roman" w:eastAsia="Calibri" w:hAnsi="Times New Roman" w:cs="Times New Roman"/>
          <w:b/>
          <w:bCs/>
          <w:sz w:val="24"/>
          <w:szCs w:val="24"/>
          <w:shd w:val="clear" w:color="auto" w:fill="FFFFFF"/>
        </w:rPr>
        <w:t>Class III LN (focal LN) and class IV LN (diffuse LN)</w:t>
      </w:r>
      <w:r w:rsidRPr="00E85C29">
        <w:rPr>
          <w:rFonts w:ascii="Times New Roman" w:eastAsia="Calibri" w:hAnsi="Times New Roman" w:cs="Times New Roman"/>
          <w:sz w:val="24"/>
          <w:szCs w:val="24"/>
          <w:shd w:val="clear" w:color="auto" w:fill="FFFFFF"/>
        </w:rPr>
        <w:t xml:space="preserve"> treatment </w:t>
      </w:r>
      <w:r w:rsidRPr="00E85C29">
        <w:rPr>
          <w:rFonts w:ascii="Times New Roman" w:eastAsia="Calibri" w:hAnsi="Times New Roman" w:cs="Times New Roman"/>
          <w:sz w:val="24"/>
          <w:szCs w:val="24"/>
        </w:rPr>
        <w:t xml:space="preserve">have 2 phases:  </w:t>
      </w:r>
      <w:r w:rsidRPr="00E85C29">
        <w:rPr>
          <w:rFonts w:ascii="Times New Roman" w:eastAsia="Calibri" w:hAnsi="Times New Roman" w:cs="Times New Roman"/>
          <w:b/>
          <w:bCs/>
          <w:sz w:val="24"/>
          <w:szCs w:val="24"/>
        </w:rPr>
        <w:t>PP: 10 .2.3.1.1.</w:t>
      </w:r>
      <w:r w:rsidRPr="00E85C29">
        <w:rPr>
          <w:rFonts w:ascii="Times New Roman" w:eastAsia="Calibri" w:hAnsi="Times New Roman" w:cs="Times New Roman"/>
          <w:sz w:val="24"/>
          <w:szCs w:val="24"/>
        </w:rPr>
        <w:t xml:space="preserve"> </w:t>
      </w:r>
    </w:p>
    <w:p w14:paraId="0EEACF1F" w14:textId="77777777" w:rsidR="00E85C29" w:rsidRPr="00E85C29" w:rsidRDefault="00E85C29" w:rsidP="00CD6F22">
      <w:pPr>
        <w:numPr>
          <w:ilvl w:val="0"/>
          <w:numId w:val="23"/>
        </w:numPr>
        <w:shd w:val="clear" w:color="auto" w:fill="FFFFFF"/>
        <w:tabs>
          <w:tab w:val="left" w:pos="270"/>
        </w:tabs>
        <w:ind w:left="45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Initial therapy</w:t>
      </w:r>
      <w:r w:rsidRPr="00E85C29">
        <w:rPr>
          <w:rFonts w:ascii="Times New Roman" w:eastAsia="Calibri" w:hAnsi="Times New Roman" w:cs="Times New Roman"/>
          <w:sz w:val="24"/>
          <w:szCs w:val="24"/>
        </w:rPr>
        <w:t xml:space="preserve"> for 1s six months          </w:t>
      </w:r>
      <w:r w:rsidRPr="00E85C29">
        <w:rPr>
          <w:rFonts w:ascii="Times New Roman" w:eastAsia="Calibri" w:hAnsi="Times New Roman" w:cs="Times New Roman"/>
          <w:b/>
          <w:bCs/>
          <w:sz w:val="24"/>
          <w:szCs w:val="24"/>
        </w:rPr>
        <w:t>•Maintenance therapy</w:t>
      </w:r>
      <w:r w:rsidRPr="00E85C29">
        <w:rPr>
          <w:rFonts w:ascii="Times New Roman" w:eastAsia="Calibri" w:hAnsi="Times New Roman" w:cs="Times New Roman"/>
          <w:sz w:val="24"/>
          <w:szCs w:val="24"/>
        </w:rPr>
        <w:t xml:space="preserve"> after remission for 1-3 years.</w:t>
      </w:r>
    </w:p>
    <w:p w14:paraId="61189181" w14:textId="77777777" w:rsidR="00E85C29" w:rsidRPr="00E85C29" w:rsidRDefault="00B0586D" w:rsidP="00E85C29">
      <w:pPr>
        <w:shd w:val="clear" w:color="auto" w:fill="FFFFFF"/>
        <w:tabs>
          <w:tab w:val="left" w:pos="270"/>
        </w:tabs>
        <w:ind w:left="450"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692F961" w14:textId="7C7AB759" w:rsidR="00E85C29" w:rsidRPr="00E85C29" w:rsidRDefault="00E85C29" w:rsidP="00152CE0">
      <w:pPr>
        <w:numPr>
          <w:ilvl w:val="0"/>
          <w:numId w:val="24"/>
        </w:numPr>
        <w:shd w:val="clear" w:color="auto" w:fill="FFFFFF"/>
        <w:tabs>
          <w:tab w:val="left" w:pos="270"/>
        </w:tabs>
        <w:spacing w:after="160" w:line="254" w:lineRule="auto"/>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shd w:val="clear" w:color="auto" w:fill="FFFFFF"/>
        </w:rPr>
        <w:t>Initial therapy:</w:t>
      </w:r>
      <w:r w:rsidRPr="00E85C29">
        <w:rPr>
          <w:rFonts w:ascii="Times New Roman" w:eastAsia="Calibri" w:hAnsi="Times New Roman" w:cs="Times New Roman"/>
          <w:sz w:val="24"/>
          <w:szCs w:val="24"/>
        </w:rPr>
        <w:t xml:space="preserve"> </w:t>
      </w:r>
      <w:proofErr w:type="gramStart"/>
      <w:r w:rsidRPr="002B253C">
        <w:rPr>
          <w:rFonts w:ascii="Times New Roman" w:eastAsia="Calibri" w:hAnsi="Times New Roman" w:cs="Times New Roman"/>
          <w:b/>
          <w:bCs/>
          <w:color w:val="FF0000"/>
          <w:sz w:val="24"/>
          <w:szCs w:val="24"/>
          <w:highlight w:val="yellow"/>
        </w:rPr>
        <w:t>(</w:t>
      </w:r>
      <w:r w:rsidR="002B253C" w:rsidRPr="002B253C">
        <w:rPr>
          <w:rFonts w:ascii="Times New Roman" w:eastAsia="Calibri" w:hAnsi="Times New Roman" w:cs="Times New Roman"/>
          <w:b/>
          <w:bCs/>
          <w:color w:val="FF0000"/>
          <w:sz w:val="24"/>
          <w:szCs w:val="24"/>
          <w:highlight w:val="yellow"/>
        </w:rPr>
        <w:t xml:space="preserve"> EPG</w:t>
      </w:r>
      <w:proofErr w:type="gramEnd"/>
      <w:r w:rsidR="002B253C" w:rsidRPr="002B253C">
        <w:rPr>
          <w:rFonts w:ascii="Times New Roman" w:eastAsia="Calibri" w:hAnsi="Times New Roman" w:cs="Times New Roman"/>
          <w:b/>
          <w:bCs/>
          <w:color w:val="FF0000"/>
          <w:sz w:val="24"/>
          <w:szCs w:val="24"/>
        </w:rPr>
        <w:t xml:space="preserve"> </w:t>
      </w:r>
      <w:r w:rsidRPr="00152CE0">
        <w:rPr>
          <w:rFonts w:ascii="Times New Roman" w:eastAsia="Calibri" w:hAnsi="Times New Roman" w:cs="Times New Roman"/>
          <w:b/>
          <w:bCs/>
          <w:color w:val="FF0000"/>
          <w:sz w:val="24"/>
          <w:szCs w:val="24"/>
          <w:highlight w:val="yellow"/>
        </w:rPr>
        <w:t xml:space="preserve">Fig </w:t>
      </w:r>
      <w:r w:rsidR="00152CE0" w:rsidRPr="00152CE0">
        <w:rPr>
          <w:rFonts w:ascii="Times New Roman" w:eastAsia="Calibri" w:hAnsi="Times New Roman" w:cs="Times New Roman"/>
          <w:b/>
          <w:bCs/>
          <w:color w:val="FF0000"/>
          <w:sz w:val="24"/>
          <w:szCs w:val="24"/>
          <w:highlight w:val="yellow"/>
        </w:rPr>
        <w:t>4</w:t>
      </w:r>
      <w:r w:rsidRPr="00152CE0">
        <w:rPr>
          <w:rFonts w:ascii="Times New Roman" w:eastAsia="Calibri" w:hAnsi="Times New Roman" w:cs="Times New Roman"/>
          <w:b/>
          <w:bCs/>
          <w:color w:val="FF0000"/>
          <w:sz w:val="24"/>
          <w:szCs w:val="24"/>
          <w:highlight w:val="yellow"/>
        </w:rPr>
        <w:t xml:space="preserve"> A, B)</w:t>
      </w:r>
      <w:r w:rsidRPr="00152CE0">
        <w:rPr>
          <w:rFonts w:ascii="Times New Roman" w:eastAsia="Calibri" w:hAnsi="Times New Roman" w:cs="Times New Roman"/>
          <w:b/>
          <w:bCs/>
          <w:color w:val="FF0000"/>
          <w:sz w:val="24"/>
          <w:szCs w:val="24"/>
        </w:rPr>
        <w:t xml:space="preserve"> </w:t>
      </w:r>
      <w:r w:rsidRPr="002B253C">
        <w:rPr>
          <w:rFonts w:ascii="Times New Roman" w:eastAsia="Calibri" w:hAnsi="Times New Roman" w:cs="Times New Roman"/>
          <w:b/>
          <w:bCs/>
          <w:strike/>
          <w:color w:val="0070C0"/>
          <w:sz w:val="24"/>
          <w:szCs w:val="24"/>
          <w:highlight w:val="yellow"/>
          <w:u w:val="single"/>
        </w:rPr>
        <w:t>(Appendix)</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b/>
          <w:bCs/>
          <w:sz w:val="24"/>
          <w:szCs w:val="24"/>
        </w:rPr>
        <w:t>PP 10.2.3.1.</w:t>
      </w:r>
      <w:r w:rsidR="00930B91">
        <w:rPr>
          <w:rFonts w:ascii="Times New Roman" w:eastAsia="Calibri" w:hAnsi="Times New Roman" w:cs="Times New Roman"/>
          <w:b/>
          <w:bCs/>
          <w:sz w:val="24"/>
          <w:szCs w:val="24"/>
        </w:rPr>
        <w:t xml:space="preserve"> </w:t>
      </w:r>
      <w:r w:rsidRPr="00E85C29">
        <w:rPr>
          <w:rFonts w:ascii="Times New Roman" w:eastAsia="Calibri" w:hAnsi="Times New Roman" w:cs="Times New Roman"/>
          <w:b/>
          <w:bCs/>
          <w:sz w:val="24"/>
          <w:szCs w:val="24"/>
        </w:rPr>
        <w:t>(1B) KDIGO2021.</w:t>
      </w:r>
    </w:p>
    <w:p w14:paraId="4F75A6D9" w14:textId="77777777" w:rsidR="00E85C29" w:rsidRPr="00E85C29" w:rsidRDefault="00E85C29" w:rsidP="00B0586D">
      <w:pPr>
        <w:numPr>
          <w:ilvl w:val="0"/>
          <w:numId w:val="25"/>
        </w:numPr>
        <w:shd w:val="clear" w:color="auto" w:fill="FFFFFF"/>
        <w:tabs>
          <w:tab w:val="left" w:pos="270"/>
          <w:tab w:val="left" w:pos="45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Short course of methyl prednisolone 0.25-0.5g/d up to 3 days before starting oral Corticosteroids </w:t>
      </w:r>
      <w:r w:rsidRPr="00E85C29">
        <w:rPr>
          <w:rFonts w:ascii="Times New Roman" w:eastAsia="Calibri" w:hAnsi="Times New Roman" w:cs="Times New Roman"/>
          <w:b/>
          <w:bCs/>
          <w:sz w:val="24"/>
          <w:szCs w:val="24"/>
        </w:rPr>
        <w:t>(A)</w:t>
      </w:r>
      <w:r w:rsidRPr="00E85C29">
        <w:rPr>
          <w:rFonts w:ascii="Times New Roman" w:eastAsia="Calibri" w:hAnsi="Times New Roman" w:cs="Times New Roman"/>
          <w:sz w:val="24"/>
          <w:szCs w:val="24"/>
        </w:rPr>
        <w:t xml:space="preserve"> (1mg/kg/day, tapered over 6-12 months according to the clinical response), </w:t>
      </w:r>
      <w:r w:rsidRPr="00E85C29">
        <w:rPr>
          <w:rFonts w:ascii="Times New Roman" w:eastAsia="Calibri" w:hAnsi="Times New Roman" w:cs="Times New Roman"/>
          <w:b/>
          <w:bCs/>
          <w:sz w:val="24"/>
          <w:szCs w:val="24"/>
        </w:rPr>
        <w:t>PP 10.2.3.1.1</w:t>
      </w:r>
      <w:r w:rsidRPr="00E85C29">
        <w:rPr>
          <w:rFonts w:ascii="Times New Roman" w:eastAsia="Calibri" w:hAnsi="Times New Roman" w:cs="Times New Roman"/>
          <w:sz w:val="24"/>
          <w:szCs w:val="24"/>
        </w:rPr>
        <w:t xml:space="preserve"> combined with monthly IV cyclophosphamide (0.5-1 gm/m2/dose) for 6 months </w:t>
      </w:r>
      <w:r w:rsidRPr="00E85C29">
        <w:rPr>
          <w:rFonts w:ascii="Times New Roman" w:eastAsia="Calibri" w:hAnsi="Times New Roman" w:cs="Times New Roman"/>
          <w:b/>
          <w:bCs/>
          <w:sz w:val="24"/>
          <w:szCs w:val="24"/>
        </w:rPr>
        <w:t>(1B),</w:t>
      </w:r>
      <w:r w:rsidRPr="00E85C29">
        <w:rPr>
          <w:rFonts w:ascii="Times New Roman" w:eastAsia="Calibri" w:hAnsi="Times New Roman" w:cs="Times New Roman"/>
          <w:sz w:val="24"/>
          <w:szCs w:val="24"/>
        </w:rPr>
        <w:t xml:space="preserve"> to ensure patient adherence that looks difficult in those on oral regimen. and because MMF is not preferred in severe LN, which is usually found in juvenile LN. </w:t>
      </w:r>
      <w:r w:rsidRPr="00E85C29">
        <w:rPr>
          <w:rFonts w:ascii="Times New Roman" w:eastAsia="Calibri" w:hAnsi="Times New Roman" w:cs="Times New Roman"/>
          <w:b/>
          <w:bCs/>
          <w:sz w:val="24"/>
          <w:szCs w:val="24"/>
        </w:rPr>
        <w:t>PP 10.2.3.1.2KGIGO 2021.</w:t>
      </w:r>
    </w:p>
    <w:p w14:paraId="6F8EBDE7" w14:textId="77777777" w:rsidR="00E85C29" w:rsidRPr="00E85C29" w:rsidRDefault="00E85C29" w:rsidP="00B0586D">
      <w:pPr>
        <w:numPr>
          <w:ilvl w:val="0"/>
          <w:numId w:val="25"/>
        </w:numPr>
        <w:tabs>
          <w:tab w:val="left" w:pos="270"/>
          <w:tab w:val="left" w:pos="360"/>
          <w:tab w:val="left" w:pos="45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MMF initial therapy (with maximum 3 gm/day) is preferred initial therapy for those with high prior exposure or risk of infertility. </w:t>
      </w:r>
      <w:r w:rsidRPr="00E85C29">
        <w:rPr>
          <w:rFonts w:ascii="Times New Roman" w:eastAsia="Calibri" w:hAnsi="Times New Roman" w:cs="Times New Roman"/>
          <w:b/>
          <w:bCs/>
          <w:sz w:val="24"/>
          <w:szCs w:val="24"/>
        </w:rPr>
        <w:t>(1B) KDIGO 2012, KDIGO 2021. PP 10.2.3.1.3.</w:t>
      </w:r>
      <w:r w:rsidRPr="00E85C29">
        <w:rPr>
          <w:rFonts w:ascii="Times New Roman" w:eastAsia="Calibri" w:hAnsi="Times New Roman" w:cs="Times New Roman"/>
          <w:sz w:val="24"/>
          <w:szCs w:val="24"/>
        </w:rPr>
        <w:t xml:space="preserve"> </w:t>
      </w:r>
      <w:r w:rsidR="00930B91" w:rsidRPr="00E85C29">
        <w:rPr>
          <w:rFonts w:ascii="Times New Roman" w:eastAsia="Calibri" w:hAnsi="Times New Roman" w:cs="Times New Roman"/>
          <w:sz w:val="24"/>
          <w:szCs w:val="24"/>
        </w:rPr>
        <w:t>Supported</w:t>
      </w:r>
      <w:r w:rsidRPr="00E85C29">
        <w:rPr>
          <w:rFonts w:ascii="Times New Roman" w:eastAsia="Calibri" w:hAnsi="Times New Roman" w:cs="Times New Roman"/>
          <w:sz w:val="24"/>
          <w:szCs w:val="24"/>
        </w:rPr>
        <w:t xml:space="preserve"> MPAA–based regimen for those with moderate to high prior exposure to cyclophosphamides and those with African, Ascian, Hispanic ancestry. </w:t>
      </w:r>
    </w:p>
    <w:p w14:paraId="52183669" w14:textId="77777777" w:rsidR="00E85C29" w:rsidRPr="00E85C29" w:rsidRDefault="00E85C29" w:rsidP="00B0586D">
      <w:pPr>
        <w:numPr>
          <w:ilvl w:val="0"/>
          <w:numId w:val="25"/>
        </w:numPr>
        <w:tabs>
          <w:tab w:val="left" w:pos="270"/>
          <w:tab w:val="left" w:pos="360"/>
          <w:tab w:val="left" w:pos="45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Initial therapy with triple CNIs, low dose MPAA and glucocorticoids is reserved for patients who cannot tolerate MPAA or will not use cyclophosphamides. PP 10.2.3.1.4. </w:t>
      </w:r>
    </w:p>
    <w:p w14:paraId="05EC3EC7" w14:textId="77777777" w:rsidR="00E85C29" w:rsidRPr="00E85C29" w:rsidRDefault="00E85C29" w:rsidP="00B0586D">
      <w:pPr>
        <w:numPr>
          <w:ilvl w:val="0"/>
          <w:numId w:val="25"/>
        </w:numPr>
        <w:tabs>
          <w:tab w:val="left" w:pos="270"/>
          <w:tab w:val="left" w:pos="360"/>
          <w:tab w:val="left" w:pos="450"/>
        </w:tabs>
        <w:ind w:left="270" w:hanging="184"/>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B-lymphocyte targeting biologics Rituximab, belimumab may be considered in persistent disease activity or repeated flare. </w:t>
      </w:r>
      <w:r w:rsidRPr="00B0586D">
        <w:rPr>
          <w:rFonts w:ascii="Times New Roman" w:eastAsia="Calibri" w:hAnsi="Times New Roman" w:cs="Times New Roman"/>
          <w:b/>
          <w:bCs/>
          <w:sz w:val="24"/>
          <w:szCs w:val="24"/>
        </w:rPr>
        <w:t>PP10.2.3.1.6.,</w:t>
      </w:r>
    </w:p>
    <w:p w14:paraId="53310998" w14:textId="77777777" w:rsidR="00E85C29" w:rsidRPr="00B0586D" w:rsidRDefault="00E85C29" w:rsidP="00B0586D">
      <w:pPr>
        <w:numPr>
          <w:ilvl w:val="0"/>
          <w:numId w:val="25"/>
        </w:numPr>
        <w:tabs>
          <w:tab w:val="left" w:pos="270"/>
          <w:tab w:val="left" w:pos="360"/>
          <w:tab w:val="left" w:pos="45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Other therapies as azathioprine with glucocorticoids to be used when intolerance, high cost or unavailability of other drugs </w:t>
      </w:r>
      <w:r w:rsidRPr="00B0586D">
        <w:rPr>
          <w:rFonts w:ascii="Times New Roman" w:eastAsia="Calibri" w:hAnsi="Times New Roman" w:cs="Times New Roman"/>
          <w:b/>
          <w:bCs/>
          <w:sz w:val="24"/>
          <w:szCs w:val="24"/>
        </w:rPr>
        <w:t>PP 10.2.3.1.7.</w:t>
      </w:r>
    </w:p>
    <w:p w14:paraId="1B49F9FE" w14:textId="77777777" w:rsidR="00B0586D" w:rsidRPr="00E85C29" w:rsidRDefault="00B0586D" w:rsidP="00B0586D">
      <w:pPr>
        <w:tabs>
          <w:tab w:val="left" w:pos="270"/>
          <w:tab w:val="left" w:pos="360"/>
          <w:tab w:val="left" w:pos="450"/>
        </w:tabs>
        <w:ind w:left="270" w:firstLine="0"/>
        <w:rPr>
          <w:rFonts w:ascii="Times New Roman" w:eastAsia="Calibri" w:hAnsi="Times New Roman" w:cs="Times New Roman"/>
          <w:sz w:val="24"/>
          <w:szCs w:val="24"/>
        </w:rPr>
      </w:pPr>
    </w:p>
    <w:p w14:paraId="00083CB9" w14:textId="77777777" w:rsidR="00E85C29" w:rsidRPr="00E85C29" w:rsidRDefault="00E85C29" w:rsidP="00930B91">
      <w:pPr>
        <w:numPr>
          <w:ilvl w:val="0"/>
          <w:numId w:val="37"/>
        </w:numPr>
        <w:tabs>
          <w:tab w:val="left" w:pos="360"/>
        </w:tabs>
        <w:ind w:left="86"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shd w:val="clear" w:color="auto" w:fill="FFFFFF"/>
        </w:rPr>
        <w:t xml:space="preserve"> Maintenance therapy:</w:t>
      </w:r>
      <w:r w:rsidRPr="00E85C29">
        <w:rPr>
          <w:rFonts w:ascii="Times New Roman" w:eastAsia="Calibri" w:hAnsi="Times New Roman" w:cs="Times New Roman"/>
          <w:sz w:val="24"/>
          <w:szCs w:val="24"/>
        </w:rPr>
        <w:t xml:space="preserve"> We recommend after initial therapy to use.</w:t>
      </w:r>
    </w:p>
    <w:p w14:paraId="570E4891" w14:textId="77777777" w:rsidR="00E85C29" w:rsidRPr="00E85C29" w:rsidRDefault="00E85C29" w:rsidP="00930B91">
      <w:pPr>
        <w:numPr>
          <w:ilvl w:val="0"/>
          <w:numId w:val="38"/>
        </w:numPr>
        <w:tabs>
          <w:tab w:val="left" w:pos="90"/>
          <w:tab w:val="left" w:pos="360"/>
          <w:tab w:val="left" w:pos="45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MMF (750-1000 mg twice daily) or MPA 450-720mg twice daily </w:t>
      </w:r>
      <w:r w:rsidRPr="00E85C29">
        <w:rPr>
          <w:rFonts w:ascii="Times New Roman" w:eastAsia="Calibri" w:hAnsi="Times New Roman" w:cs="Times New Roman"/>
          <w:b/>
          <w:bCs/>
          <w:sz w:val="24"/>
          <w:szCs w:val="24"/>
        </w:rPr>
        <w:t>KDIGO 21 (1B)</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PP10.2.3.2.3.</w:t>
      </w:r>
    </w:p>
    <w:p w14:paraId="5A02C7D4" w14:textId="77777777" w:rsidR="00E85C29" w:rsidRPr="00E85C29" w:rsidRDefault="00E85C29" w:rsidP="00930B91">
      <w:pPr>
        <w:numPr>
          <w:ilvl w:val="0"/>
          <w:numId w:val="38"/>
        </w:numPr>
        <w:tabs>
          <w:tab w:val="left" w:pos="270"/>
          <w:tab w:val="left" w:pos="360"/>
          <w:tab w:val="left" w:pos="450"/>
        </w:tabs>
        <w:ind w:left="450"/>
        <w:rPr>
          <w:rFonts w:ascii="Times New Roman" w:eastAsia="Calibri" w:hAnsi="Times New Roman" w:cs="Times New Roman"/>
          <w:sz w:val="24"/>
          <w:szCs w:val="24"/>
        </w:rPr>
      </w:pPr>
      <w:r w:rsidRPr="00E85C29">
        <w:rPr>
          <w:rFonts w:ascii="Times New Roman" w:eastAsia="Calibri" w:hAnsi="Times New Roman" w:cs="Times New Roman"/>
          <w:sz w:val="24"/>
          <w:szCs w:val="24"/>
        </w:rPr>
        <w:lastRenderedPageBreak/>
        <w:t xml:space="preserve">Glucocorticoids with slow tapper to lowest dose unless extrarenal manifestations </w:t>
      </w:r>
      <w:r w:rsidRPr="00E85C29">
        <w:rPr>
          <w:rFonts w:ascii="Times New Roman" w:eastAsia="Calibri" w:hAnsi="Times New Roman" w:cs="Times New Roman"/>
          <w:b/>
          <w:bCs/>
          <w:sz w:val="24"/>
          <w:szCs w:val="24"/>
        </w:rPr>
        <w:t>PP10.2.3.2.2.</w:t>
      </w:r>
      <w:r w:rsidRPr="00E85C29">
        <w:rPr>
          <w:rFonts w:ascii="Times New Roman" w:eastAsia="Calibri" w:hAnsi="Times New Roman" w:cs="Times New Roman"/>
          <w:sz w:val="24"/>
          <w:szCs w:val="24"/>
        </w:rPr>
        <w:t xml:space="preserve"> Discontinuation is considered after 1 year of complete remission.</w:t>
      </w:r>
    </w:p>
    <w:p w14:paraId="37B8FFBC" w14:textId="77777777" w:rsidR="00E85C29" w:rsidRPr="00E85C29" w:rsidRDefault="00E85C29" w:rsidP="00930B91">
      <w:pPr>
        <w:numPr>
          <w:ilvl w:val="0"/>
          <w:numId w:val="38"/>
        </w:numPr>
        <w:tabs>
          <w:tab w:val="left" w:pos="27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that azathioprine (1.5–2.5 mg/kg/d) </w:t>
      </w:r>
      <w:r w:rsidRPr="00E85C29">
        <w:rPr>
          <w:rFonts w:ascii="Times New Roman" w:eastAsia="Calibri" w:hAnsi="Times New Roman" w:cs="Times New Roman"/>
          <w:b/>
          <w:bCs/>
          <w:color w:val="0070C0"/>
          <w:sz w:val="24"/>
          <w:szCs w:val="24"/>
        </w:rPr>
        <w:t>(1B) P 225 KDIGO 21 PP 10.2.3.2.1                                                                                                                                                                                                                                                     (P s221)</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sz w:val="24"/>
          <w:szCs w:val="24"/>
        </w:rPr>
        <w:t xml:space="preserve">or CNIs (2C) P225 KDIGO 12, (with low-dose corticosteroids are suggested to be alternative maintenance therapy in those who are intolerant to MMF.  </w:t>
      </w:r>
      <w:r w:rsidRPr="00E85C29">
        <w:rPr>
          <w:rFonts w:ascii="Times New Roman" w:eastAsia="Calibri" w:hAnsi="Times New Roman" w:cs="Times New Roman"/>
          <w:b/>
          <w:bCs/>
          <w:sz w:val="24"/>
          <w:szCs w:val="24"/>
        </w:rPr>
        <w:t>PP 10.2.3.2.1. and  KDIGO 2021</w:t>
      </w:r>
      <w:r w:rsidRPr="00E85C29">
        <w:rPr>
          <w:rFonts w:ascii="Times New Roman" w:eastAsia="Calibri" w:hAnsi="Times New Roman" w:cs="Times New Roman"/>
          <w:sz w:val="24"/>
          <w:szCs w:val="24"/>
        </w:rPr>
        <w:t xml:space="preserve"> </w:t>
      </w:r>
    </w:p>
    <w:p w14:paraId="4F37A277" w14:textId="77777777" w:rsidR="00E85C29" w:rsidRPr="00E85C29" w:rsidRDefault="00E85C29" w:rsidP="00930B91">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Discontinuation of glucocorticoids can be considered after patients have maintained a complete clinical response for &gt;-12months. The total duration of initial suppression plus combination maintenance immunosuppression should not be &lt;36 months </w:t>
      </w:r>
      <w:r w:rsidRPr="00E85C29">
        <w:rPr>
          <w:rFonts w:ascii="Times New Roman" w:eastAsia="Calibri" w:hAnsi="Times New Roman" w:cs="Times New Roman"/>
          <w:b/>
          <w:bCs/>
          <w:sz w:val="24"/>
          <w:szCs w:val="24"/>
        </w:rPr>
        <w:t>PP.10.2.3.2.5.</w:t>
      </w:r>
    </w:p>
    <w:p w14:paraId="2460A0E6" w14:textId="77777777" w:rsidR="00E85C29" w:rsidRPr="00E85C29" w:rsidRDefault="00E85C29" w:rsidP="00930B91">
      <w:pPr>
        <w:shd w:val="clear" w:color="auto" w:fill="FFFFFF"/>
        <w:ind w:firstLine="0"/>
        <w:rPr>
          <w:rFonts w:ascii="Times New Roman" w:eastAsia="Calibri" w:hAnsi="Times New Roman" w:cs="Times New Roman"/>
          <w:sz w:val="24"/>
          <w:szCs w:val="24"/>
        </w:rPr>
      </w:pPr>
    </w:p>
    <w:p w14:paraId="2A096016" w14:textId="77777777" w:rsidR="00E85C29" w:rsidRPr="00E85C29" w:rsidRDefault="00E85C29" w:rsidP="00930B91">
      <w:pPr>
        <w:shd w:val="clear" w:color="auto" w:fill="FFFFFF"/>
        <w:ind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TREATMENT OF CLASS V, VI   LN</w:t>
      </w:r>
    </w:p>
    <w:p w14:paraId="44B7FF3D" w14:textId="77777777" w:rsidR="00E85C29" w:rsidRPr="00E85C29" w:rsidRDefault="00E85C29" w:rsidP="00930B91">
      <w:pPr>
        <w:numPr>
          <w:ilvl w:val="0"/>
          <w:numId w:val="26"/>
        </w:numPr>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that treatment   for patients with pure Class V LN (membranous LN) is according to the kidney function and degree of proteinuria: those with normal kidney function, and non-nephrotic range proteinuria should be treated with anti-proteinuria and antihypertensive medications, monitor proteinuria, prevent, and treat thrombosis &amp;dyslipidemia, control BP, RAS blockade and hydroxy chloroquine. </w:t>
      </w:r>
    </w:p>
    <w:p w14:paraId="61C7996E" w14:textId="77777777" w:rsidR="00E85C29" w:rsidRPr="00E85C29" w:rsidRDefault="00E85C29" w:rsidP="00930B91">
      <w:pPr>
        <w:numPr>
          <w:ilvl w:val="0"/>
          <w:numId w:val="26"/>
        </w:numPr>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Immunosuppressive treatment should be given </w:t>
      </w:r>
      <w:r w:rsidRPr="00E85C29">
        <w:rPr>
          <w:rFonts w:ascii="Times New Roman" w:eastAsia="Calibri" w:hAnsi="Times New Roman" w:cs="Times New Roman"/>
          <w:b/>
          <w:bCs/>
          <w:sz w:val="24"/>
          <w:szCs w:val="24"/>
        </w:rPr>
        <w:t>in case of extrarenal manifestations</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nephrotic range proteinuria</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worsening of edema, thrombosis, dyslipidemia</w:t>
      </w:r>
      <w:r w:rsidRPr="00E85C29">
        <w:rPr>
          <w:rFonts w:ascii="Times New Roman" w:eastAsia="Calibri" w:hAnsi="Times New Roman" w:cs="Times New Roman"/>
          <w:sz w:val="24"/>
          <w:szCs w:val="24"/>
        </w:rPr>
        <w:t xml:space="preserve">. Combined glucocorticoids with MMF or cyclophosphamides or CNIs or rituximab or azathioprine PP10.2.4.1. However, most patients respond well to MMF </w:t>
      </w:r>
      <w:r w:rsidRPr="00E85C29">
        <w:rPr>
          <w:rFonts w:ascii="Times New Roman" w:eastAsia="Calibri" w:hAnsi="Times New Roman" w:cs="Times New Roman"/>
          <w:b/>
          <w:bCs/>
          <w:sz w:val="24"/>
          <w:szCs w:val="24"/>
        </w:rPr>
        <w:t>(GPP)11</w:t>
      </w:r>
    </w:p>
    <w:p w14:paraId="4155FBBC" w14:textId="77777777" w:rsidR="00E85C29" w:rsidRPr="00E85C29" w:rsidRDefault="00E85C29" w:rsidP="00930B91">
      <w:pPr>
        <w:numPr>
          <w:ilvl w:val="0"/>
          <w:numId w:val="26"/>
        </w:numPr>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that treatment of patients with mixed membranous and proliferative lesions (class V plus class III or IV LN) should be the same of patients with class III or IV LN due to </w:t>
      </w:r>
      <w:r w:rsidRPr="00E85C29">
        <w:rPr>
          <w:rFonts w:ascii="Times New Roman" w:eastAsia="Calibri" w:hAnsi="Times New Roman" w:cs="Times New Roman"/>
          <w:b/>
          <w:bCs/>
          <w:sz w:val="24"/>
          <w:szCs w:val="24"/>
        </w:rPr>
        <w:t>less favorable prognosis than pure class V</w:t>
      </w:r>
      <w:r w:rsidRPr="00E85C29">
        <w:rPr>
          <w:rFonts w:ascii="Times New Roman" w:eastAsia="Calibri" w:hAnsi="Times New Roman" w:cs="Times New Roman"/>
          <w:sz w:val="24"/>
          <w:szCs w:val="24"/>
        </w:rPr>
        <w:t xml:space="preserve"> LN., </w:t>
      </w:r>
      <w:r w:rsidRPr="00E85C29">
        <w:rPr>
          <w:rFonts w:ascii="Times New Roman" w:eastAsia="Calibri" w:hAnsi="Times New Roman" w:cs="Times New Roman"/>
          <w:b/>
          <w:bCs/>
          <w:sz w:val="24"/>
          <w:szCs w:val="24"/>
        </w:rPr>
        <w:t>KDIGO21 PP: 10.2.4.1</w:t>
      </w:r>
    </w:p>
    <w:p w14:paraId="1AA72EEB" w14:textId="77777777" w:rsidR="00E85C29" w:rsidRDefault="00E85C29" w:rsidP="00930B91">
      <w:pPr>
        <w:numPr>
          <w:ilvl w:val="0"/>
          <w:numId w:val="26"/>
        </w:numPr>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that patients with class VI LN should be treated with corticosteroids and immunosuppressive </w:t>
      </w:r>
      <w:r w:rsidRPr="00E85C29">
        <w:rPr>
          <w:rFonts w:ascii="Times New Roman" w:eastAsia="Calibri" w:hAnsi="Times New Roman" w:cs="Times New Roman"/>
          <w:b/>
          <w:bCs/>
          <w:sz w:val="24"/>
          <w:szCs w:val="24"/>
        </w:rPr>
        <w:t>according to the extra-renal manifestations</w:t>
      </w:r>
      <w:r w:rsidRPr="00E85C29">
        <w:rPr>
          <w:rFonts w:ascii="Times New Roman" w:eastAsia="Calibri" w:hAnsi="Times New Roman" w:cs="Times New Roman"/>
          <w:sz w:val="24"/>
          <w:szCs w:val="24"/>
        </w:rPr>
        <w:t xml:space="preserve"> of systemic lupus</w:t>
      </w:r>
      <w:r w:rsidRPr="00E85C29">
        <w:rPr>
          <w:rFonts w:ascii="Times New Roman" w:eastAsia="Calibri" w:hAnsi="Times New Roman" w:cs="Times New Roman"/>
          <w:b/>
          <w:bCs/>
          <w:sz w:val="24"/>
          <w:szCs w:val="24"/>
        </w:rPr>
        <w:t>. (2D)</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 xml:space="preserve">(P228 KDIGO 2012). </w:t>
      </w:r>
      <w:r w:rsidRPr="00E85C29">
        <w:rPr>
          <w:rFonts w:ascii="Times New Roman" w:eastAsia="Calibri" w:hAnsi="Times New Roman" w:cs="Times New Roman"/>
          <w:sz w:val="24"/>
          <w:szCs w:val="24"/>
        </w:rPr>
        <w:t xml:space="preserve">      </w:t>
      </w:r>
    </w:p>
    <w:p w14:paraId="1ABFBC20" w14:textId="77777777" w:rsidR="00930B91" w:rsidRPr="00E85C29" w:rsidRDefault="00930B91" w:rsidP="00930B91">
      <w:pPr>
        <w:ind w:left="360" w:firstLine="0"/>
        <w:rPr>
          <w:rFonts w:ascii="Times New Roman" w:eastAsia="Calibri" w:hAnsi="Times New Roman" w:cs="Times New Roman"/>
          <w:sz w:val="24"/>
          <w:szCs w:val="24"/>
        </w:rPr>
      </w:pPr>
    </w:p>
    <w:p w14:paraId="48A0C76E" w14:textId="77777777" w:rsidR="00E85C29" w:rsidRPr="00E85C29" w:rsidRDefault="00E85C29" w:rsidP="00930B91">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3.2.2.D2: TREATMENT OF RELAPSE IN (LN)</w:t>
      </w:r>
    </w:p>
    <w:p w14:paraId="5B0F9C74" w14:textId="77777777" w:rsidR="00E85C29" w:rsidRPr="00E85C29" w:rsidRDefault="00E85C29" w:rsidP="00930B91">
      <w:pPr>
        <w:numPr>
          <w:ilvl w:val="0"/>
          <w:numId w:val="27"/>
        </w:numPr>
        <w:tabs>
          <w:tab w:val="left" w:pos="36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suggests that treatment of any relapse that occurs during tapering of immunosuppressant medications be treated by </w:t>
      </w:r>
      <w:r w:rsidRPr="00E85C29">
        <w:rPr>
          <w:rFonts w:ascii="Times New Roman" w:eastAsia="Calibri" w:hAnsi="Times New Roman" w:cs="Times New Roman"/>
          <w:b/>
          <w:bCs/>
          <w:sz w:val="24"/>
          <w:szCs w:val="24"/>
        </w:rPr>
        <w:t>returning to the previous level of</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immunosuppression</w:t>
      </w:r>
      <w:r w:rsidRPr="00E85C29">
        <w:rPr>
          <w:rFonts w:ascii="Times New Roman" w:eastAsia="Calibri" w:hAnsi="Times New Roman" w:cs="Times New Roman"/>
          <w:sz w:val="24"/>
          <w:szCs w:val="24"/>
        </w:rPr>
        <w:t xml:space="preserve"> that controlled the LN. </w:t>
      </w:r>
      <w:r w:rsidRPr="00E85C29">
        <w:rPr>
          <w:rFonts w:ascii="Times New Roman" w:eastAsia="Calibri" w:hAnsi="Times New Roman" w:cs="Times New Roman"/>
          <w:b/>
          <w:bCs/>
          <w:sz w:val="24"/>
          <w:szCs w:val="24"/>
        </w:rPr>
        <w:t>KDIGO2021, PP 10.2.4.3.1</w:t>
      </w:r>
    </w:p>
    <w:p w14:paraId="00F1F1A6" w14:textId="77777777" w:rsidR="00E85C29" w:rsidRPr="00E85C29" w:rsidRDefault="00E85C29" w:rsidP="00930B91">
      <w:pPr>
        <w:numPr>
          <w:ilvl w:val="0"/>
          <w:numId w:val="28"/>
        </w:numPr>
        <w:tabs>
          <w:tab w:val="left" w:pos="360"/>
        </w:tabs>
        <w:ind w:left="270" w:hanging="18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suggest that a relapse of LN after achievement of complete or partial remission be treated with the </w:t>
      </w:r>
      <w:r w:rsidRPr="00E85C29">
        <w:rPr>
          <w:rFonts w:ascii="Times New Roman" w:eastAsia="Calibri" w:hAnsi="Times New Roman" w:cs="Times New Roman"/>
          <w:b/>
          <w:bCs/>
          <w:sz w:val="24"/>
          <w:szCs w:val="24"/>
        </w:rPr>
        <w:t>same initial therapy</w:t>
      </w:r>
      <w:r w:rsidRPr="00E85C29">
        <w:rPr>
          <w:rFonts w:ascii="Times New Roman" w:eastAsia="Calibri" w:hAnsi="Times New Roman" w:cs="Times New Roman"/>
          <w:sz w:val="24"/>
          <w:szCs w:val="24"/>
        </w:rPr>
        <w:t xml:space="preserve"> used to achieve the original response or an </w:t>
      </w:r>
      <w:r w:rsidRPr="00E85C29">
        <w:rPr>
          <w:rFonts w:ascii="Times New Roman" w:eastAsia="Calibri" w:hAnsi="Times New Roman" w:cs="Times New Roman"/>
          <w:b/>
          <w:bCs/>
          <w:sz w:val="24"/>
          <w:szCs w:val="24"/>
        </w:rPr>
        <w:t xml:space="preserve">alternative </w:t>
      </w:r>
      <w:r w:rsidRPr="00E85C29">
        <w:rPr>
          <w:rFonts w:ascii="Times New Roman" w:eastAsia="Calibri" w:hAnsi="Times New Roman" w:cs="Times New Roman"/>
          <w:sz w:val="24"/>
          <w:szCs w:val="24"/>
        </w:rPr>
        <w:t xml:space="preserve">recommended first line therapy, we suggest use of MMF in those who received cyclophosphamide as initial therapy before to limit excess lifetime exposure to it </w:t>
      </w:r>
      <w:r w:rsidRPr="00E85C29">
        <w:rPr>
          <w:rFonts w:ascii="Times New Roman" w:eastAsia="Calibri" w:hAnsi="Times New Roman" w:cs="Times New Roman"/>
          <w:b/>
          <w:bCs/>
          <w:sz w:val="24"/>
          <w:szCs w:val="24"/>
        </w:rPr>
        <w:t xml:space="preserve">(2B) P228 KDIGO 12, PP 10.2.4.3.1 KDIGO2021. </w:t>
      </w:r>
    </w:p>
    <w:p w14:paraId="5CD0292C" w14:textId="77777777" w:rsidR="00E85C29" w:rsidRPr="00E85C29" w:rsidRDefault="00E85C29" w:rsidP="00930B91">
      <w:pPr>
        <w:numPr>
          <w:ilvl w:val="0"/>
          <w:numId w:val="28"/>
        </w:numPr>
        <w:tabs>
          <w:tab w:val="left" w:pos="36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Consider a repeat kidney biopsy during relapse if there is suspicion that the histologic class of LN has changed, or there is uncertainty whether a rising </w:t>
      </w:r>
      <w:proofErr w:type="spellStart"/>
      <w:r w:rsidRPr="00E85C29">
        <w:rPr>
          <w:rFonts w:ascii="Times New Roman" w:eastAsia="Calibri" w:hAnsi="Times New Roman" w:cs="Times New Roman"/>
          <w:sz w:val="24"/>
          <w:szCs w:val="24"/>
        </w:rPr>
        <w:t>SCr</w:t>
      </w:r>
      <w:proofErr w:type="spellEnd"/>
      <w:r w:rsidRPr="00E85C29">
        <w:rPr>
          <w:rFonts w:ascii="Times New Roman" w:eastAsia="Calibri" w:hAnsi="Times New Roman" w:cs="Times New Roman"/>
          <w:sz w:val="24"/>
          <w:szCs w:val="24"/>
        </w:rPr>
        <w:t xml:space="preserve"> and/or worsening proteinuria represents </w:t>
      </w:r>
      <w:r w:rsidRPr="00E85C29">
        <w:rPr>
          <w:rFonts w:ascii="Times New Roman" w:eastAsia="Calibri" w:hAnsi="Times New Roman" w:cs="Times New Roman"/>
          <w:b/>
          <w:bCs/>
          <w:sz w:val="24"/>
          <w:szCs w:val="24"/>
        </w:rPr>
        <w:t>disease activity or chronicity</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PP 10.2.4.3. KDIGO21</w:t>
      </w:r>
      <w:r w:rsidRPr="00E85C29">
        <w:rPr>
          <w:rFonts w:ascii="Times New Roman" w:eastAsia="Calibri" w:hAnsi="Times New Roman" w:cs="Times New Roman"/>
          <w:sz w:val="24"/>
          <w:szCs w:val="24"/>
        </w:rPr>
        <w:t xml:space="preserve"> </w:t>
      </w:r>
    </w:p>
    <w:p w14:paraId="38C85BD8" w14:textId="77777777" w:rsidR="00E85C29" w:rsidRPr="00E85C29" w:rsidRDefault="00E85C29" w:rsidP="00395F40">
      <w:pPr>
        <w:tabs>
          <w:tab w:val="left" w:pos="360"/>
        </w:tabs>
        <w:ind w:left="360" w:firstLine="0"/>
        <w:rPr>
          <w:rFonts w:ascii="Times New Roman" w:eastAsia="Calibri" w:hAnsi="Times New Roman" w:cs="Times New Roman"/>
          <w:sz w:val="24"/>
          <w:szCs w:val="24"/>
        </w:rPr>
      </w:pPr>
    </w:p>
    <w:p w14:paraId="7978511F" w14:textId="77777777" w:rsidR="00E85C29" w:rsidRPr="00E85C29" w:rsidRDefault="00E85C29" w:rsidP="00395F40">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TREATMENT OF RESISTANT (LN)</w:t>
      </w:r>
    </w:p>
    <w:p w14:paraId="17CD026F" w14:textId="77777777" w:rsidR="00E85C29" w:rsidRPr="00E85C29" w:rsidRDefault="00E85C29" w:rsidP="00395F40">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The following definitions should be used for assessment treatment response </w:t>
      </w:r>
      <w:r w:rsidRPr="00E85C29">
        <w:rPr>
          <w:rFonts w:ascii="Times New Roman" w:eastAsia="Calibri" w:hAnsi="Times New Roman" w:cs="Times New Roman"/>
          <w:b/>
          <w:bCs/>
          <w:sz w:val="24"/>
          <w:szCs w:val="24"/>
        </w:rPr>
        <w:t>PP 10.2.4.1.1.</w:t>
      </w:r>
    </w:p>
    <w:p w14:paraId="2EE30CA8" w14:textId="77777777" w:rsidR="00E85C29" w:rsidRPr="00E85C29" w:rsidRDefault="00E85C29" w:rsidP="00395F40">
      <w:pPr>
        <w:numPr>
          <w:ilvl w:val="0"/>
          <w:numId w:val="29"/>
        </w:numPr>
        <w:tabs>
          <w:tab w:val="left" w:pos="270"/>
          <w:tab w:val="left" w:pos="63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Complete Remission reduction of proteinuria &lt;300 mg /m2/d measured as PCR 24 -h urine collection. Stable GFR +_10%of base line within 6-12 m therapy.</w:t>
      </w:r>
    </w:p>
    <w:p w14:paraId="57694293" w14:textId="77777777" w:rsidR="00E85C29" w:rsidRPr="00E85C29" w:rsidRDefault="00E85C29" w:rsidP="00395F40">
      <w:pPr>
        <w:numPr>
          <w:ilvl w:val="0"/>
          <w:numId w:val="29"/>
        </w:numPr>
        <w:tabs>
          <w:tab w:val="left" w:pos="270"/>
          <w:tab w:val="left" w:pos="63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Partial Remission: 50% reduction of proteinuria, &lt;3oomg/m2/d. PCR, Stable GFR 10%base line within 6-12 m therapy.</w:t>
      </w:r>
    </w:p>
    <w:p w14:paraId="7C2BEE6B" w14:textId="77777777" w:rsidR="00E85C29" w:rsidRPr="00E85C29" w:rsidRDefault="00E85C29" w:rsidP="00395F40">
      <w:pPr>
        <w:numPr>
          <w:ilvl w:val="0"/>
          <w:numId w:val="29"/>
        </w:numPr>
        <w:tabs>
          <w:tab w:val="left" w:pos="270"/>
          <w:tab w:val="left" w:pos="63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No response: failure to get complete or partial remission within 6-12 m therapy</w:t>
      </w:r>
    </w:p>
    <w:p w14:paraId="3C668A17" w14:textId="77777777" w:rsidR="00E85C29" w:rsidRPr="00E85C29" w:rsidRDefault="00395F40" w:rsidP="00395F40">
      <w:pPr>
        <w:ind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85C29" w:rsidRPr="00E85C29">
        <w:rPr>
          <w:rFonts w:ascii="Times New Roman" w:eastAsia="Calibri" w:hAnsi="Times New Roman" w:cs="Times New Roman"/>
          <w:sz w:val="24"/>
          <w:szCs w:val="24"/>
        </w:rPr>
        <w:t>We suggest for patients whose response to therapy is deemed unsatisfactory:</w:t>
      </w:r>
    </w:p>
    <w:p w14:paraId="44CC5AB7" w14:textId="77777777" w:rsidR="00E85C29" w:rsidRPr="00E85C29" w:rsidRDefault="00E85C29" w:rsidP="00395F4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(1) Verify adherence to treatment</w:t>
      </w:r>
    </w:p>
    <w:p w14:paraId="6EC0E775" w14:textId="77777777" w:rsidR="00E85C29" w:rsidRPr="00E85C29" w:rsidRDefault="00E85C29" w:rsidP="00395F4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(2) Ensure adequate dosing   of immunosuppressive drugs (measure plasma drug level).</w:t>
      </w:r>
    </w:p>
    <w:p w14:paraId="797C708E" w14:textId="77777777" w:rsidR="00E85C29" w:rsidRDefault="00E85C29" w:rsidP="00395F40">
      <w:pPr>
        <w:ind w:left="360" w:hanging="27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(3) Consider repeating kidney biopsy to distinguish active LN from scarring or other diagnosis e.g., thrombotic microangiopathy     </w:t>
      </w:r>
      <w:r w:rsidR="00395F40">
        <w:rPr>
          <w:rFonts w:ascii="Times New Roman" w:eastAsia="Calibri" w:hAnsi="Times New Roman" w:cs="Times New Roman"/>
          <w:b/>
          <w:bCs/>
          <w:sz w:val="24"/>
          <w:szCs w:val="24"/>
        </w:rPr>
        <w:t>PP 10.2.4.2.</w:t>
      </w:r>
      <w:r w:rsidRPr="00E85C29">
        <w:rPr>
          <w:rFonts w:ascii="Times New Roman" w:eastAsia="Calibri" w:hAnsi="Times New Roman" w:cs="Times New Roman"/>
          <w:b/>
          <w:bCs/>
          <w:sz w:val="24"/>
          <w:szCs w:val="24"/>
        </w:rPr>
        <w:t>1. KDIGO 2021</w:t>
      </w:r>
      <w:r w:rsidR="00395F40">
        <w:rPr>
          <w:rFonts w:ascii="Times New Roman" w:eastAsia="Calibri" w:hAnsi="Times New Roman" w:cs="Times New Roman"/>
          <w:b/>
          <w:bCs/>
          <w:sz w:val="24"/>
          <w:szCs w:val="24"/>
        </w:rPr>
        <w:t>.</w:t>
      </w:r>
    </w:p>
    <w:p w14:paraId="35F6FDEF" w14:textId="77777777" w:rsidR="00395F40" w:rsidRPr="00E85C29" w:rsidRDefault="00395F40" w:rsidP="00395F40">
      <w:pPr>
        <w:ind w:left="360" w:hanging="270"/>
        <w:rPr>
          <w:rFonts w:ascii="Times New Roman" w:eastAsia="Calibri" w:hAnsi="Times New Roman" w:cs="Times New Roman"/>
          <w:sz w:val="24"/>
          <w:szCs w:val="24"/>
        </w:rPr>
      </w:pPr>
    </w:p>
    <w:p w14:paraId="5F788786" w14:textId="77777777" w:rsidR="00395F40" w:rsidRDefault="00E85C29" w:rsidP="00395F40">
      <w:pPr>
        <w:ind w:left="540" w:hanging="45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(4) Those who continue to have active LN on biopsy consider switching to an alternative first line initial treatment regimen (MMF in those received </w:t>
      </w:r>
      <w:proofErr w:type="spellStart"/>
      <w:r w:rsidRPr="00E85C29">
        <w:rPr>
          <w:rFonts w:ascii="Times New Roman" w:eastAsia="Calibri" w:hAnsi="Times New Roman" w:cs="Times New Roman"/>
          <w:sz w:val="24"/>
          <w:szCs w:val="24"/>
        </w:rPr>
        <w:t>i.v.</w:t>
      </w:r>
      <w:proofErr w:type="spellEnd"/>
      <w:r w:rsidRPr="00E85C29">
        <w:rPr>
          <w:rFonts w:ascii="Times New Roman" w:eastAsia="Calibri" w:hAnsi="Times New Roman" w:cs="Times New Roman"/>
          <w:sz w:val="24"/>
          <w:szCs w:val="24"/>
        </w:rPr>
        <w:t xml:space="preserve"> cyclophosphamide and vice versa) ...</w:t>
      </w:r>
    </w:p>
    <w:p w14:paraId="2DF40762" w14:textId="77777777" w:rsidR="00E85C29" w:rsidRPr="00E85C29" w:rsidRDefault="00E85C29" w:rsidP="00395F40">
      <w:pPr>
        <w:ind w:left="810" w:hanging="63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 </w:t>
      </w:r>
      <w:r w:rsidR="00395F40">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PP 10.2.4.2.1 KDIGO 2021</w:t>
      </w:r>
    </w:p>
    <w:p w14:paraId="05CBFD11" w14:textId="77777777" w:rsidR="00E85C29" w:rsidRPr="00E85C29" w:rsidRDefault="00E85C29" w:rsidP="00395F4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(5) We suggest for those who are refractory to first line treatment:</w:t>
      </w:r>
    </w:p>
    <w:p w14:paraId="7DB82D12" w14:textId="77777777" w:rsidR="00E85C29" w:rsidRPr="00E85C29" w:rsidRDefault="00395F40" w:rsidP="00395F40">
      <w:pPr>
        <w:ind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85C29" w:rsidRPr="00E85C29">
        <w:rPr>
          <w:rFonts w:ascii="Times New Roman" w:eastAsia="Calibri" w:hAnsi="Times New Roman" w:cs="Times New Roman"/>
          <w:sz w:val="24"/>
          <w:szCs w:val="24"/>
        </w:rPr>
        <w:t xml:space="preserve"> Combined MMF and CNIs – addition of rituximab -extended course of CYP </w:t>
      </w:r>
      <w:r w:rsidR="00E85C29" w:rsidRPr="00E85C29">
        <w:rPr>
          <w:rFonts w:ascii="Times New Roman" w:eastAsia="Calibri" w:hAnsi="Times New Roman" w:cs="Times New Roman"/>
          <w:b/>
          <w:bCs/>
          <w:sz w:val="24"/>
          <w:szCs w:val="24"/>
        </w:rPr>
        <w:t>PP10.2.4.2</w:t>
      </w:r>
      <w:r w:rsidR="00E85C29" w:rsidRPr="00E85C29">
        <w:rPr>
          <w:rFonts w:ascii="Times New Roman" w:eastAsia="Calibri" w:hAnsi="Times New Roman" w:cs="Times New Roman"/>
          <w:sz w:val="24"/>
          <w:szCs w:val="24"/>
        </w:rPr>
        <w:t>.</w:t>
      </w:r>
    </w:p>
    <w:p w14:paraId="1DA5F8B6" w14:textId="77777777" w:rsidR="00E85C29" w:rsidRPr="00E85C29" w:rsidRDefault="00E85C29" w:rsidP="00395F40">
      <w:pPr>
        <w:ind w:firstLine="0"/>
        <w:jc w:val="left"/>
        <w:rPr>
          <w:rFonts w:ascii="Times New Roman" w:eastAsia="Calibri" w:hAnsi="Times New Roman" w:cs="Times New Roman"/>
          <w:sz w:val="24"/>
          <w:szCs w:val="24"/>
        </w:rPr>
      </w:pPr>
    </w:p>
    <w:p w14:paraId="03432A9F" w14:textId="77777777" w:rsidR="00E85C29" w:rsidRPr="00E85C29" w:rsidRDefault="00E85C29" w:rsidP="00395F40">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shd w:val="clear" w:color="auto" w:fill="FFFFFF"/>
        </w:rPr>
        <w:t>R 3.2.2.D4</w:t>
      </w:r>
      <w:r w:rsidRPr="00E85C29">
        <w:rPr>
          <w:rFonts w:ascii="Times New Roman" w:eastAsia="Calibri" w:hAnsi="Times New Roman" w:cs="Times New Roman"/>
          <w:sz w:val="24"/>
          <w:szCs w:val="24"/>
          <w:shd w:val="clear" w:color="auto" w:fill="FFFFFF"/>
        </w:rPr>
        <w:t xml:space="preserve">: Treatment of </w:t>
      </w:r>
      <w:proofErr w:type="spellStart"/>
      <w:r w:rsidRPr="00E85C29">
        <w:rPr>
          <w:rFonts w:ascii="Times New Roman" w:eastAsia="Calibri" w:hAnsi="Times New Roman" w:cs="Times New Roman"/>
          <w:sz w:val="24"/>
          <w:szCs w:val="24"/>
          <w:shd w:val="clear" w:color="auto" w:fill="FFFFFF"/>
        </w:rPr>
        <w:t>sle</w:t>
      </w:r>
      <w:proofErr w:type="spellEnd"/>
      <w:r w:rsidRPr="00E85C29">
        <w:rPr>
          <w:rFonts w:ascii="Times New Roman" w:eastAsia="Calibri" w:hAnsi="Times New Roman" w:cs="Times New Roman"/>
          <w:sz w:val="24"/>
          <w:szCs w:val="24"/>
          <w:shd w:val="clear" w:color="auto" w:fill="FFFFFF"/>
        </w:rPr>
        <w:t xml:space="preserve"> thrombotic micro-</w:t>
      </w:r>
      <w:proofErr w:type="spellStart"/>
      <w:r w:rsidRPr="00E85C29">
        <w:rPr>
          <w:rFonts w:ascii="Times New Roman" w:eastAsia="Calibri" w:hAnsi="Times New Roman" w:cs="Times New Roman"/>
          <w:sz w:val="24"/>
          <w:szCs w:val="24"/>
          <w:shd w:val="clear" w:color="auto" w:fill="FFFFFF"/>
        </w:rPr>
        <w:t>angiopathy</w:t>
      </w:r>
      <w:proofErr w:type="spellEnd"/>
      <w:r w:rsidRPr="00E85C29">
        <w:rPr>
          <w:rFonts w:ascii="Times New Roman" w:eastAsia="Calibri" w:hAnsi="Times New Roman" w:cs="Times New Roman"/>
          <w:sz w:val="24"/>
          <w:szCs w:val="24"/>
          <w:shd w:val="clear" w:color="auto" w:fill="FFFFFF"/>
        </w:rPr>
        <w:t xml:space="preserve">, </w:t>
      </w:r>
      <w:proofErr w:type="spellStart"/>
      <w:r w:rsidRPr="00E85C29">
        <w:rPr>
          <w:rFonts w:ascii="Times New Roman" w:eastAsia="Calibri" w:hAnsi="Times New Roman" w:cs="Times New Roman"/>
          <w:sz w:val="24"/>
          <w:szCs w:val="24"/>
          <w:shd w:val="clear" w:color="auto" w:fill="FFFFFF"/>
        </w:rPr>
        <w:t>anti phospholipids</w:t>
      </w:r>
      <w:proofErr w:type="spellEnd"/>
      <w:r w:rsidRPr="00E85C29">
        <w:rPr>
          <w:rFonts w:ascii="Times New Roman" w:eastAsia="Calibri" w:hAnsi="Times New Roman" w:cs="Times New Roman"/>
          <w:sz w:val="24"/>
          <w:szCs w:val="24"/>
          <w:shd w:val="clear" w:color="auto" w:fill="FFFFFF"/>
        </w:rPr>
        <w:t xml:space="preserve"> syndrome:</w:t>
      </w:r>
    </w:p>
    <w:p w14:paraId="42C6DAB2" w14:textId="77777777" w:rsidR="00E85C29" w:rsidRPr="00E85C29" w:rsidRDefault="00E85C29" w:rsidP="00395F40">
      <w:pPr>
        <w:numPr>
          <w:ilvl w:val="0"/>
          <w:numId w:val="30"/>
        </w:numPr>
        <w:tabs>
          <w:tab w:val="left" w:pos="270"/>
          <w:tab w:val="left" w:pos="36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We suggest being managed according to the cause:</w:t>
      </w:r>
    </w:p>
    <w:p w14:paraId="61C0BCB3" w14:textId="77777777" w:rsidR="00E85C29" w:rsidRPr="00E85C29" w:rsidRDefault="00E85C29" w:rsidP="00395F40">
      <w:pPr>
        <w:tabs>
          <w:tab w:val="left" w:pos="180"/>
          <w:tab w:val="left" w:pos="540"/>
        </w:tabs>
        <w:ind w:left="54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Test for ADAMTS 13 activity &amp; antibodies.</w:t>
      </w:r>
    </w:p>
    <w:p w14:paraId="3A140E4C" w14:textId="77777777" w:rsidR="00E85C29" w:rsidRPr="00E85C29" w:rsidRDefault="00E85C29" w:rsidP="00395F40">
      <w:pPr>
        <w:tabs>
          <w:tab w:val="left" w:pos="180"/>
          <w:tab w:val="left" w:pos="540"/>
        </w:tabs>
        <w:ind w:left="54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Test for antiphospholipid antibodies</w:t>
      </w:r>
    </w:p>
    <w:p w14:paraId="2E754956" w14:textId="77777777" w:rsidR="00E85C29" w:rsidRPr="00E85C29" w:rsidRDefault="00E85C29" w:rsidP="00395F40">
      <w:pPr>
        <w:tabs>
          <w:tab w:val="left" w:pos="180"/>
          <w:tab w:val="left" w:pos="540"/>
        </w:tabs>
        <w:ind w:left="54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If not TTP or APL, Test Complement mediated TMA</w:t>
      </w:r>
    </w:p>
    <w:p w14:paraId="648B25E8" w14:textId="77777777" w:rsidR="00E85C29" w:rsidRPr="00E85C29" w:rsidRDefault="00E85C29" w:rsidP="00395F40">
      <w:pPr>
        <w:numPr>
          <w:ilvl w:val="0"/>
          <w:numId w:val="31"/>
        </w:numPr>
        <w:tabs>
          <w:tab w:val="left" w:pos="270"/>
          <w:tab w:val="left" w:pos="36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that patients with systemic lupus and thrombotic    thrombocytopenic purpura (TTP) receive plasma exchange (as for patients with TTP without systemic lupus) + steroids + rituximab alacizumab: </w:t>
      </w:r>
      <w:r w:rsidRPr="00E85C29">
        <w:rPr>
          <w:rFonts w:ascii="Times New Roman" w:eastAsia="Calibri" w:hAnsi="Times New Roman" w:cs="Times New Roman"/>
          <w:b/>
          <w:bCs/>
          <w:sz w:val="24"/>
          <w:szCs w:val="24"/>
        </w:rPr>
        <w:t>PP</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10.3.1.1 KDIGO 21</w:t>
      </w:r>
    </w:p>
    <w:p w14:paraId="493A21ED" w14:textId="77777777" w:rsidR="00E85C29" w:rsidRPr="00E85C29" w:rsidRDefault="00E85C29" w:rsidP="00395F40">
      <w:pPr>
        <w:numPr>
          <w:ilvl w:val="0"/>
          <w:numId w:val="32"/>
        </w:numPr>
        <w:tabs>
          <w:tab w:val="left" w:pos="270"/>
          <w:tab w:val="left" w:pos="36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that anti phospholipid antibody syndrome (APS) involving the kidneys, with or without LN, be treated by anticoagulation (target international normalized ratio (INR) between 2–3.  </w:t>
      </w:r>
      <w:r w:rsidRPr="00E85C29">
        <w:rPr>
          <w:rFonts w:ascii="Times New Roman" w:eastAsia="Calibri" w:hAnsi="Times New Roman" w:cs="Times New Roman"/>
          <w:b/>
          <w:bCs/>
          <w:sz w:val="24"/>
          <w:szCs w:val="24"/>
        </w:rPr>
        <w:t>PP 10.3.1.1. KGIGO21</w:t>
      </w:r>
    </w:p>
    <w:p w14:paraId="56346979" w14:textId="77777777" w:rsidR="00E85C29" w:rsidRPr="00E85C29" w:rsidRDefault="00E85C29" w:rsidP="00395F40">
      <w:pPr>
        <w:numPr>
          <w:ilvl w:val="0"/>
          <w:numId w:val="32"/>
        </w:numPr>
        <w:tabs>
          <w:tab w:val="left" w:pos="27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that patients with complement -mediated MA and atypical hemolytic uremic syndrome (a HUS) should receive plasma infusion and or plasma exchange and complement blockade eculizumab. </w:t>
      </w:r>
      <w:r w:rsidRPr="00E85C29">
        <w:rPr>
          <w:rFonts w:ascii="Times New Roman" w:eastAsia="Calibri" w:hAnsi="Times New Roman" w:cs="Times New Roman"/>
          <w:b/>
          <w:bCs/>
          <w:sz w:val="24"/>
          <w:szCs w:val="24"/>
        </w:rPr>
        <w:t>PP 10.3.1.1.</w:t>
      </w:r>
    </w:p>
    <w:p w14:paraId="33BF21C5" w14:textId="77777777" w:rsidR="00E85C29" w:rsidRPr="00E85C29" w:rsidRDefault="00E85C29" w:rsidP="00395F40">
      <w:pPr>
        <w:ind w:left="360" w:firstLine="0"/>
        <w:jc w:val="left"/>
        <w:rPr>
          <w:rFonts w:ascii="Times New Roman" w:eastAsia="Calibri" w:hAnsi="Times New Roman" w:cs="Times New Roman"/>
          <w:sz w:val="24"/>
          <w:szCs w:val="24"/>
        </w:rPr>
      </w:pPr>
    </w:p>
    <w:p w14:paraId="467F621A" w14:textId="77777777" w:rsidR="00E85C29" w:rsidRPr="00E85C29" w:rsidRDefault="00E85C29" w:rsidP="00395F40">
      <w:pPr>
        <w:shd w:val="clear" w:color="auto" w:fill="FFFFFF"/>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TREATMENT OF   LN /ESRF</w:t>
      </w:r>
    </w:p>
    <w:p w14:paraId="1FE349A0" w14:textId="77777777" w:rsidR="00E85C29" w:rsidRPr="00E85C29" w:rsidRDefault="00E85C29" w:rsidP="00395F40">
      <w:pPr>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that patients with LN who develop kidney failure to be treated with hemodialysis, peritoneal dialysis, or renal transplantation. </w:t>
      </w:r>
      <w:r w:rsidRPr="00E85C29">
        <w:rPr>
          <w:rFonts w:ascii="Times New Roman" w:eastAsia="Calibri" w:hAnsi="Times New Roman" w:cs="Times New Roman"/>
          <w:b/>
          <w:bCs/>
          <w:sz w:val="24"/>
          <w:szCs w:val="24"/>
        </w:rPr>
        <w:t>PP 10.3.4.1. KDIGO 2021</w:t>
      </w:r>
    </w:p>
    <w:p w14:paraId="6D8C5238" w14:textId="09E1EC5E" w:rsidR="00E85C29" w:rsidRDefault="00E85C29" w:rsidP="00F44651">
      <w:pPr>
        <w:ind w:left="90" w:firstLine="0"/>
        <w:jc w:val="left"/>
        <w:rPr>
          <w:rFonts w:ascii="Times New Roman" w:eastAsia="Calibri" w:hAnsi="Times New Roman" w:cs="Times New Roman"/>
          <w:b/>
          <w:bCs/>
          <w:color w:val="FF0000"/>
          <w:sz w:val="24"/>
          <w:szCs w:val="24"/>
        </w:rPr>
      </w:pPr>
      <w:r w:rsidRPr="00E85C29">
        <w:rPr>
          <w:rFonts w:ascii="Times New Roman" w:eastAsia="Calibri" w:hAnsi="Times New Roman" w:cs="Times New Roman"/>
          <w:sz w:val="24"/>
          <w:szCs w:val="24"/>
        </w:rPr>
        <w:t xml:space="preserve">The risk of disease recurrence after transplantation is lower with LN than other glomerular diseases of about 2-5 %. </w:t>
      </w:r>
      <w:r w:rsidRPr="00E85C29">
        <w:rPr>
          <w:rFonts w:ascii="Times New Roman" w:eastAsia="Calibri" w:hAnsi="Times New Roman" w:cs="Times New Roman"/>
          <w:b/>
          <w:bCs/>
          <w:color w:val="0070C0"/>
          <w:sz w:val="24"/>
          <w:szCs w:val="24"/>
        </w:rPr>
        <w:t>Cairoli E 2014, Zahab MA 2016</w:t>
      </w:r>
      <w:r w:rsidRPr="00E85C29">
        <w:rPr>
          <w:rFonts w:ascii="Times New Roman" w:eastAsia="Calibri" w:hAnsi="Times New Roman" w:cs="Times New Roman"/>
          <w:color w:val="00B0F0"/>
          <w:sz w:val="24"/>
          <w:szCs w:val="24"/>
        </w:rPr>
        <w:t xml:space="preserve">.         </w:t>
      </w:r>
      <w:r w:rsidR="002B253C" w:rsidRPr="00152CE0">
        <w:rPr>
          <w:rFonts w:ascii="Times New Roman" w:eastAsia="Calibri" w:hAnsi="Times New Roman" w:cs="Times New Roman"/>
          <w:b/>
          <w:bCs/>
          <w:color w:val="FF0000"/>
          <w:sz w:val="24"/>
          <w:szCs w:val="24"/>
          <w:highlight w:val="yellow"/>
        </w:rPr>
        <w:t>EPG</w:t>
      </w:r>
      <w:r w:rsidRPr="00152CE0">
        <w:rPr>
          <w:rFonts w:ascii="Times New Roman" w:eastAsia="Calibri" w:hAnsi="Times New Roman" w:cs="Times New Roman"/>
          <w:b/>
          <w:bCs/>
          <w:color w:val="FF0000"/>
          <w:sz w:val="24"/>
          <w:szCs w:val="24"/>
          <w:highlight w:val="yellow"/>
        </w:rPr>
        <w:t xml:space="preserve"> </w:t>
      </w:r>
      <w:r w:rsidR="00152CE0" w:rsidRPr="00152CE0">
        <w:rPr>
          <w:rFonts w:ascii="Times New Roman" w:eastAsia="Calibri" w:hAnsi="Times New Roman" w:cs="Times New Roman"/>
          <w:b/>
          <w:bCs/>
          <w:color w:val="FF0000"/>
          <w:sz w:val="24"/>
          <w:szCs w:val="24"/>
          <w:highlight w:val="yellow"/>
        </w:rPr>
        <w:t>Fig 4 A&amp;B</w:t>
      </w:r>
      <w:r w:rsidRPr="002B253C">
        <w:rPr>
          <w:rFonts w:ascii="Times New Roman" w:eastAsia="Calibri" w:hAnsi="Times New Roman" w:cs="Times New Roman"/>
          <w:b/>
          <w:bCs/>
          <w:color w:val="FF0000"/>
          <w:sz w:val="24"/>
          <w:szCs w:val="24"/>
        </w:rPr>
        <w:t xml:space="preserve"> </w:t>
      </w:r>
    </w:p>
    <w:p w14:paraId="5FD8592D" w14:textId="77777777" w:rsidR="00F44651" w:rsidRPr="00E85C29" w:rsidRDefault="00F44651" w:rsidP="00152CE0">
      <w:pPr>
        <w:ind w:left="90" w:firstLine="0"/>
        <w:jc w:val="left"/>
        <w:rPr>
          <w:rFonts w:ascii="Times New Roman" w:eastAsia="Calibri" w:hAnsi="Times New Roman" w:cs="Times New Roman"/>
          <w:b/>
          <w:bCs/>
          <w:color w:val="0070C0"/>
          <w:sz w:val="24"/>
          <w:szCs w:val="24"/>
        </w:rPr>
      </w:pPr>
    </w:p>
    <w:p w14:paraId="653C87A5" w14:textId="3B357D88" w:rsidR="00E85C29" w:rsidRPr="00E85C29" w:rsidRDefault="00E85C29" w:rsidP="00395F40">
      <w:pPr>
        <w:shd w:val="clear" w:color="auto" w:fill="F2F2F2"/>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R3.2.2.E1               IgA </w:t>
      </w:r>
      <w:proofErr w:type="gramStart"/>
      <w:r w:rsidRPr="00E85C29">
        <w:rPr>
          <w:rFonts w:ascii="Times New Roman" w:eastAsia="Calibri" w:hAnsi="Times New Roman" w:cs="Times New Roman"/>
          <w:b/>
          <w:bCs/>
          <w:sz w:val="24"/>
          <w:szCs w:val="24"/>
        </w:rPr>
        <w:t>Nephropathy</w:t>
      </w:r>
      <w:r w:rsidR="007F1899">
        <w:rPr>
          <w:rFonts w:ascii="Times New Roman" w:eastAsia="Calibri" w:hAnsi="Times New Roman" w:cs="Times New Roman"/>
          <w:b/>
          <w:bCs/>
          <w:sz w:val="24"/>
          <w:szCs w:val="24"/>
        </w:rPr>
        <w:t xml:space="preserve">  </w:t>
      </w:r>
      <w:r w:rsidR="007F1899" w:rsidRPr="007F1899">
        <w:rPr>
          <w:rFonts w:ascii="Times New Roman" w:eastAsia="Calibri" w:hAnsi="Times New Roman" w:cs="Times New Roman"/>
          <w:b/>
          <w:bCs/>
          <w:color w:val="FF0000"/>
          <w:sz w:val="24"/>
          <w:szCs w:val="24"/>
          <w:highlight w:val="yellow"/>
        </w:rPr>
        <w:t>(</w:t>
      </w:r>
      <w:proofErr w:type="gramEnd"/>
      <w:r w:rsidR="007F1899" w:rsidRPr="007F1899">
        <w:rPr>
          <w:rFonts w:ascii="Times New Roman" w:eastAsia="Calibri" w:hAnsi="Times New Roman" w:cs="Times New Roman"/>
          <w:b/>
          <w:bCs/>
          <w:color w:val="FF0000"/>
          <w:sz w:val="24"/>
          <w:szCs w:val="24"/>
          <w:highlight w:val="yellow"/>
        </w:rPr>
        <w:t xml:space="preserve"> EPG Fig 5</w:t>
      </w:r>
      <w:r w:rsidR="00F44651">
        <w:rPr>
          <w:rFonts w:ascii="Times New Roman" w:eastAsia="Calibri" w:hAnsi="Times New Roman" w:cs="Times New Roman"/>
          <w:b/>
          <w:bCs/>
          <w:color w:val="FF0000"/>
          <w:sz w:val="24"/>
          <w:szCs w:val="24"/>
          <w:highlight w:val="yellow"/>
        </w:rPr>
        <w:t xml:space="preserve"> A &amp; B</w:t>
      </w:r>
      <w:r w:rsidR="007F1899" w:rsidRPr="007F1899">
        <w:rPr>
          <w:rFonts w:ascii="Times New Roman" w:eastAsia="Calibri" w:hAnsi="Times New Roman" w:cs="Times New Roman"/>
          <w:b/>
          <w:bCs/>
          <w:color w:val="FF0000"/>
          <w:sz w:val="24"/>
          <w:szCs w:val="24"/>
          <w:highlight w:val="yellow"/>
        </w:rPr>
        <w:t>)</w:t>
      </w:r>
    </w:p>
    <w:p w14:paraId="5E2CBE2D" w14:textId="77777777" w:rsidR="00E85C29" w:rsidRPr="00E85C29" w:rsidRDefault="00E85C29" w:rsidP="00664BE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Children after puberty may have a similar course and response to treatment as adults with </w:t>
      </w:r>
      <w:proofErr w:type="spellStart"/>
      <w:r w:rsidRPr="00E85C29">
        <w:rPr>
          <w:rFonts w:ascii="Times New Roman" w:eastAsia="Calibri" w:hAnsi="Times New Roman" w:cs="Times New Roman"/>
          <w:sz w:val="24"/>
          <w:szCs w:val="24"/>
        </w:rPr>
        <w:t>IgAN</w:t>
      </w:r>
      <w:proofErr w:type="spellEnd"/>
      <w:r w:rsidRPr="00E85C29">
        <w:rPr>
          <w:rFonts w:ascii="Times New Roman" w:eastAsia="Calibri" w:hAnsi="Times New Roman" w:cs="Times New Roman"/>
          <w:sz w:val="24"/>
          <w:szCs w:val="24"/>
        </w:rPr>
        <w:t xml:space="preserve">, but there are currently insufficient data to recommend the same treatment as adults with </w:t>
      </w:r>
      <w:proofErr w:type="spellStart"/>
      <w:r w:rsidRPr="00E85C29">
        <w:rPr>
          <w:rFonts w:ascii="Times New Roman" w:eastAsia="Calibri" w:hAnsi="Times New Roman" w:cs="Times New Roman"/>
          <w:sz w:val="24"/>
          <w:szCs w:val="24"/>
        </w:rPr>
        <w:t>IgAN</w:t>
      </w:r>
      <w:proofErr w:type="spellEnd"/>
      <w:r w:rsidRPr="00E85C29">
        <w:rPr>
          <w:rFonts w:ascii="Times New Roman" w:eastAsia="Calibri" w:hAnsi="Times New Roman" w:cs="Times New Roman"/>
          <w:sz w:val="24"/>
          <w:szCs w:val="24"/>
        </w:rPr>
        <w:t>. Visible hematuria is more frequent in children and thus account for its earlier diagnosis. Children also show less proteinuria and better GFR at diagnosis.</w:t>
      </w:r>
    </w:p>
    <w:p w14:paraId="75889A23" w14:textId="77777777" w:rsidR="00E85C29" w:rsidRPr="00E85C29" w:rsidRDefault="00E85C29" w:rsidP="00664BE9">
      <w:pPr>
        <w:numPr>
          <w:ilvl w:val="0"/>
          <w:numId w:val="33"/>
        </w:numPr>
        <w:tabs>
          <w:tab w:val="left" w:pos="27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Kidney biopsy in children is usually performed at presentation to confirm diagnosis, to rule </w:t>
      </w:r>
      <w:proofErr w:type="gramStart"/>
      <w:r w:rsidRPr="00E85C29">
        <w:rPr>
          <w:rFonts w:ascii="Times New Roman" w:eastAsia="Calibri" w:hAnsi="Times New Roman" w:cs="Times New Roman"/>
          <w:sz w:val="24"/>
          <w:szCs w:val="24"/>
        </w:rPr>
        <w:t>out  other</w:t>
      </w:r>
      <w:proofErr w:type="gramEnd"/>
      <w:r w:rsidRPr="00E85C29">
        <w:rPr>
          <w:rFonts w:ascii="Times New Roman" w:eastAsia="Calibri" w:hAnsi="Times New Roman" w:cs="Times New Roman"/>
          <w:sz w:val="24"/>
          <w:szCs w:val="24"/>
        </w:rPr>
        <w:t xml:space="preserve"> diagnoses, and to assess degree of inflammation and presence of necrosis.</w:t>
      </w:r>
    </w:p>
    <w:p w14:paraId="148E3019" w14:textId="77777777" w:rsidR="00E85C29" w:rsidRPr="00E85C29" w:rsidRDefault="00E85C29" w:rsidP="00664BE9">
      <w:pPr>
        <w:numPr>
          <w:ilvl w:val="0"/>
          <w:numId w:val="33"/>
        </w:numPr>
        <w:tabs>
          <w:tab w:val="left" w:pos="27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All children with </w:t>
      </w:r>
      <w:proofErr w:type="spellStart"/>
      <w:r w:rsidRPr="00E85C29">
        <w:rPr>
          <w:rFonts w:ascii="Times New Roman" w:eastAsia="Calibri" w:hAnsi="Times New Roman" w:cs="Times New Roman"/>
          <w:sz w:val="24"/>
          <w:szCs w:val="24"/>
        </w:rPr>
        <w:t>IgAN</w:t>
      </w:r>
      <w:proofErr w:type="spellEnd"/>
      <w:r w:rsidRPr="00E85C29">
        <w:rPr>
          <w:rFonts w:ascii="Times New Roman" w:eastAsia="Calibri" w:hAnsi="Times New Roman" w:cs="Times New Roman"/>
          <w:sz w:val="24"/>
          <w:szCs w:val="24"/>
        </w:rPr>
        <w:t xml:space="preserve"> with proteinuria &gt; 200 mg/m2/d or UPCR (&gt;20 mg/mol) should receive ACEI or ARB blockade, advice on low salt diet, optimal lifestyle, and blood pressure control (systolic BP &lt;90th percentile for age, sex, and height.  </w:t>
      </w:r>
      <w:r w:rsidRPr="00E85C29">
        <w:rPr>
          <w:rFonts w:ascii="Times New Roman" w:eastAsia="Calibri" w:hAnsi="Times New Roman" w:cs="Times New Roman"/>
          <w:b/>
          <w:bCs/>
          <w:sz w:val="24"/>
          <w:szCs w:val="24"/>
        </w:rPr>
        <w:t>(2C) KDIGO 2012, PP 2.4.5. KDIGO</w:t>
      </w:r>
    </w:p>
    <w:p w14:paraId="2DD7DA78" w14:textId="77777777" w:rsidR="00E85C29" w:rsidRPr="00E85C29" w:rsidRDefault="00E85C29" w:rsidP="00664BE9">
      <w:pPr>
        <w:numPr>
          <w:ilvl w:val="0"/>
          <w:numId w:val="33"/>
        </w:numPr>
        <w:tabs>
          <w:tab w:val="left" w:pos="270"/>
        </w:tabs>
        <w:ind w:left="90" w:firstLine="0"/>
        <w:rPr>
          <w:rFonts w:ascii="Times New Roman" w:eastAsia="Calibri" w:hAnsi="Times New Roman" w:cs="Times New Roman"/>
          <w:b/>
          <w:bCs/>
          <w:color w:val="0070C0"/>
          <w:sz w:val="24"/>
          <w:szCs w:val="24"/>
        </w:rPr>
      </w:pPr>
      <w:r w:rsidRPr="00E85C29">
        <w:rPr>
          <w:rFonts w:ascii="Times New Roman" w:eastAsia="Calibri" w:hAnsi="Times New Roman" w:cs="Times New Roman"/>
          <w:sz w:val="24"/>
          <w:szCs w:val="24"/>
        </w:rPr>
        <w:t xml:space="preserve">In children with proteinuria &gt;1000mg /m2/d or   UPCR&gt;2mg/mg, UPCR 200mg/mol and or mesangial hypercellularity in addition to RAS blockade from time of diagnosis, most pediatric nephrologists will treat with glucocorticoids. We recommend 4 weeks oral steroids 1-2mg/kg/d followed with alternate day tapering over 4-6 evidence for use of non –glucocorticoids in addition to glucocorticoids is scarce, but this approach may be considered in more severe cases. </w:t>
      </w:r>
      <w:r w:rsidRPr="00E85C29">
        <w:rPr>
          <w:rFonts w:ascii="Times New Roman" w:eastAsia="Calibri" w:hAnsi="Times New Roman" w:cs="Times New Roman"/>
          <w:b/>
          <w:bCs/>
          <w:color w:val="0070C0"/>
          <w:sz w:val="24"/>
          <w:szCs w:val="24"/>
        </w:rPr>
        <w:t>[Selewski DT 2018, Cambier A 2018].</w:t>
      </w:r>
    </w:p>
    <w:p w14:paraId="4CE4E796" w14:textId="77777777" w:rsidR="00E85C29" w:rsidRPr="00E85C29" w:rsidRDefault="00E85C29" w:rsidP="00664BE9">
      <w:pPr>
        <w:numPr>
          <w:ilvl w:val="0"/>
          <w:numId w:val="33"/>
        </w:numPr>
        <w:tabs>
          <w:tab w:val="left" w:pos="270"/>
        </w:tabs>
        <w:ind w:left="270" w:hanging="18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We recommend</w:t>
      </w:r>
      <w:r w:rsidRPr="00E85C29">
        <w:rPr>
          <w:rFonts w:ascii="Times New Roman" w:eastAsia="Calibri" w:hAnsi="Times New Roman" w:cs="Times New Roman"/>
          <w:sz w:val="24"/>
          <w:szCs w:val="24"/>
        </w:rPr>
        <w:t xml:space="preserve"> for nephrotic presentation after biopsy diagnosis, to treat with oral steroids for 6m as MCD </w:t>
      </w:r>
      <w:r w:rsidRPr="00E85C29">
        <w:rPr>
          <w:rFonts w:ascii="Times New Roman" w:eastAsia="Calibri" w:hAnsi="Times New Roman" w:cs="Times New Roman"/>
          <w:b/>
          <w:bCs/>
          <w:sz w:val="24"/>
          <w:szCs w:val="24"/>
        </w:rPr>
        <w:t>(2C) KDIGO 12,</w:t>
      </w:r>
      <w:r w:rsidRPr="00E85C29">
        <w:rPr>
          <w:rFonts w:ascii="Times New Roman" w:eastAsia="Calibri" w:hAnsi="Times New Roman" w:cs="Times New Roman"/>
          <w:sz w:val="24"/>
          <w:szCs w:val="24"/>
        </w:rPr>
        <w:t xml:space="preserve"> &amp; fish oil </w:t>
      </w:r>
      <w:r w:rsidRPr="00E85C29">
        <w:rPr>
          <w:rFonts w:ascii="Times New Roman" w:eastAsia="Calibri" w:hAnsi="Times New Roman" w:cs="Times New Roman"/>
          <w:b/>
          <w:bCs/>
          <w:sz w:val="24"/>
          <w:szCs w:val="24"/>
        </w:rPr>
        <w:t>(2D).</w:t>
      </w:r>
      <w:r w:rsidRPr="00E85C29">
        <w:rPr>
          <w:rFonts w:ascii="Times New Roman" w:eastAsia="Calibri" w:hAnsi="Times New Roman" w:cs="Times New Roman"/>
          <w:sz w:val="24"/>
          <w:szCs w:val="24"/>
        </w:rPr>
        <w:t xml:space="preserve"> Patients should continue the follow up as they could relapse after many years </w:t>
      </w:r>
      <w:r w:rsidRPr="00E85C29">
        <w:rPr>
          <w:rFonts w:ascii="Times New Roman" w:eastAsia="Calibri" w:hAnsi="Times New Roman" w:cs="Times New Roman"/>
          <w:b/>
          <w:bCs/>
          <w:sz w:val="24"/>
          <w:szCs w:val="24"/>
        </w:rPr>
        <w:t>KDIGO 21 PP 2.4.5</w:t>
      </w:r>
    </w:p>
    <w:p w14:paraId="049555F7" w14:textId="77777777" w:rsidR="00E85C29" w:rsidRPr="00E85C29" w:rsidRDefault="00E85C29" w:rsidP="00664BE9">
      <w:pPr>
        <w:numPr>
          <w:ilvl w:val="0"/>
          <w:numId w:val="33"/>
        </w:numPr>
        <w:tabs>
          <w:tab w:val="left" w:pos="270"/>
        </w:tabs>
        <w:ind w:left="270" w:hanging="18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If the patient showed rapidly declining GFR (crescent RPGN) manage as ANCA (pulse steroids &amp; cyclophosphamides oral or IV) </w:t>
      </w:r>
      <w:r w:rsidRPr="00E85C29">
        <w:rPr>
          <w:rFonts w:ascii="Times New Roman" w:eastAsia="Calibri" w:hAnsi="Times New Roman" w:cs="Times New Roman"/>
          <w:b/>
          <w:bCs/>
          <w:sz w:val="24"/>
          <w:szCs w:val="24"/>
        </w:rPr>
        <w:t>(2D). PP 2.4.5 KDIGO 2021.</w:t>
      </w:r>
    </w:p>
    <w:p w14:paraId="700F8A7E" w14:textId="18D51F1B" w:rsidR="00E85C29" w:rsidRPr="00E85C29" w:rsidRDefault="00E85C29" w:rsidP="00F44651">
      <w:pPr>
        <w:numPr>
          <w:ilvl w:val="0"/>
          <w:numId w:val="33"/>
        </w:numPr>
        <w:tabs>
          <w:tab w:val="left" w:pos="180"/>
          <w:tab w:val="left" w:pos="36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Those with ESRD we recommend no im</w:t>
      </w:r>
      <w:r w:rsidR="00F44651">
        <w:rPr>
          <w:rFonts w:ascii="Times New Roman" w:eastAsia="Calibri" w:hAnsi="Times New Roman" w:cs="Times New Roman"/>
          <w:sz w:val="24"/>
          <w:szCs w:val="24"/>
        </w:rPr>
        <w:t xml:space="preserve">munosuppressive treatment and </w:t>
      </w:r>
      <w:r w:rsidRPr="00E85C29">
        <w:rPr>
          <w:rFonts w:ascii="Times New Roman" w:eastAsia="Calibri" w:hAnsi="Times New Roman" w:cs="Times New Roman"/>
          <w:sz w:val="24"/>
          <w:szCs w:val="24"/>
        </w:rPr>
        <w:t xml:space="preserve">refer to RRT (Dialysis/ Transplant); </w:t>
      </w:r>
      <w:r w:rsidRPr="00E85C29">
        <w:rPr>
          <w:rFonts w:ascii="Times New Roman" w:eastAsia="Calibri" w:hAnsi="Times New Roman" w:cs="Times New Roman"/>
          <w:b/>
          <w:bCs/>
          <w:sz w:val="24"/>
          <w:szCs w:val="24"/>
        </w:rPr>
        <w:t xml:space="preserve">(2C KDIGO 12), KDIGO 21 PP 2.4.5.  </w:t>
      </w:r>
      <w:r w:rsidR="00F44651" w:rsidRPr="00F44651">
        <w:rPr>
          <w:rFonts w:ascii="Times New Roman" w:eastAsia="Calibri" w:hAnsi="Times New Roman" w:cs="Times New Roman"/>
          <w:b/>
          <w:bCs/>
          <w:color w:val="FF0000"/>
          <w:sz w:val="24"/>
          <w:szCs w:val="24"/>
          <w:highlight w:val="yellow"/>
        </w:rPr>
        <w:t>EPG Fig 5: A &amp; B</w:t>
      </w:r>
      <w:r w:rsidRPr="00F44651">
        <w:rPr>
          <w:rFonts w:ascii="Times New Roman" w:eastAsia="Calibri" w:hAnsi="Times New Roman" w:cs="Times New Roman"/>
          <w:b/>
          <w:bCs/>
          <w:color w:val="FF0000"/>
          <w:sz w:val="24"/>
          <w:szCs w:val="24"/>
        </w:rPr>
        <w:t xml:space="preserve"> </w:t>
      </w:r>
      <w:r w:rsidRPr="00E85C29">
        <w:rPr>
          <w:rFonts w:ascii="Times New Roman" w:eastAsia="Calibri" w:hAnsi="Times New Roman" w:cs="Times New Roman"/>
          <w:b/>
          <w:bCs/>
          <w:color w:val="0070C0"/>
          <w:sz w:val="24"/>
          <w:szCs w:val="24"/>
        </w:rPr>
        <w:t>Appendix</w:t>
      </w:r>
    </w:p>
    <w:p w14:paraId="1F40F298" w14:textId="77777777" w:rsidR="00E85C29" w:rsidRPr="00E85C29" w:rsidRDefault="00E85C29" w:rsidP="00395F40">
      <w:pPr>
        <w:tabs>
          <w:tab w:val="left" w:pos="180"/>
          <w:tab w:val="left" w:pos="360"/>
        </w:tabs>
        <w:ind w:left="360" w:firstLine="0"/>
        <w:jc w:val="left"/>
        <w:rPr>
          <w:rFonts w:ascii="Times New Roman" w:eastAsia="Calibri" w:hAnsi="Times New Roman" w:cs="Times New Roman"/>
          <w:sz w:val="24"/>
          <w:szCs w:val="24"/>
        </w:rPr>
      </w:pPr>
    </w:p>
    <w:p w14:paraId="19A77D93" w14:textId="77777777" w:rsidR="00E85C29" w:rsidRPr="00E85C29" w:rsidRDefault="00E85C29" w:rsidP="00395F40">
      <w:pPr>
        <w:shd w:val="clear" w:color="auto" w:fill="F2F2F2"/>
        <w:ind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3.2.2.E2    IgA Vasculitis</w:t>
      </w:r>
    </w:p>
    <w:p w14:paraId="49892766" w14:textId="77777777" w:rsidR="00E85C29" w:rsidRPr="00E85C29" w:rsidRDefault="00E85C29" w:rsidP="00664BE9">
      <w:pPr>
        <w:numPr>
          <w:ilvl w:val="0"/>
          <w:numId w:val="34"/>
        </w:numPr>
        <w:tabs>
          <w:tab w:val="left" w:pos="27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not to use steroids to prevent nephritis in </w:t>
      </w:r>
      <w:proofErr w:type="spellStart"/>
      <w:r w:rsidRPr="00E85C29">
        <w:rPr>
          <w:rFonts w:ascii="Times New Roman" w:eastAsia="Calibri" w:hAnsi="Times New Roman" w:cs="Times New Roman"/>
          <w:sz w:val="24"/>
          <w:szCs w:val="24"/>
        </w:rPr>
        <w:t>IgAV</w:t>
      </w:r>
      <w:proofErr w:type="spellEnd"/>
      <w:r w:rsidRPr="00E85C29">
        <w:rPr>
          <w:rFonts w:ascii="Times New Roman" w:eastAsia="Calibri" w:hAnsi="Times New Roman" w:cs="Times New Roman"/>
          <w:sz w:val="24"/>
          <w:szCs w:val="24"/>
        </w:rPr>
        <w:t xml:space="preserve"> with extra renal manifestations </w:t>
      </w:r>
      <w:r w:rsidRPr="00E85C29">
        <w:rPr>
          <w:rFonts w:ascii="Times New Roman" w:eastAsia="Calibri" w:hAnsi="Times New Roman" w:cs="Times New Roman"/>
          <w:b/>
          <w:bCs/>
          <w:sz w:val="24"/>
          <w:szCs w:val="24"/>
        </w:rPr>
        <w:t>(1B) KDIGO 2012, 2021.</w:t>
      </w:r>
      <w:r w:rsidRPr="00E85C29">
        <w:rPr>
          <w:rFonts w:ascii="Times New Roman" w:eastAsia="Calibri" w:hAnsi="Times New Roman" w:cs="Times New Roman"/>
          <w:sz w:val="24"/>
          <w:szCs w:val="24"/>
        </w:rPr>
        <w:t xml:space="preserve"> Most children will develop nephritis within 3 months of presentation. Urinary monitoring is necessary for &gt;-6 months and optimally 12 months from initial presentation of systemic disease.</w:t>
      </w:r>
    </w:p>
    <w:p w14:paraId="2DB95A55" w14:textId="77777777" w:rsidR="00E85C29" w:rsidRPr="00E85C29" w:rsidRDefault="00E85C29" w:rsidP="00664BE9">
      <w:pPr>
        <w:numPr>
          <w:ilvl w:val="0"/>
          <w:numId w:val="34"/>
        </w:numPr>
        <w:tabs>
          <w:tab w:val="left" w:pos="270"/>
        </w:tabs>
        <w:ind w:left="270" w:hanging="18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recommend for those with non-nephrotic range of proteinuria supportive treatment (RASi) with follow up urinary monitoring.  Patients with progressive proteinuria despite RASi treatment should be identified for early diagnosis of NS. </w:t>
      </w:r>
      <w:r w:rsidRPr="00E85C29">
        <w:rPr>
          <w:rFonts w:ascii="Times New Roman" w:eastAsia="Calibri" w:hAnsi="Times New Roman" w:cs="Times New Roman"/>
          <w:b/>
          <w:bCs/>
          <w:sz w:val="24"/>
          <w:szCs w:val="24"/>
        </w:rPr>
        <w:t>(2D) KDIGO 2012, PP 2.7.1. PP 2.8.1 KDIGO 2021</w:t>
      </w:r>
    </w:p>
    <w:p w14:paraId="3ACB4665" w14:textId="77777777" w:rsidR="00E85C29" w:rsidRPr="00E85C29" w:rsidRDefault="00E85C29" w:rsidP="00664BE9">
      <w:pPr>
        <w:numPr>
          <w:ilvl w:val="0"/>
          <w:numId w:val="34"/>
        </w:numPr>
        <w:ind w:left="270" w:hanging="18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recommend for children with nephrotic range proteinuria with low GFR, but &gt;30 or slow decline of GFR oral prednisone or pulse MPD 6m </w:t>
      </w:r>
      <w:r w:rsidRPr="00E85C29">
        <w:rPr>
          <w:rFonts w:ascii="Times New Roman" w:eastAsia="Calibri" w:hAnsi="Times New Roman" w:cs="Times New Roman"/>
          <w:b/>
          <w:bCs/>
          <w:sz w:val="24"/>
          <w:szCs w:val="24"/>
        </w:rPr>
        <w:t>(2D) KDIGO 12, KDIGO 21 PP 2.8. 1.</w:t>
      </w:r>
    </w:p>
    <w:p w14:paraId="23587087" w14:textId="77777777" w:rsidR="00E85C29" w:rsidRPr="00E85C29" w:rsidRDefault="00E85C29" w:rsidP="00664BE9">
      <w:pPr>
        <w:numPr>
          <w:ilvl w:val="0"/>
          <w:numId w:val="34"/>
        </w:numPr>
        <w:tabs>
          <w:tab w:val="left" w:pos="18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for children with nephrotic syndrome and or RPGN (crescents) pulse MPD or oral steroids with cyclophosphamide or rituximab 2-3m + PE, Maintenance MMF or Azathioprine </w:t>
      </w:r>
      <w:r w:rsidRPr="00E85C29">
        <w:rPr>
          <w:rFonts w:ascii="Times New Roman" w:eastAsia="Calibri" w:hAnsi="Times New Roman" w:cs="Times New Roman"/>
          <w:b/>
          <w:bCs/>
          <w:sz w:val="24"/>
          <w:szCs w:val="24"/>
        </w:rPr>
        <w:t>(2D) KDIGO 12, KDIGO 21. PP: 2.8.1</w:t>
      </w:r>
    </w:p>
    <w:p w14:paraId="12E1AABC" w14:textId="77777777" w:rsidR="00E85C29" w:rsidRPr="00E85C29" w:rsidRDefault="00E85C29" w:rsidP="00395F40">
      <w:pPr>
        <w:tabs>
          <w:tab w:val="left" w:pos="180"/>
        </w:tabs>
        <w:ind w:left="270" w:firstLine="0"/>
        <w:jc w:val="left"/>
        <w:rPr>
          <w:rFonts w:ascii="Times New Roman" w:eastAsia="Calibri" w:hAnsi="Times New Roman" w:cs="Times New Roman"/>
          <w:sz w:val="24"/>
          <w:szCs w:val="24"/>
        </w:rPr>
      </w:pPr>
    </w:p>
    <w:p w14:paraId="765FB0E8" w14:textId="1487D98E" w:rsidR="00E85C29" w:rsidRPr="00E85C29" w:rsidRDefault="00E85C29" w:rsidP="00664BE9">
      <w:pPr>
        <w:shd w:val="clear" w:color="auto" w:fill="F2F2F2"/>
        <w:ind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3.2.2.F           MEMBRANO PROLIFERATIVE    C3G/DDD</w:t>
      </w:r>
      <w:r w:rsidR="0086455B">
        <w:rPr>
          <w:rFonts w:ascii="Times New Roman" w:eastAsia="Calibri" w:hAnsi="Times New Roman" w:cs="Times New Roman"/>
          <w:b/>
          <w:bCs/>
          <w:sz w:val="24"/>
          <w:szCs w:val="24"/>
        </w:rPr>
        <w:t xml:space="preserve">    </w:t>
      </w:r>
      <w:r w:rsidR="0086455B" w:rsidRPr="003D69F2">
        <w:rPr>
          <w:rFonts w:ascii="Times New Roman" w:eastAsia="Calibri" w:hAnsi="Times New Roman" w:cs="Times New Roman"/>
          <w:b/>
          <w:bCs/>
          <w:color w:val="FF0000"/>
          <w:sz w:val="24"/>
          <w:szCs w:val="24"/>
          <w:highlight w:val="yellow"/>
        </w:rPr>
        <w:t xml:space="preserve">EPG </w:t>
      </w:r>
      <w:r w:rsidR="00F44651">
        <w:rPr>
          <w:rFonts w:ascii="Times New Roman" w:eastAsia="Calibri" w:hAnsi="Times New Roman" w:cs="Times New Roman"/>
          <w:b/>
          <w:bCs/>
          <w:color w:val="FF0000"/>
          <w:sz w:val="24"/>
          <w:szCs w:val="24"/>
          <w:highlight w:val="yellow"/>
        </w:rPr>
        <w:t>Fig 6</w:t>
      </w:r>
    </w:p>
    <w:p w14:paraId="5012A07A" w14:textId="77777777" w:rsidR="00E85C29" w:rsidRPr="00E85C29" w:rsidRDefault="00E85C29" w:rsidP="00664BE9">
      <w:pPr>
        <w:shd w:val="clear" w:color="auto" w:fill="FFFFFF"/>
        <w:ind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3.2.2.F1     Management of C3GN National Guideline suggest for management of C3GN</w:t>
      </w:r>
    </w:p>
    <w:p w14:paraId="75A34D3F" w14:textId="77777777" w:rsidR="00E85C29" w:rsidRPr="00E85C29" w:rsidRDefault="00E85C29" w:rsidP="00664BE9">
      <w:pPr>
        <w:ind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3.2.2.F1:</w:t>
      </w:r>
    </w:p>
    <w:p w14:paraId="14D75D6E" w14:textId="77777777" w:rsidR="00E85C29" w:rsidRPr="00E85C29" w:rsidRDefault="00E85C29" w:rsidP="00664BE9">
      <w:pPr>
        <w:numPr>
          <w:ilvl w:val="0"/>
          <w:numId w:val="35"/>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Evaluate patients with membrane- proliferative changes to rule out infection related GN or post infectious GN (bacterial, viral, parasitic), and those secondary to lupus and drugs prior to assigning the diagnosis of C3 glomerulopathy (C3G). </w:t>
      </w:r>
      <w:r w:rsidRPr="00E85C29">
        <w:rPr>
          <w:rFonts w:ascii="Times New Roman" w:eastAsia="Calibri" w:hAnsi="Times New Roman" w:cs="Times New Roman"/>
          <w:b/>
          <w:bCs/>
          <w:sz w:val="24"/>
          <w:szCs w:val="24"/>
        </w:rPr>
        <w:t>KDIGO 2021 PP 8.1.4</w:t>
      </w:r>
      <w:r w:rsidRPr="00E85C29">
        <w:rPr>
          <w:rFonts w:ascii="Times New Roman" w:eastAsia="Calibri" w:hAnsi="Times New Roman" w:cs="Times New Roman"/>
          <w:sz w:val="24"/>
          <w:szCs w:val="24"/>
        </w:rPr>
        <w:t>.</w:t>
      </w:r>
    </w:p>
    <w:p w14:paraId="2527FC09" w14:textId="77777777" w:rsidR="00E85C29" w:rsidRPr="00E85C29" w:rsidRDefault="00E85C29" w:rsidP="00664BE9">
      <w:pPr>
        <w:numPr>
          <w:ilvl w:val="0"/>
          <w:numId w:val="35"/>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If no underlying etiology, all patients with C3GN should undergo measurement of serum levels of complement proteins, split products. (C3, CFB, CFH, CFHR5, CFI) and autoantibodies </w:t>
      </w:r>
      <w:r w:rsidRPr="00E85C29">
        <w:rPr>
          <w:rFonts w:ascii="Times New Roman" w:eastAsia="Calibri" w:hAnsi="Times New Roman" w:cs="Times New Roman"/>
          <w:b/>
          <w:bCs/>
          <w:sz w:val="24"/>
          <w:szCs w:val="24"/>
        </w:rPr>
        <w:t>KDIGO2021 PP: 8.1.3.</w:t>
      </w:r>
    </w:p>
    <w:p w14:paraId="09FCAC28" w14:textId="77777777" w:rsidR="00E85C29" w:rsidRPr="00E85C29" w:rsidRDefault="00E85C29" w:rsidP="00664BE9">
      <w:pPr>
        <w:numPr>
          <w:ilvl w:val="0"/>
          <w:numId w:val="35"/>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Mutation types give poor response to MMF  </w:t>
      </w:r>
      <w:r w:rsidRPr="00E85C29">
        <w:rPr>
          <w:rFonts w:ascii="Times New Roman" w:eastAsia="Calibri" w:hAnsi="Times New Roman" w:cs="Times New Roman"/>
          <w:b/>
          <w:bCs/>
          <w:color w:val="4472C4"/>
          <w:sz w:val="24"/>
          <w:szCs w:val="24"/>
        </w:rPr>
        <w:t>[</w:t>
      </w:r>
      <w:proofErr w:type="spellStart"/>
      <w:r w:rsidRPr="00E85C29">
        <w:rPr>
          <w:rFonts w:ascii="Times New Roman" w:eastAsia="Calibri" w:hAnsi="Times New Roman" w:cs="Times New Roman"/>
          <w:b/>
          <w:bCs/>
          <w:color w:val="4472C4"/>
          <w:sz w:val="24"/>
          <w:szCs w:val="24"/>
        </w:rPr>
        <w:t>Goodship</w:t>
      </w:r>
      <w:proofErr w:type="spellEnd"/>
      <w:r w:rsidRPr="00E85C29">
        <w:rPr>
          <w:rFonts w:ascii="Times New Roman" w:eastAsia="Calibri" w:hAnsi="Times New Roman" w:cs="Times New Roman"/>
          <w:b/>
          <w:bCs/>
          <w:color w:val="4472C4"/>
          <w:sz w:val="24"/>
          <w:szCs w:val="24"/>
        </w:rPr>
        <w:t xml:space="preserve"> 2017</w:t>
      </w:r>
      <w:r w:rsidRPr="00E85C29">
        <w:rPr>
          <w:rFonts w:ascii="Times New Roman" w:eastAsia="Calibri" w:hAnsi="Times New Roman" w:cs="Times New Roman"/>
          <w:b/>
          <w:bCs/>
          <w:sz w:val="24"/>
          <w:szCs w:val="24"/>
        </w:rPr>
        <w:t>] P 542</w:t>
      </w:r>
    </w:p>
    <w:p w14:paraId="3D652790" w14:textId="77777777" w:rsidR="00E85C29" w:rsidRPr="00E85C29" w:rsidRDefault="00E85C29" w:rsidP="00664BE9">
      <w:pPr>
        <w:numPr>
          <w:ilvl w:val="0"/>
          <w:numId w:val="35"/>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Idiopathic forms are rare and diagnosed after exclusion of secondary and genetic types.</w:t>
      </w:r>
    </w:p>
    <w:p w14:paraId="6CAB9F85" w14:textId="77777777" w:rsidR="00E85C29" w:rsidRPr="00E85C29" w:rsidRDefault="00E85C29" w:rsidP="00664BE9">
      <w:pPr>
        <w:ind w:left="90" w:firstLine="0"/>
        <w:rPr>
          <w:rFonts w:ascii="Times New Roman" w:eastAsia="Calibri" w:hAnsi="Times New Roman" w:cs="Times New Roman"/>
          <w:b/>
          <w:bCs/>
          <w:sz w:val="24"/>
          <w:szCs w:val="24"/>
        </w:rPr>
      </w:pPr>
    </w:p>
    <w:p w14:paraId="0F1393DA" w14:textId="77777777" w:rsidR="00E85C29" w:rsidRPr="00E85C29" w:rsidRDefault="00E85C29" w:rsidP="00664BE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 F2: Treatment recommendations</w:t>
      </w:r>
    </w:p>
    <w:p w14:paraId="7D1BC046" w14:textId="77777777" w:rsidR="00E85C29" w:rsidRPr="00E85C29" w:rsidRDefault="00E85C29" w:rsidP="00664BE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The key to optimal treatment of MPGN likely, will depend on identification of the underlying cause and may include immunosuppressive therapy, chemotherapy for patients with mono clonal gammopathy disorders or complement regulatory therapies directed at the C3 convertase or terminal complement pathway. </w:t>
      </w:r>
      <w:r w:rsidRPr="00E85C29">
        <w:rPr>
          <w:rFonts w:ascii="Times New Roman" w:eastAsia="Calibri" w:hAnsi="Times New Roman" w:cs="Times New Roman"/>
          <w:color w:val="0070C0"/>
          <w:sz w:val="24"/>
          <w:szCs w:val="24"/>
        </w:rPr>
        <w:t>[</w:t>
      </w:r>
      <w:proofErr w:type="spellStart"/>
      <w:r w:rsidRPr="00E85C29">
        <w:rPr>
          <w:rFonts w:ascii="Times New Roman" w:eastAsia="Calibri" w:hAnsi="Times New Roman" w:cs="Times New Roman"/>
          <w:b/>
          <w:bCs/>
          <w:color w:val="0070C0"/>
          <w:sz w:val="24"/>
          <w:szCs w:val="24"/>
        </w:rPr>
        <w:t>Cybulsky</w:t>
      </w:r>
      <w:proofErr w:type="spellEnd"/>
      <w:r w:rsidRPr="00E85C29">
        <w:rPr>
          <w:rFonts w:ascii="Times New Roman" w:eastAsia="Calibri" w:hAnsi="Times New Roman" w:cs="Times New Roman"/>
          <w:b/>
          <w:bCs/>
          <w:color w:val="0070C0"/>
          <w:sz w:val="24"/>
          <w:szCs w:val="24"/>
        </w:rPr>
        <w:t xml:space="preserve"> et al 2014].</w:t>
      </w:r>
    </w:p>
    <w:p w14:paraId="2CAC3278" w14:textId="77777777" w:rsidR="00E85C29" w:rsidRPr="00E85C29" w:rsidRDefault="00E85C29" w:rsidP="00664BE9">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The optimal management of many of the disorders that have an MPGN injury pattern remains to be defined. Unless otherwise indicated, the practice points offered below by </w:t>
      </w:r>
      <w:r w:rsidRPr="00E85C29">
        <w:rPr>
          <w:rFonts w:ascii="Times New Roman" w:eastAsia="Calibri" w:hAnsi="Times New Roman" w:cs="Times New Roman"/>
          <w:b/>
          <w:bCs/>
          <w:sz w:val="24"/>
          <w:szCs w:val="24"/>
        </w:rPr>
        <w:t>KDIGO 2021</w:t>
      </w:r>
      <w:r w:rsidRPr="00E85C29">
        <w:rPr>
          <w:rFonts w:ascii="Times New Roman" w:eastAsia="Calibri" w:hAnsi="Times New Roman" w:cs="Times New Roman"/>
          <w:sz w:val="24"/>
          <w:szCs w:val="24"/>
        </w:rPr>
        <w:t xml:space="preserve"> are based upon </w:t>
      </w:r>
      <w:r w:rsidRPr="00E85C29">
        <w:rPr>
          <w:rFonts w:ascii="Times New Roman" w:eastAsia="Calibri" w:hAnsi="Times New Roman" w:cs="Times New Roman"/>
          <w:b/>
          <w:bCs/>
          <w:sz w:val="24"/>
          <w:szCs w:val="24"/>
        </w:rPr>
        <w:t>very low -quality evidence</w:t>
      </w:r>
      <w:r w:rsidRPr="00E85C29">
        <w:rPr>
          <w:rFonts w:ascii="Times New Roman" w:eastAsia="Calibri" w:hAnsi="Times New Roman" w:cs="Times New Roman"/>
          <w:sz w:val="24"/>
          <w:szCs w:val="24"/>
        </w:rPr>
        <w:t xml:space="preserve">, clinical experience, and expert opinion. Treatment is often </w:t>
      </w:r>
      <w:r w:rsidRPr="00E85C29">
        <w:rPr>
          <w:rFonts w:ascii="Times New Roman" w:eastAsia="Calibri" w:hAnsi="Times New Roman" w:cs="Times New Roman"/>
          <w:b/>
          <w:bCs/>
          <w:sz w:val="24"/>
          <w:szCs w:val="24"/>
        </w:rPr>
        <w:t>influenced by degree of proteinuria and kidney dysfunction</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KDIGO 2021</w:t>
      </w:r>
    </w:p>
    <w:p w14:paraId="6518F4F1" w14:textId="77777777" w:rsidR="00E85C29" w:rsidRPr="00E85C29" w:rsidRDefault="00E85C29" w:rsidP="00664BE9">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National Guidelines Suggests:</w:t>
      </w:r>
    </w:p>
    <w:p w14:paraId="0979A91B" w14:textId="77777777" w:rsidR="00E85C29" w:rsidRPr="00E85C29" w:rsidRDefault="00E85C29" w:rsidP="00664BE9">
      <w:pPr>
        <w:numPr>
          <w:ilvl w:val="0"/>
          <w:numId w:val="35"/>
        </w:numPr>
        <w:tabs>
          <w:tab w:val="left" w:pos="27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When the cause is determined, the initial approach to treatment should focus on the underlying pathologic process</w:t>
      </w:r>
      <w:r w:rsidRPr="00E85C29">
        <w:rPr>
          <w:rFonts w:ascii="Times New Roman" w:eastAsia="Calibri" w:hAnsi="Times New Roman" w:cs="Times New Roman"/>
          <w:b/>
          <w:bCs/>
          <w:sz w:val="24"/>
          <w:szCs w:val="24"/>
        </w:rPr>
        <w:t>. PP 8.2.1.1.</w:t>
      </w:r>
    </w:p>
    <w:p w14:paraId="1B592556" w14:textId="77777777" w:rsidR="00E85C29" w:rsidRPr="00E85C29" w:rsidRDefault="00E85C29" w:rsidP="00664BE9">
      <w:pPr>
        <w:numPr>
          <w:ilvl w:val="0"/>
          <w:numId w:val="35"/>
        </w:numPr>
        <w:tabs>
          <w:tab w:val="left" w:pos="27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For Indolent MPGN, whether idiopathic or linked to a primary cause, is best managed with supportive treatment and only carefully considered immunosuppression </w:t>
      </w:r>
      <w:r w:rsidRPr="00E85C29">
        <w:rPr>
          <w:rFonts w:ascii="Times New Roman" w:eastAsia="Calibri" w:hAnsi="Times New Roman" w:cs="Times New Roman"/>
          <w:b/>
          <w:bCs/>
          <w:sz w:val="24"/>
          <w:szCs w:val="24"/>
        </w:rPr>
        <w:t>PP 8.2.1.2.</w:t>
      </w:r>
    </w:p>
    <w:p w14:paraId="45FA1461" w14:textId="77777777" w:rsidR="00E85C29" w:rsidRPr="00E85C29" w:rsidRDefault="00E85C29" w:rsidP="00664BE9">
      <w:pPr>
        <w:numPr>
          <w:ilvl w:val="0"/>
          <w:numId w:val="35"/>
        </w:numPr>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Idiopathic MPGN with non-nephrotic range proteinuria, normal GFR, we suggest supportive </w:t>
      </w:r>
      <w:r w:rsidR="00664BE9">
        <w:rPr>
          <w:rFonts w:ascii="Times New Roman" w:eastAsia="Calibri" w:hAnsi="Times New Roman" w:cs="Times New Roman"/>
          <w:sz w:val="24"/>
          <w:szCs w:val="24"/>
        </w:rPr>
        <w:t xml:space="preserve">  </w:t>
      </w:r>
      <w:r w:rsidRPr="00E85C29">
        <w:rPr>
          <w:rFonts w:ascii="Times New Roman" w:eastAsia="Calibri" w:hAnsi="Times New Roman" w:cs="Times New Roman"/>
          <w:sz w:val="24"/>
          <w:szCs w:val="24"/>
        </w:rPr>
        <w:t xml:space="preserve">therapy alone RASi  </w:t>
      </w:r>
      <w:r w:rsidRPr="00E85C29">
        <w:rPr>
          <w:rFonts w:ascii="Times New Roman" w:eastAsia="Calibri" w:hAnsi="Times New Roman" w:cs="Times New Roman"/>
          <w:b/>
          <w:bCs/>
          <w:sz w:val="24"/>
          <w:szCs w:val="24"/>
        </w:rPr>
        <w:t>PP 8.2.1.3.</w:t>
      </w:r>
    </w:p>
    <w:p w14:paraId="25ECB9A9" w14:textId="77777777" w:rsidR="00E85C29" w:rsidRPr="00E85C29" w:rsidRDefault="00E85C29" w:rsidP="00664BE9">
      <w:pPr>
        <w:numPr>
          <w:ilvl w:val="0"/>
          <w:numId w:val="35"/>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Idiopathic MPGN/NS with normal GFR: we suggest limited treatment course of corticosteroids.</w:t>
      </w:r>
    </w:p>
    <w:p w14:paraId="059B5BDE" w14:textId="77777777" w:rsidR="00E85C29" w:rsidRPr="00E85C29" w:rsidRDefault="00E85C29" w:rsidP="00664BE9">
      <w:pPr>
        <w:numPr>
          <w:ilvl w:val="0"/>
          <w:numId w:val="35"/>
        </w:numPr>
        <w:tabs>
          <w:tab w:val="left" w:pos="27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Idiopathic MPGN with impaired renal function and without</w:t>
      </w:r>
      <w:r w:rsidRPr="00E85C29">
        <w:rPr>
          <w:rFonts w:ascii="Times New Roman" w:eastAsia="Calibri" w:hAnsi="Times New Roman" w:cs="Times New Roman"/>
          <w:sz w:val="24"/>
          <w:szCs w:val="24"/>
          <w:u w:val="single"/>
        </w:rPr>
        <w:t xml:space="preserve"> crescentic involvement,</w:t>
      </w:r>
      <w:r w:rsidRPr="00E85C29">
        <w:rPr>
          <w:rFonts w:ascii="Times New Roman" w:eastAsia="Calibri" w:hAnsi="Times New Roman" w:cs="Times New Roman"/>
          <w:sz w:val="24"/>
          <w:szCs w:val="24"/>
        </w:rPr>
        <w:t xml:space="preserve"> (with or without nephrotic-range proteinuria), corticosteroids immunosuppressive therapy (as MMF, cyclophosphamide, </w:t>
      </w:r>
      <w:r w:rsidR="00664BE9" w:rsidRPr="00E85C29">
        <w:rPr>
          <w:rFonts w:ascii="Times New Roman" w:eastAsia="Calibri" w:hAnsi="Times New Roman" w:cs="Times New Roman"/>
          <w:sz w:val="24"/>
          <w:szCs w:val="24"/>
        </w:rPr>
        <w:t>and rituximab</w:t>
      </w:r>
      <w:r w:rsidRPr="00E85C29">
        <w:rPr>
          <w:rFonts w:ascii="Times New Roman" w:eastAsia="Calibri" w:hAnsi="Times New Roman" w:cs="Times New Roman"/>
          <w:sz w:val="24"/>
          <w:szCs w:val="24"/>
        </w:rPr>
        <w:t xml:space="preserve">) should be added. </w:t>
      </w:r>
      <w:r w:rsidR="00664BE9" w:rsidRPr="00664BE9">
        <w:rPr>
          <w:rFonts w:ascii="Times New Roman" w:eastAsia="Calibri" w:hAnsi="Times New Roman" w:cs="Times New Roman"/>
          <w:b/>
          <w:bCs/>
          <w:sz w:val="24"/>
          <w:szCs w:val="24"/>
        </w:rPr>
        <w:t>PP</w:t>
      </w:r>
      <w:r w:rsidR="00664BE9">
        <w:rPr>
          <w:rFonts w:ascii="Times New Roman" w:eastAsia="Calibri" w:hAnsi="Times New Roman" w:cs="Times New Roman"/>
          <w:b/>
          <w:bCs/>
          <w:sz w:val="24"/>
          <w:szCs w:val="24"/>
        </w:rPr>
        <w:t xml:space="preserve"> 8.</w:t>
      </w:r>
      <w:r w:rsidRPr="00664BE9">
        <w:rPr>
          <w:rFonts w:ascii="Times New Roman" w:eastAsia="Calibri" w:hAnsi="Times New Roman" w:cs="Times New Roman"/>
          <w:b/>
          <w:bCs/>
          <w:sz w:val="24"/>
          <w:szCs w:val="24"/>
        </w:rPr>
        <w:t>2.1.5.</w:t>
      </w:r>
    </w:p>
    <w:p w14:paraId="34201476" w14:textId="77777777" w:rsidR="00E85C29" w:rsidRPr="00664BE9" w:rsidRDefault="00E85C29" w:rsidP="00664BE9">
      <w:pPr>
        <w:numPr>
          <w:ilvl w:val="0"/>
          <w:numId w:val="35"/>
        </w:numPr>
        <w:tabs>
          <w:tab w:val="left" w:pos="270"/>
        </w:tabs>
        <w:ind w:left="360" w:hanging="27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Worsening of the kidney function suggests repeat biopsy. Persistent active lesions indicate switch to cyclophosphamide or rituximab </w:t>
      </w:r>
      <w:r w:rsidRPr="00664BE9">
        <w:rPr>
          <w:rFonts w:ascii="Times New Roman" w:eastAsia="Calibri" w:hAnsi="Times New Roman" w:cs="Times New Roman"/>
          <w:b/>
          <w:bCs/>
          <w:sz w:val="24"/>
          <w:szCs w:val="24"/>
        </w:rPr>
        <w:t>PP</w:t>
      </w:r>
      <w:r w:rsidR="00664BE9" w:rsidRPr="00664BE9">
        <w:rPr>
          <w:rFonts w:ascii="Times New Roman" w:eastAsia="Calibri" w:hAnsi="Times New Roman" w:cs="Times New Roman"/>
          <w:b/>
          <w:bCs/>
          <w:sz w:val="24"/>
          <w:szCs w:val="24"/>
        </w:rPr>
        <w:t xml:space="preserve"> </w:t>
      </w:r>
      <w:r w:rsidRPr="00664BE9">
        <w:rPr>
          <w:rFonts w:ascii="Times New Roman" w:eastAsia="Calibri" w:hAnsi="Times New Roman" w:cs="Times New Roman"/>
          <w:b/>
          <w:bCs/>
          <w:sz w:val="24"/>
          <w:szCs w:val="24"/>
        </w:rPr>
        <w:t>8.2.1.5.</w:t>
      </w:r>
    </w:p>
    <w:p w14:paraId="4DBDD147" w14:textId="77777777" w:rsidR="00E85C29" w:rsidRPr="00E85C29" w:rsidRDefault="00E85C29" w:rsidP="00664BE9">
      <w:pPr>
        <w:numPr>
          <w:ilvl w:val="0"/>
          <w:numId w:val="36"/>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For patients presenting with rapidly progressive crescentic </w:t>
      </w:r>
      <w:r w:rsidRPr="00E85C29">
        <w:rPr>
          <w:rFonts w:ascii="Times New Roman" w:eastAsia="Calibri" w:hAnsi="Times New Roman" w:cs="Times New Roman"/>
          <w:b/>
          <w:bCs/>
          <w:sz w:val="24"/>
          <w:szCs w:val="24"/>
        </w:rPr>
        <w:t>(RPGN)</w:t>
      </w:r>
    </w:p>
    <w:p w14:paraId="0612658A" w14:textId="77777777" w:rsidR="00E85C29" w:rsidRPr="00E85C29" w:rsidRDefault="00E85C29" w:rsidP="00664BE9">
      <w:pPr>
        <w:ind w:left="27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lastRenderedPageBreak/>
        <w:t xml:space="preserve">initiate treatment with   IV MPD (oral glucocorticoids (1-3 g) 6 doses (2w) followed by oral glucocorticoids associated with oral CYP or monthly IV CYP 6 m   using a similar regimen used for patients with ANCA associated vasculitis. Consider MMF or azathioprine as maintenance therapy for 18 months.  with slow taper of glucocorticoids in 6m. of its start. </w:t>
      </w:r>
      <w:r w:rsidRPr="00E85C29">
        <w:rPr>
          <w:rFonts w:ascii="Times New Roman" w:eastAsia="Calibri" w:hAnsi="Times New Roman" w:cs="Times New Roman"/>
          <w:b/>
          <w:bCs/>
          <w:sz w:val="24"/>
          <w:szCs w:val="24"/>
        </w:rPr>
        <w:t>KDIGO 2021 PP 8.2.1.6</w:t>
      </w:r>
    </w:p>
    <w:p w14:paraId="0ACE2352" w14:textId="77777777" w:rsidR="00E85C29" w:rsidRPr="00E85C29" w:rsidRDefault="00E85C29" w:rsidP="00664BE9">
      <w:pPr>
        <w:numPr>
          <w:ilvl w:val="0"/>
          <w:numId w:val="36"/>
        </w:numPr>
        <w:ind w:left="360" w:hanging="27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Idiopathic MPGN</w:t>
      </w:r>
      <w:r w:rsidRPr="00E85C29">
        <w:rPr>
          <w:rFonts w:ascii="Times New Roman" w:eastAsia="Calibri" w:hAnsi="Times New Roman" w:cs="Times New Roman"/>
          <w:sz w:val="24"/>
          <w:szCs w:val="24"/>
        </w:rPr>
        <w:t xml:space="preserve"> with GFR &lt;30 ml/min/1.7 m2 should be treated with supportive care and refer to dialysis/ transplant </w:t>
      </w:r>
      <w:r w:rsidRPr="00E85C29">
        <w:rPr>
          <w:rFonts w:ascii="Times New Roman" w:eastAsia="Calibri" w:hAnsi="Times New Roman" w:cs="Times New Roman"/>
          <w:b/>
          <w:bCs/>
          <w:sz w:val="24"/>
          <w:szCs w:val="24"/>
        </w:rPr>
        <w:t>PP8.2.1.7.</w:t>
      </w:r>
    </w:p>
    <w:p w14:paraId="212DBF82" w14:textId="77777777" w:rsidR="00E85C29" w:rsidRPr="00E85C29" w:rsidRDefault="00E85C29" w:rsidP="00664BE9">
      <w:pPr>
        <w:numPr>
          <w:ilvl w:val="0"/>
          <w:numId w:val="36"/>
        </w:numPr>
        <w:tabs>
          <w:tab w:val="left" w:pos="270"/>
        </w:tabs>
        <w:ind w:left="270" w:hanging="18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For C3DDD,</w:t>
      </w:r>
      <w:r w:rsidRPr="00E85C29">
        <w:rPr>
          <w:rFonts w:ascii="Times New Roman" w:eastAsia="Calibri" w:hAnsi="Times New Roman" w:cs="Times New Roman"/>
          <w:sz w:val="24"/>
          <w:szCs w:val="24"/>
        </w:rPr>
        <w:t xml:space="preserve"> In the absence of a monoclonal gammopathy, </w:t>
      </w:r>
      <w:r w:rsidRPr="00E85C29">
        <w:rPr>
          <w:rFonts w:ascii="Times New Roman" w:eastAsia="Calibri" w:hAnsi="Times New Roman" w:cs="Times New Roman"/>
          <w:sz w:val="24"/>
          <w:szCs w:val="24"/>
          <w:u w:val="single"/>
        </w:rPr>
        <w:t>C3G in</w:t>
      </w:r>
      <w:r w:rsidRPr="00E85C29">
        <w:rPr>
          <w:rFonts w:ascii="Times New Roman" w:eastAsia="Calibri" w:hAnsi="Times New Roman" w:cs="Times New Roman"/>
          <w:sz w:val="24"/>
          <w:szCs w:val="24"/>
        </w:rPr>
        <w:t xml:space="preserve"> patients with moderate to severe disease should be treated initially with MMF plus glucocorticoids, and if fails eculizumab should be considered </w:t>
      </w:r>
      <w:r w:rsidRPr="00E85C29">
        <w:rPr>
          <w:rFonts w:ascii="Times New Roman" w:eastAsia="Calibri" w:hAnsi="Times New Roman" w:cs="Times New Roman"/>
          <w:b/>
          <w:bCs/>
          <w:sz w:val="24"/>
          <w:szCs w:val="24"/>
        </w:rPr>
        <w:t>KDIGO 2021 PP .2.2.1.</w:t>
      </w:r>
      <w:r w:rsidRPr="00E85C29">
        <w:rPr>
          <w:rFonts w:ascii="Times New Roman" w:eastAsia="Calibri" w:hAnsi="Times New Roman" w:cs="Times New Roman"/>
          <w:sz w:val="24"/>
          <w:szCs w:val="24"/>
        </w:rPr>
        <w:t xml:space="preserve"> We recommend PE +/- Immunosuppressives (MMF or Azathioprine) Start with MMF 6 M, IF high titer for anti FH, FB, FI &amp; if failed start Eculizumab. </w:t>
      </w:r>
      <w:r w:rsidRPr="00E85C29">
        <w:rPr>
          <w:rFonts w:ascii="Times New Roman" w:eastAsia="Calibri" w:hAnsi="Times New Roman" w:cs="Times New Roman"/>
          <w:b/>
          <w:bCs/>
          <w:color w:val="0070C0"/>
          <w:sz w:val="24"/>
          <w:szCs w:val="24"/>
        </w:rPr>
        <w:t>[Smith et al 2019]</w:t>
      </w:r>
    </w:p>
    <w:p w14:paraId="731892F9" w14:textId="77777777" w:rsidR="00E85C29" w:rsidRPr="00E85C29" w:rsidRDefault="00E85C29" w:rsidP="00395F40">
      <w:pPr>
        <w:tabs>
          <w:tab w:val="left" w:pos="270"/>
        </w:tabs>
        <w:ind w:left="90" w:firstLine="0"/>
        <w:jc w:val="left"/>
        <w:rPr>
          <w:rFonts w:ascii="Times New Roman" w:eastAsia="Calibri" w:hAnsi="Times New Roman" w:cs="Times New Roman"/>
          <w:sz w:val="24"/>
          <w:szCs w:val="24"/>
        </w:rPr>
      </w:pPr>
    </w:p>
    <w:p w14:paraId="10CB55DE" w14:textId="77777777" w:rsidR="00E85C29" w:rsidRPr="00E85C29" w:rsidRDefault="00E85C29" w:rsidP="00395F40">
      <w:pPr>
        <w:shd w:val="clear" w:color="auto" w:fill="FFFFFF"/>
        <w:tabs>
          <w:tab w:val="left" w:pos="360"/>
        </w:tabs>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R3.2.2.F3      Transplantation &amp; C3GN</w:t>
      </w:r>
    </w:p>
    <w:p w14:paraId="63A9DF6B" w14:textId="77777777" w:rsidR="00E85C29" w:rsidRPr="00E85C29" w:rsidRDefault="00E85C29" w:rsidP="00395F40">
      <w:pPr>
        <w:tabs>
          <w:tab w:val="left" w:pos="360"/>
        </w:tabs>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3.2.2.F3</w:t>
      </w:r>
    </w:p>
    <w:p w14:paraId="06ECE770" w14:textId="77777777" w:rsidR="00E85C29" w:rsidRPr="00E85C29" w:rsidRDefault="00E85C29" w:rsidP="00252130">
      <w:pPr>
        <w:numPr>
          <w:ilvl w:val="0"/>
          <w:numId w:val="36"/>
        </w:numPr>
        <w:tabs>
          <w:tab w:val="left" w:pos="270"/>
          <w:tab w:val="left" w:pos="36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ESRD patient to be referred for dialysis /transplant D/TX. C3GN ends with ESRD within                    </w:t>
      </w:r>
      <w:proofErr w:type="gramStart"/>
      <w:r w:rsidRPr="00E85C29">
        <w:rPr>
          <w:rFonts w:ascii="Times New Roman" w:eastAsia="Calibri" w:hAnsi="Times New Roman" w:cs="Times New Roman"/>
          <w:sz w:val="24"/>
          <w:szCs w:val="24"/>
        </w:rPr>
        <w:t>10  years</w:t>
      </w:r>
      <w:proofErr w:type="gramEnd"/>
      <w:r w:rsidRPr="00E85C29">
        <w:rPr>
          <w:rFonts w:ascii="Times New Roman" w:eastAsia="Calibri" w:hAnsi="Times New Roman" w:cs="Times New Roman"/>
          <w:sz w:val="24"/>
          <w:szCs w:val="24"/>
        </w:rPr>
        <w:t xml:space="preserve"> of diagnosis.  In 70% of affected children </w:t>
      </w:r>
      <w:r w:rsidR="00252130">
        <w:rPr>
          <w:rFonts w:ascii="Times New Roman" w:eastAsia="Calibri" w:hAnsi="Times New Roman" w:cs="Times New Roman"/>
          <w:b/>
          <w:bCs/>
          <w:sz w:val="24"/>
          <w:szCs w:val="24"/>
        </w:rPr>
        <w:t>KDIGO 2021 PP8.2.1.</w:t>
      </w:r>
      <w:r w:rsidRPr="00E85C29">
        <w:rPr>
          <w:rFonts w:ascii="Times New Roman" w:eastAsia="Calibri" w:hAnsi="Times New Roman" w:cs="Times New Roman"/>
          <w:b/>
          <w:bCs/>
          <w:sz w:val="24"/>
          <w:szCs w:val="24"/>
        </w:rPr>
        <w:t>7.</w:t>
      </w:r>
    </w:p>
    <w:p w14:paraId="497765D0" w14:textId="77777777" w:rsidR="00E85C29" w:rsidRPr="00E85C29" w:rsidRDefault="00E85C29" w:rsidP="00252130">
      <w:pPr>
        <w:numPr>
          <w:ilvl w:val="0"/>
          <w:numId w:val="36"/>
        </w:numPr>
        <w:tabs>
          <w:tab w:val="left" w:pos="270"/>
          <w:tab w:val="left" w:pos="360"/>
        </w:tabs>
        <w:ind w:left="27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Post -Transplant recurrence is high especially in C3GN/DDD 67%. It may occur soon after TX with 50% graft loss</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b/>
          <w:bCs/>
          <w:color w:val="0070C0"/>
          <w:sz w:val="24"/>
          <w:szCs w:val="24"/>
        </w:rPr>
        <w:t>[Good ship 2017].</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sz w:val="24"/>
          <w:szCs w:val="24"/>
        </w:rPr>
        <w:t xml:space="preserve">Predictors include age, sex, genotype, auto antibodies, therefore complement evaluation and its genetic studies help in decision of TX and treatment options with complement blockade </w:t>
      </w:r>
      <w:r w:rsidRPr="00E85C29">
        <w:rPr>
          <w:rFonts w:ascii="Times New Roman" w:eastAsia="Calibri" w:hAnsi="Times New Roman" w:cs="Times New Roman"/>
          <w:b/>
          <w:bCs/>
          <w:color w:val="0070C0"/>
          <w:sz w:val="24"/>
          <w:szCs w:val="24"/>
        </w:rPr>
        <w:t>[Smith et al.  2019].</w:t>
      </w:r>
    </w:p>
    <w:p w14:paraId="0489CA43" w14:textId="77777777" w:rsidR="00E85C29" w:rsidRPr="00E85C29" w:rsidRDefault="00E85C29" w:rsidP="00252130">
      <w:pPr>
        <w:tabs>
          <w:tab w:val="left" w:pos="270"/>
        </w:tabs>
        <w:ind w:left="180" w:hanging="90"/>
        <w:rPr>
          <w:rFonts w:ascii="Times New Roman" w:eastAsia="Calibri" w:hAnsi="Times New Roman" w:cs="Times New Roman"/>
          <w:b/>
          <w:bCs/>
          <w:color w:val="0070C0"/>
          <w:sz w:val="24"/>
          <w:szCs w:val="24"/>
        </w:rPr>
      </w:pPr>
      <w:r w:rsidRPr="00E85C29">
        <w:rPr>
          <w:rFonts w:ascii="Times New Roman" w:eastAsia="Calibri" w:hAnsi="Times New Roman" w:cs="Times New Roman"/>
          <w:b/>
          <w:bCs/>
          <w:sz w:val="24"/>
          <w:szCs w:val="24"/>
        </w:rPr>
        <w:t xml:space="preserve">Role of plasmapheresis is unclear. </w:t>
      </w:r>
      <w:r w:rsidRPr="00E85C29">
        <w:rPr>
          <w:rFonts w:ascii="Times New Roman" w:eastAsia="Calibri" w:hAnsi="Times New Roman" w:cs="Times New Roman"/>
          <w:sz w:val="24"/>
          <w:szCs w:val="24"/>
        </w:rPr>
        <w:t xml:space="preserve">It has better outcome in AKI and in patients where genetic mutation   was detected. It has less favorable outcome in patients with C3 nephritic factors, presumably because production of these autoantibodies continues after they are removed. Plasmapheresis will likely continue to be used trice weekly on a case- by- case basis if graft function is maintained, with concurrent studies of the alternative and terminal complement pathways to monitor disease. However, Graft failure soon follow when PE is stopped </w:t>
      </w:r>
      <w:r w:rsidRPr="00E85C29">
        <w:rPr>
          <w:rFonts w:ascii="Times New Roman" w:eastAsia="Calibri" w:hAnsi="Times New Roman" w:cs="Times New Roman"/>
          <w:b/>
          <w:bCs/>
          <w:color w:val="0070C0"/>
          <w:sz w:val="24"/>
          <w:szCs w:val="24"/>
        </w:rPr>
        <w:t>[Smith et al.  2019]</w:t>
      </w:r>
    </w:p>
    <w:p w14:paraId="35211CD2" w14:textId="77777777" w:rsidR="00E85C29" w:rsidRPr="00E85C29" w:rsidRDefault="00E85C29" w:rsidP="00395F40">
      <w:pPr>
        <w:tabs>
          <w:tab w:val="left" w:pos="90"/>
        </w:tabs>
        <w:ind w:left="90" w:firstLine="0"/>
        <w:jc w:val="left"/>
        <w:rPr>
          <w:rFonts w:ascii="Times New Roman" w:eastAsia="Calibri" w:hAnsi="Times New Roman" w:cs="Times New Roman"/>
          <w:b/>
          <w:bCs/>
          <w:color w:val="0070C0"/>
          <w:sz w:val="24"/>
          <w:szCs w:val="24"/>
        </w:rPr>
      </w:pPr>
    </w:p>
    <w:p w14:paraId="525B6BC5" w14:textId="62ACF7AC" w:rsidR="00E85C29" w:rsidRPr="00E85C29" w:rsidRDefault="00E85C29" w:rsidP="00395F40">
      <w:pPr>
        <w:shd w:val="clear" w:color="auto" w:fill="F2F2F2"/>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R </w:t>
      </w:r>
      <w:proofErr w:type="gramStart"/>
      <w:r w:rsidRPr="00E85C29">
        <w:rPr>
          <w:rFonts w:ascii="Times New Roman" w:eastAsia="Calibri" w:hAnsi="Times New Roman" w:cs="Times New Roman"/>
          <w:b/>
          <w:bCs/>
          <w:sz w:val="24"/>
          <w:szCs w:val="24"/>
        </w:rPr>
        <w:t>3.2.2.G :</w:t>
      </w:r>
      <w:proofErr w:type="gramEnd"/>
      <w:r w:rsidRPr="00E85C29">
        <w:rPr>
          <w:rFonts w:ascii="Times New Roman" w:eastAsia="Calibri" w:hAnsi="Times New Roman" w:cs="Times New Roman"/>
          <w:b/>
          <w:bCs/>
          <w:sz w:val="24"/>
          <w:szCs w:val="24"/>
        </w:rPr>
        <w:t xml:space="preserve">      MEMBRENOUS GN</w:t>
      </w:r>
      <w:r w:rsidR="003D69F2">
        <w:rPr>
          <w:rFonts w:ascii="Times New Roman" w:eastAsia="Calibri" w:hAnsi="Times New Roman" w:cs="Times New Roman"/>
          <w:b/>
          <w:bCs/>
          <w:sz w:val="24"/>
          <w:szCs w:val="24"/>
        </w:rPr>
        <w:t xml:space="preserve">         </w:t>
      </w:r>
      <w:r w:rsidR="00F44651">
        <w:rPr>
          <w:rFonts w:ascii="Times New Roman" w:eastAsia="Calibri" w:hAnsi="Times New Roman" w:cs="Times New Roman"/>
          <w:b/>
          <w:bCs/>
          <w:color w:val="FF0000"/>
          <w:sz w:val="24"/>
          <w:szCs w:val="24"/>
          <w:highlight w:val="yellow"/>
        </w:rPr>
        <w:t>EPG Fig 7</w:t>
      </w:r>
    </w:p>
    <w:p w14:paraId="18424959"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There is no evidence to guide management of children with MN, </w:t>
      </w:r>
      <w:r w:rsidRPr="00E85C29">
        <w:rPr>
          <w:rFonts w:ascii="Times New Roman" w:eastAsia="Calibri" w:hAnsi="Times New Roman" w:cs="Times New Roman"/>
          <w:b/>
          <w:bCs/>
          <w:sz w:val="24"/>
          <w:szCs w:val="24"/>
        </w:rPr>
        <w:t>KDIGO 21.PP3.4.4.</w:t>
      </w:r>
    </w:p>
    <w:p w14:paraId="42049A92"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3.2.2. G1:</w:t>
      </w:r>
      <w:r w:rsidRPr="00E85C29">
        <w:rPr>
          <w:rFonts w:ascii="Times New Roman" w:eastAsia="Calibri" w:hAnsi="Times New Roman" w:cs="Times New Roman"/>
          <w:sz w:val="24"/>
          <w:szCs w:val="24"/>
        </w:rPr>
        <w:t xml:space="preserve"> we suggest excluding secondary causes of MN such as: SLE or chronic HBV, Covid, drugs, rarely malignancy, being common in children. Idiopathic type is Rare in children </w:t>
      </w:r>
      <w:r w:rsidRPr="00E85C29">
        <w:rPr>
          <w:rFonts w:ascii="Times New Roman" w:eastAsia="Calibri" w:hAnsi="Times New Roman" w:cs="Times New Roman"/>
          <w:b/>
          <w:bCs/>
          <w:sz w:val="24"/>
          <w:szCs w:val="24"/>
        </w:rPr>
        <w:t>PP 3.4.4.</w:t>
      </w:r>
    </w:p>
    <w:p w14:paraId="45AAB891"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If possible, measure PlA2Rab and THSD7A ab titers: their titer can be used to predict relapse or confirm remission. If negative especially in children, 6 years, consider immune response to cationic bovine serum albumin. </w:t>
      </w:r>
      <w:r w:rsidRPr="00E85C29">
        <w:rPr>
          <w:rFonts w:ascii="Times New Roman" w:eastAsia="Calibri" w:hAnsi="Times New Roman" w:cs="Times New Roman"/>
          <w:b/>
          <w:bCs/>
          <w:sz w:val="24"/>
          <w:szCs w:val="24"/>
        </w:rPr>
        <w:t>PP :3.4.4.</w:t>
      </w:r>
    </w:p>
    <w:p w14:paraId="4177713C"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R 3.2.2.G2 </w:t>
      </w:r>
      <w:proofErr w:type="gramStart"/>
      <w:r w:rsidRPr="00E85C29">
        <w:rPr>
          <w:rFonts w:ascii="Times New Roman" w:eastAsia="Calibri" w:hAnsi="Times New Roman" w:cs="Times New Roman"/>
          <w:b/>
          <w:bCs/>
          <w:sz w:val="24"/>
          <w:szCs w:val="24"/>
        </w:rPr>
        <w:t>A :</w:t>
      </w:r>
      <w:proofErr w:type="gramEnd"/>
      <w:r w:rsidRPr="00E85C29">
        <w:rPr>
          <w:rFonts w:ascii="Times New Roman" w:eastAsia="Calibri" w:hAnsi="Times New Roman" w:cs="Times New Roman"/>
          <w:sz w:val="24"/>
          <w:szCs w:val="24"/>
        </w:rPr>
        <w:t xml:space="preserve">   We suggest for Idiopathic Membranous SRNS.</w:t>
      </w:r>
    </w:p>
    <w:p w14:paraId="1E3FED7B"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Optimal supportive care PP 3.3.1.</w:t>
      </w:r>
      <w:r w:rsidRPr="00E85C29">
        <w:rPr>
          <w:rFonts w:ascii="Times New Roman" w:eastAsia="Calibri" w:hAnsi="Times New Roman" w:cs="Times New Roman"/>
          <w:sz w:val="24"/>
          <w:szCs w:val="24"/>
        </w:rPr>
        <w:t xml:space="preserve">  Control of BP, RASi, statin, longitudinal monitoring of anti PLA2Rab at 6 m after therapy, renal biopsy, and refer to expert pediatric nephrology center rather than to wait and see </w:t>
      </w:r>
      <w:r w:rsidRPr="00E85C29">
        <w:rPr>
          <w:rFonts w:ascii="Times New Roman" w:eastAsia="Calibri" w:hAnsi="Times New Roman" w:cs="Times New Roman"/>
          <w:b/>
          <w:bCs/>
          <w:sz w:val="24"/>
          <w:szCs w:val="24"/>
        </w:rPr>
        <w:t>PP :3.4.4. KDIGO 2021</w:t>
      </w:r>
    </w:p>
    <w:p w14:paraId="158643A1" w14:textId="77777777" w:rsidR="00E85C29" w:rsidRPr="00E85C29" w:rsidRDefault="00E85C29" w:rsidP="00252130">
      <w:pPr>
        <w:numPr>
          <w:ilvl w:val="0"/>
          <w:numId w:val="36"/>
        </w:numPr>
        <w:tabs>
          <w:tab w:val="left" w:pos="360"/>
        </w:tabs>
        <w:ind w:left="36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We suggest starting prednisone 8-12w 2mg/kg/d with one of the following regimens:</w:t>
      </w:r>
    </w:p>
    <w:p w14:paraId="5ADD36F4" w14:textId="77777777" w:rsidR="00E85C29" w:rsidRPr="00E85C29" w:rsidRDefault="00E85C29" w:rsidP="00252130">
      <w:pPr>
        <w:ind w:left="18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(1) Rituximab</w:t>
      </w:r>
      <w:r w:rsidRPr="00E85C29">
        <w:rPr>
          <w:rFonts w:ascii="Times New Roman" w:eastAsia="Calibri" w:hAnsi="Times New Roman" w:cs="Times New Roman"/>
          <w:sz w:val="24"/>
          <w:szCs w:val="24"/>
        </w:rPr>
        <w:t xml:space="preserve"> (375 /m2/w 4 doses at weekly interval) depending on CD19 count </w:t>
      </w:r>
      <w:proofErr w:type="gramStart"/>
      <w:r w:rsidRPr="00E85C29">
        <w:rPr>
          <w:rFonts w:ascii="Times New Roman" w:eastAsia="Calibri" w:hAnsi="Times New Roman" w:cs="Times New Roman"/>
          <w:b/>
          <w:bCs/>
          <w:sz w:val="24"/>
          <w:szCs w:val="24"/>
        </w:rPr>
        <w:t>PP :</w:t>
      </w:r>
      <w:proofErr w:type="gramEnd"/>
      <w:r w:rsidRPr="00E85C29">
        <w:rPr>
          <w:rFonts w:ascii="Times New Roman" w:eastAsia="Calibri" w:hAnsi="Times New Roman" w:cs="Times New Roman"/>
          <w:b/>
          <w:bCs/>
          <w:sz w:val="24"/>
          <w:szCs w:val="24"/>
        </w:rPr>
        <w:t xml:space="preserve"> 3.4.4. KDIGO 2021   or</w:t>
      </w:r>
    </w:p>
    <w:p w14:paraId="739202B5" w14:textId="77777777" w:rsidR="00E85C29" w:rsidRPr="00E85C29" w:rsidRDefault="00E85C29" w:rsidP="00252130">
      <w:pPr>
        <w:ind w:left="18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(2)</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Cyclophosphamides</w:t>
      </w:r>
      <w:r w:rsidRPr="00E85C29">
        <w:rPr>
          <w:rFonts w:ascii="Times New Roman" w:eastAsia="Calibri" w:hAnsi="Times New Roman" w:cs="Times New Roman"/>
          <w:sz w:val="24"/>
          <w:szCs w:val="24"/>
        </w:rPr>
        <w:t xml:space="preserve"> (CYC) 2 mg/kg/d 6 months. </w:t>
      </w:r>
      <w:r w:rsidRPr="00E85C29">
        <w:rPr>
          <w:rFonts w:ascii="Times New Roman" w:eastAsia="Calibri" w:hAnsi="Times New Roman" w:cs="Times New Roman"/>
          <w:b/>
          <w:bCs/>
          <w:sz w:val="24"/>
          <w:szCs w:val="24"/>
        </w:rPr>
        <w:t>(1B) KDIGO 12, PP3.4.4. KDIGO 2021 or</w:t>
      </w:r>
    </w:p>
    <w:p w14:paraId="437ED250" w14:textId="77777777" w:rsidR="00E85C29" w:rsidRPr="00E85C29" w:rsidRDefault="00E85C29" w:rsidP="00252130">
      <w:pPr>
        <w:ind w:left="18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(3) Cyclosporine</w:t>
      </w:r>
      <w:r w:rsidRPr="00E85C29">
        <w:rPr>
          <w:rFonts w:ascii="Times New Roman" w:eastAsia="Calibri" w:hAnsi="Times New Roman" w:cs="Times New Roman"/>
          <w:sz w:val="24"/>
          <w:szCs w:val="24"/>
        </w:rPr>
        <w:t xml:space="preserve"> (</w:t>
      </w:r>
      <w:proofErr w:type="spellStart"/>
      <w:r w:rsidRPr="00E85C29">
        <w:rPr>
          <w:rFonts w:ascii="Times New Roman" w:eastAsia="Calibri" w:hAnsi="Times New Roman" w:cs="Times New Roman"/>
          <w:sz w:val="24"/>
          <w:szCs w:val="24"/>
        </w:rPr>
        <w:t>CsA</w:t>
      </w:r>
      <w:proofErr w:type="spellEnd"/>
      <w:r w:rsidRPr="00E85C29">
        <w:rPr>
          <w:rFonts w:ascii="Times New Roman" w:eastAsia="Calibri" w:hAnsi="Times New Roman" w:cs="Times New Roman"/>
          <w:sz w:val="24"/>
          <w:szCs w:val="24"/>
        </w:rPr>
        <w:t xml:space="preserve">) 5 mg/kg/d 6-12 months </w:t>
      </w:r>
      <w:r w:rsidRPr="00E85C29">
        <w:rPr>
          <w:rFonts w:ascii="Times New Roman" w:eastAsia="Calibri" w:hAnsi="Times New Roman" w:cs="Times New Roman"/>
          <w:b/>
          <w:bCs/>
          <w:sz w:val="24"/>
          <w:szCs w:val="24"/>
        </w:rPr>
        <w:t>(C1) Japanese 2014</w:t>
      </w:r>
    </w:p>
    <w:p w14:paraId="73572AF0" w14:textId="77777777" w:rsidR="00E85C29" w:rsidRPr="00E85C29" w:rsidRDefault="00E85C29" w:rsidP="00252130">
      <w:pPr>
        <w:ind w:left="18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KDIGO 2021</w:t>
      </w:r>
      <w:r w:rsidRPr="00E85C29">
        <w:rPr>
          <w:rFonts w:ascii="Times New Roman" w:eastAsia="Calibri" w:hAnsi="Times New Roman" w:cs="Times New Roman"/>
          <w:sz w:val="24"/>
          <w:szCs w:val="24"/>
        </w:rPr>
        <w:t xml:space="preserve"> recommended rituximab or cyclophosphamide and alternate month glucocorticoids for 6 months (cyclical) or CNIs -based therapy for &gt;-6m, with the choice of treatment depending on the risk estimate, </w:t>
      </w:r>
      <w:r w:rsidRPr="00E85C29">
        <w:rPr>
          <w:rFonts w:ascii="Times New Roman" w:eastAsia="Calibri" w:hAnsi="Times New Roman" w:cs="Times New Roman"/>
          <w:b/>
          <w:bCs/>
          <w:sz w:val="24"/>
          <w:szCs w:val="24"/>
        </w:rPr>
        <w:t>(1B). KDIGO21</w:t>
      </w:r>
    </w:p>
    <w:p w14:paraId="72173E42" w14:textId="77777777" w:rsidR="00E85C29" w:rsidRPr="00E85C29" w:rsidRDefault="00E85C29" w:rsidP="00252130">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High risk nephrotic children include those:</w:t>
      </w:r>
    </w:p>
    <w:p w14:paraId="00BC5A99" w14:textId="77777777" w:rsidR="00E85C29" w:rsidRPr="00E85C29" w:rsidRDefault="00E85C29" w:rsidP="00252130">
      <w:pPr>
        <w:numPr>
          <w:ilvl w:val="0"/>
          <w:numId w:val="39"/>
        </w:numPr>
        <w:tabs>
          <w:tab w:val="left" w:pos="360"/>
          <w:tab w:val="left" w:pos="450"/>
        </w:tabs>
        <w:ind w:left="18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Nephrotic range proteinuria, with &gt;50% rise despite supportive treatment, GFR&lt;60ml/min)</w:t>
      </w:r>
    </w:p>
    <w:p w14:paraId="54EC535B" w14:textId="77777777" w:rsidR="00E85C29" w:rsidRPr="00E85C29" w:rsidRDefault="00E85C29" w:rsidP="00252130">
      <w:pPr>
        <w:numPr>
          <w:ilvl w:val="0"/>
          <w:numId w:val="39"/>
        </w:numPr>
        <w:tabs>
          <w:tab w:val="left" w:pos="360"/>
          <w:tab w:val="left" w:pos="450"/>
        </w:tabs>
        <w:ind w:left="18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PLA2R antibodies &gt;50 IU/ml. (only + in 45% of children compared to 80% in adults).</w:t>
      </w:r>
    </w:p>
    <w:p w14:paraId="0946B79C" w14:textId="77777777" w:rsidR="00E85C29" w:rsidRPr="00E85C29" w:rsidRDefault="00E85C29" w:rsidP="00252130">
      <w:pPr>
        <w:numPr>
          <w:ilvl w:val="0"/>
          <w:numId w:val="39"/>
        </w:numPr>
        <w:tabs>
          <w:tab w:val="left" w:pos="360"/>
          <w:tab w:val="left" w:pos="450"/>
        </w:tabs>
        <w:ind w:left="360" w:hanging="18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lastRenderedPageBreak/>
        <w:t xml:space="preserve">We suggest following PLA2Rab titer at three and six months after start of therapy for evaluating treatment response and guide adjustment of therapy pp3.3.4 KDIGO 21. Children on supportive treatment who show on follow-up progress of the disease &gt;50% increase of proteinuria, 25% decline of GFR, PLA2Rab rising titer, predict relapse or drug resistance. </w:t>
      </w:r>
      <w:r w:rsidRPr="00E85C29">
        <w:rPr>
          <w:rFonts w:ascii="Times New Roman" w:eastAsia="Calibri" w:hAnsi="Times New Roman" w:cs="Times New Roman"/>
          <w:b/>
          <w:bCs/>
          <w:sz w:val="24"/>
          <w:szCs w:val="24"/>
        </w:rPr>
        <w:t>KDIGO 21 PP: 3.3.4., (C1) Japanese.</w:t>
      </w:r>
    </w:p>
    <w:p w14:paraId="78FE89AD" w14:textId="77777777" w:rsidR="00E85C29" w:rsidRPr="00E85C29" w:rsidRDefault="00E85C29" w:rsidP="00395F40">
      <w:pPr>
        <w:tabs>
          <w:tab w:val="left" w:pos="360"/>
          <w:tab w:val="left" w:pos="450"/>
        </w:tabs>
        <w:ind w:left="360" w:firstLine="0"/>
        <w:jc w:val="left"/>
        <w:rPr>
          <w:rFonts w:ascii="Times New Roman" w:eastAsia="Calibri" w:hAnsi="Times New Roman" w:cs="Times New Roman"/>
          <w:b/>
          <w:bCs/>
          <w:sz w:val="24"/>
          <w:szCs w:val="24"/>
        </w:rPr>
      </w:pPr>
    </w:p>
    <w:p w14:paraId="57F49FEB" w14:textId="77777777" w:rsidR="00E85C29" w:rsidRPr="00E85C29" w:rsidRDefault="00E85C29" w:rsidP="00395F40">
      <w:pPr>
        <w:shd w:val="clear" w:color="auto" w:fill="F2F2F2"/>
        <w:ind w:left="90"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 2.2. G2 B       HOW TO TREAT RESISTANT PATIENTS? PP3.4.2.</w:t>
      </w:r>
    </w:p>
    <w:p w14:paraId="5EA7CDC4" w14:textId="77777777" w:rsidR="00E85C29" w:rsidRPr="00E85C29" w:rsidRDefault="00252130" w:rsidP="00395F40">
      <w:pPr>
        <w:ind w:firstLine="0"/>
        <w:jc w:val="lef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85C29" w:rsidRPr="00E85C29">
        <w:rPr>
          <w:rFonts w:ascii="Times New Roman" w:eastAsia="Calibri" w:hAnsi="Times New Roman" w:cs="Times New Roman"/>
          <w:sz w:val="24"/>
          <w:szCs w:val="24"/>
        </w:rPr>
        <w:t>We suggest for resistant patients that treatment, depend on GFR:</w:t>
      </w:r>
    </w:p>
    <w:p w14:paraId="668DB869"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 xml:space="preserve">(1) </w:t>
      </w:r>
      <w:r w:rsidRPr="00E85C29">
        <w:rPr>
          <w:rFonts w:ascii="Times New Roman" w:eastAsia="Calibri" w:hAnsi="Times New Roman" w:cs="Times New Roman"/>
          <w:sz w:val="24"/>
          <w:szCs w:val="24"/>
        </w:rPr>
        <w:t xml:space="preserve">For cyclosporine resistant:  </w:t>
      </w:r>
      <w:r w:rsidRPr="00E85C29">
        <w:rPr>
          <w:rFonts w:ascii="Times New Roman" w:eastAsia="Calibri" w:hAnsi="Times New Roman" w:cs="Times New Roman"/>
          <w:b/>
          <w:bCs/>
          <w:sz w:val="24"/>
          <w:szCs w:val="24"/>
        </w:rPr>
        <w:t>PP: 3.4.2., PP 3.4.4. KDIGO21</w:t>
      </w:r>
    </w:p>
    <w:p w14:paraId="65E876AC"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a. With stable eGFR, add Rituximab</w:t>
      </w:r>
    </w:p>
    <w:p w14:paraId="221D9F38"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b. Decreasing GFR shift to cyclophosphamide with glucocorticoids.</w:t>
      </w:r>
    </w:p>
    <w:p w14:paraId="6571EF0C" w14:textId="77777777" w:rsidR="00E85C29" w:rsidRPr="00E85C29" w:rsidRDefault="00E85C29" w:rsidP="00252130">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(2)</w:t>
      </w:r>
      <w:r w:rsidRPr="00E85C29">
        <w:rPr>
          <w:rFonts w:ascii="Times New Roman" w:eastAsia="Calibri" w:hAnsi="Times New Roman" w:cs="Times New Roman"/>
          <w:sz w:val="24"/>
          <w:szCs w:val="24"/>
        </w:rPr>
        <w:t xml:space="preserve"> For Rituximab resistant: </w:t>
      </w:r>
      <w:r w:rsidRPr="00E85C29">
        <w:rPr>
          <w:rFonts w:ascii="Times New Roman" w:eastAsia="Calibri" w:hAnsi="Times New Roman" w:cs="Times New Roman"/>
          <w:b/>
          <w:bCs/>
          <w:sz w:val="24"/>
          <w:szCs w:val="24"/>
        </w:rPr>
        <w:t>PP: 3.4.2, PP3.4. 4. KDIGO21</w:t>
      </w:r>
    </w:p>
    <w:p w14:paraId="5EEC990B"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a. With stable </w:t>
      </w:r>
      <w:proofErr w:type="spellStart"/>
      <w:r w:rsidRPr="00E85C29">
        <w:rPr>
          <w:rFonts w:ascii="Times New Roman" w:eastAsia="Calibri" w:hAnsi="Times New Roman" w:cs="Times New Roman"/>
          <w:sz w:val="24"/>
          <w:szCs w:val="24"/>
        </w:rPr>
        <w:t>eGFR</w:t>
      </w:r>
      <w:proofErr w:type="spellEnd"/>
      <w:r w:rsidRPr="00E85C29">
        <w:rPr>
          <w:rFonts w:ascii="Times New Roman" w:eastAsia="Calibri" w:hAnsi="Times New Roman" w:cs="Times New Roman"/>
          <w:sz w:val="24"/>
          <w:szCs w:val="24"/>
        </w:rPr>
        <w:t xml:space="preserve"> give </w:t>
      </w:r>
      <w:proofErr w:type="spellStart"/>
      <w:r w:rsidRPr="00E85C29">
        <w:rPr>
          <w:rFonts w:ascii="Times New Roman" w:eastAsia="Calibri" w:hAnsi="Times New Roman" w:cs="Times New Roman"/>
          <w:sz w:val="24"/>
          <w:szCs w:val="24"/>
        </w:rPr>
        <w:t>CsA</w:t>
      </w:r>
      <w:proofErr w:type="spellEnd"/>
      <w:r w:rsidRPr="00E85C29">
        <w:rPr>
          <w:rFonts w:ascii="Times New Roman" w:eastAsia="Calibri" w:hAnsi="Times New Roman" w:cs="Times New Roman"/>
          <w:sz w:val="24"/>
          <w:szCs w:val="24"/>
        </w:rPr>
        <w:t xml:space="preserve"> with Rituximab</w:t>
      </w:r>
    </w:p>
    <w:p w14:paraId="35B8143D"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b. Decreased eGFR shift to cyclophosphamide with glucocorticoids</w:t>
      </w:r>
    </w:p>
    <w:p w14:paraId="71ED2872"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(3)</w:t>
      </w:r>
      <w:r w:rsidRPr="00E85C29">
        <w:rPr>
          <w:rFonts w:ascii="Times New Roman" w:eastAsia="Calibri" w:hAnsi="Times New Roman" w:cs="Times New Roman"/>
          <w:sz w:val="24"/>
          <w:szCs w:val="24"/>
        </w:rPr>
        <w:t xml:space="preserve"> For cyclophosphamide resistant:</w:t>
      </w:r>
    </w:p>
    <w:p w14:paraId="323597C6"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a. With stable GFR shift to Rituximab or CNI.</w:t>
      </w:r>
    </w:p>
    <w:p w14:paraId="4D0C523B"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b. Decreased GFR repeat CYC If low cumulative level +steroids.</w:t>
      </w:r>
    </w:p>
    <w:p w14:paraId="6CBB9053" w14:textId="77777777" w:rsidR="00E85C29" w:rsidRPr="00E85C29" w:rsidRDefault="00E85C29" w:rsidP="00252130">
      <w:pPr>
        <w:ind w:left="450" w:hanging="36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(4)</w:t>
      </w:r>
      <w:r w:rsidRPr="00E85C29">
        <w:rPr>
          <w:rFonts w:ascii="Times New Roman" w:eastAsia="Calibri" w:hAnsi="Times New Roman" w:cs="Times New Roman"/>
          <w:sz w:val="24"/>
          <w:szCs w:val="24"/>
        </w:rPr>
        <w:t xml:space="preserve"> IF resistant to rituximab, cyclophosphamide, and glucocorticoids consult expert center </w:t>
      </w:r>
      <w:r w:rsidRPr="00E85C29">
        <w:rPr>
          <w:rFonts w:ascii="Times New Roman" w:eastAsia="Calibri" w:hAnsi="Times New Roman" w:cs="Times New Roman"/>
          <w:b/>
          <w:bCs/>
          <w:sz w:val="24"/>
          <w:szCs w:val="24"/>
        </w:rPr>
        <w:t>PP3.4.2.</w:t>
      </w:r>
    </w:p>
    <w:p w14:paraId="729CB9C2" w14:textId="77777777" w:rsidR="00E85C29" w:rsidRPr="00E85C29" w:rsidRDefault="00E85C29" w:rsidP="00252130">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In Egypt, since rituximab is expensive and the experience in children is limited, we prefer to start with corticosteroids /cyclosporine as recommended by </w:t>
      </w:r>
      <w:r w:rsidRPr="00E85C29">
        <w:rPr>
          <w:rFonts w:ascii="Times New Roman" w:eastAsia="Calibri" w:hAnsi="Times New Roman" w:cs="Times New Roman"/>
          <w:b/>
          <w:bCs/>
          <w:sz w:val="24"/>
          <w:szCs w:val="24"/>
        </w:rPr>
        <w:t xml:space="preserve">Japanese2014 (c) </w:t>
      </w:r>
      <w:r w:rsidRPr="00E85C29">
        <w:rPr>
          <w:rFonts w:ascii="Times New Roman" w:eastAsia="Calibri" w:hAnsi="Times New Roman" w:cs="Times New Roman"/>
          <w:sz w:val="24"/>
          <w:szCs w:val="24"/>
        </w:rPr>
        <w:t xml:space="preserve">although there is no evidence of superiority over alkylating agents in reducing proteinuria or preventing decline in renal function </w:t>
      </w:r>
      <w:r w:rsidRPr="00E85C29">
        <w:rPr>
          <w:rFonts w:ascii="Times New Roman" w:eastAsia="Calibri" w:hAnsi="Times New Roman" w:cs="Times New Roman"/>
          <w:b/>
          <w:bCs/>
          <w:sz w:val="24"/>
          <w:szCs w:val="24"/>
        </w:rPr>
        <w:t>EPG-GPP12</w:t>
      </w:r>
    </w:p>
    <w:p w14:paraId="018F4031" w14:textId="77777777" w:rsidR="00E85C29" w:rsidRPr="00E85C29" w:rsidRDefault="00E85C29" w:rsidP="00252130">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For refractory patients to cyclosporine, we suggest adding rituximab 375/m2/w 4 doses depending on CD 19 count or shift to cyclophosphamide as recommended by </w:t>
      </w:r>
      <w:r w:rsidRPr="00E85C29">
        <w:rPr>
          <w:rFonts w:ascii="Times New Roman" w:eastAsia="Calibri" w:hAnsi="Times New Roman" w:cs="Times New Roman"/>
          <w:b/>
          <w:bCs/>
          <w:sz w:val="24"/>
          <w:szCs w:val="24"/>
        </w:rPr>
        <w:t>KDIGO 21 (1C)</w:t>
      </w:r>
    </w:p>
    <w:p w14:paraId="6F9E3CE3" w14:textId="77777777" w:rsidR="00E85C29" w:rsidRPr="00E85C29" w:rsidRDefault="00E85C29" w:rsidP="00252130">
      <w:pPr>
        <w:ind w:left="90" w:firstLine="0"/>
        <w:rPr>
          <w:rFonts w:ascii="Times New Roman" w:eastAsia="Calibri" w:hAnsi="Times New Roman" w:cs="Times New Roman"/>
          <w:sz w:val="24"/>
          <w:szCs w:val="24"/>
        </w:rPr>
      </w:pPr>
    </w:p>
    <w:p w14:paraId="2492CD4C" w14:textId="77777777" w:rsidR="00E85C29" w:rsidRPr="00E85C29" w:rsidRDefault="00E85C29" w:rsidP="00395F40">
      <w:pPr>
        <w:shd w:val="clear" w:color="auto" w:fill="FFFFFF"/>
        <w:ind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3.2.2.G2 C:</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HOW TO PREVENT THROMBOSIS?</w:t>
      </w:r>
    </w:p>
    <w:p w14:paraId="2EDAB327" w14:textId="77777777" w:rsidR="00E85C29" w:rsidRPr="00E85C29" w:rsidRDefault="00E85C29" w:rsidP="00395F40">
      <w:pPr>
        <w:ind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for patients with low serum albumin or high risk of thrombosis prophylactic oral warfarin. </w:t>
      </w:r>
      <w:proofErr w:type="gramStart"/>
      <w:r w:rsidRPr="00E85C29">
        <w:rPr>
          <w:rFonts w:ascii="Times New Roman" w:eastAsia="Calibri" w:hAnsi="Times New Roman" w:cs="Times New Roman"/>
          <w:b/>
          <w:bCs/>
          <w:sz w:val="24"/>
          <w:szCs w:val="24"/>
        </w:rPr>
        <w:t>PP :</w:t>
      </w:r>
      <w:proofErr w:type="gramEnd"/>
      <w:r w:rsidRPr="00E85C29">
        <w:rPr>
          <w:rFonts w:ascii="Times New Roman" w:eastAsia="Calibri" w:hAnsi="Times New Roman" w:cs="Times New Roman"/>
          <w:b/>
          <w:bCs/>
          <w:sz w:val="24"/>
          <w:szCs w:val="24"/>
        </w:rPr>
        <w:t xml:space="preserve"> 3.4.5. KDIGO 2021.</w:t>
      </w:r>
      <w:r w:rsidRPr="00E85C29">
        <w:rPr>
          <w:rFonts w:ascii="Times New Roman" w:eastAsia="Calibri" w:hAnsi="Times New Roman" w:cs="Times New Roman"/>
          <w:sz w:val="24"/>
          <w:szCs w:val="24"/>
        </w:rPr>
        <w:t xml:space="preserve"> Risk of thrombosis versus bleeding should be considered. </w:t>
      </w:r>
      <w:r w:rsidR="008A1747">
        <w:rPr>
          <w:rFonts w:ascii="Times New Roman" w:eastAsia="Calibri" w:hAnsi="Times New Roman" w:cs="Times New Roman"/>
          <w:b/>
          <w:bCs/>
          <w:sz w:val="24"/>
          <w:szCs w:val="24"/>
        </w:rPr>
        <w:t>(GPP), PP: 3.4.1</w:t>
      </w:r>
    </w:p>
    <w:p w14:paraId="1717B124" w14:textId="77777777" w:rsidR="00435A44" w:rsidRDefault="00435A44" w:rsidP="00395F40">
      <w:pPr>
        <w:shd w:val="clear" w:color="auto" w:fill="FFFFFF"/>
        <w:ind w:firstLine="0"/>
        <w:jc w:val="left"/>
        <w:rPr>
          <w:rFonts w:ascii="Times New Roman" w:eastAsia="Calibri" w:hAnsi="Times New Roman" w:cs="Times New Roman"/>
          <w:b/>
          <w:bCs/>
          <w:sz w:val="24"/>
          <w:szCs w:val="24"/>
        </w:rPr>
      </w:pPr>
    </w:p>
    <w:p w14:paraId="02F380FB" w14:textId="77777777" w:rsidR="00E85C29" w:rsidRPr="00E85C29" w:rsidRDefault="00E85C29" w:rsidP="00395F40">
      <w:pPr>
        <w:shd w:val="clear" w:color="auto" w:fill="FFFFFF"/>
        <w:ind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3.2.2.G2 D:                          TREATMENT OF RELAPSE</w:t>
      </w:r>
    </w:p>
    <w:p w14:paraId="52A7DAEC" w14:textId="77777777" w:rsidR="00E85C29" w:rsidRPr="00E85C29" w:rsidRDefault="00E85C29" w:rsidP="00395F40">
      <w:pPr>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We suggest:</w:t>
      </w:r>
    </w:p>
    <w:p w14:paraId="0C86835B" w14:textId="77777777" w:rsidR="00E85C29" w:rsidRPr="00E85C29" w:rsidRDefault="00E85C29" w:rsidP="008A1747">
      <w:pPr>
        <w:numPr>
          <w:ilvl w:val="0"/>
          <w:numId w:val="40"/>
        </w:numPr>
        <w:tabs>
          <w:tab w:val="left" w:pos="270"/>
          <w:tab w:val="left" w:pos="45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If the initial treatment was rituximab, we repeat using same regimen</w:t>
      </w:r>
    </w:p>
    <w:p w14:paraId="1F69E897" w14:textId="77777777" w:rsidR="00E85C29" w:rsidRPr="00E85C29" w:rsidRDefault="00E85C29" w:rsidP="008A1747">
      <w:pPr>
        <w:numPr>
          <w:ilvl w:val="0"/>
          <w:numId w:val="40"/>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If the initial treatment was cyclosporine+- corticosteroids treat</w:t>
      </w:r>
    </w:p>
    <w:p w14:paraId="3D0CBAFA" w14:textId="77777777" w:rsidR="00E85C29" w:rsidRPr="00E85C29" w:rsidRDefault="00E85C29" w:rsidP="008A1747">
      <w:pPr>
        <w:tabs>
          <w:tab w:val="left" w:pos="360"/>
        </w:tabs>
        <w:ind w:left="540" w:hanging="270"/>
        <w:rPr>
          <w:rFonts w:ascii="Times New Roman" w:eastAsia="Calibri" w:hAnsi="Times New Roman" w:cs="Times New Roman"/>
          <w:sz w:val="24"/>
          <w:szCs w:val="24"/>
        </w:rPr>
      </w:pPr>
      <w:r w:rsidRPr="00E85C29">
        <w:rPr>
          <w:rFonts w:ascii="Times New Roman" w:eastAsia="Calibri" w:hAnsi="Times New Roman" w:cs="Times New Roman"/>
          <w:sz w:val="24"/>
          <w:szCs w:val="24"/>
        </w:rPr>
        <w:t>with rituximab or with CNI+- rituximab.</w:t>
      </w:r>
    </w:p>
    <w:p w14:paraId="2C6DE5A8" w14:textId="77777777" w:rsidR="00E85C29" w:rsidRPr="00E85C29" w:rsidRDefault="00E85C29" w:rsidP="008A1747">
      <w:pPr>
        <w:numPr>
          <w:ilvl w:val="0"/>
          <w:numId w:val="41"/>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If the initial treatment was cyclophosphamide +</w:t>
      </w:r>
      <w:r w:rsidR="008A1747">
        <w:rPr>
          <w:rFonts w:ascii="Times New Roman" w:eastAsia="Calibri" w:hAnsi="Times New Roman" w:cs="Times New Roman"/>
          <w:sz w:val="24"/>
          <w:szCs w:val="24"/>
        </w:rPr>
        <w:t>/</w:t>
      </w:r>
      <w:r w:rsidRPr="00E85C29">
        <w:rPr>
          <w:rFonts w:ascii="Times New Roman" w:eastAsia="Calibri" w:hAnsi="Times New Roman" w:cs="Times New Roman"/>
          <w:sz w:val="24"/>
          <w:szCs w:val="24"/>
        </w:rPr>
        <w:t>-</w:t>
      </w:r>
      <w:r w:rsidR="008A1747">
        <w:rPr>
          <w:rFonts w:ascii="Times New Roman" w:eastAsia="Calibri" w:hAnsi="Times New Roman" w:cs="Times New Roman"/>
          <w:sz w:val="24"/>
          <w:szCs w:val="24"/>
        </w:rPr>
        <w:t xml:space="preserve"> </w:t>
      </w:r>
      <w:r w:rsidRPr="00E85C29">
        <w:rPr>
          <w:rFonts w:ascii="Times New Roman" w:eastAsia="Calibri" w:hAnsi="Times New Roman" w:cs="Times New Roman"/>
          <w:sz w:val="24"/>
          <w:szCs w:val="24"/>
        </w:rPr>
        <w:t>glucocorticoids</w:t>
      </w:r>
    </w:p>
    <w:p w14:paraId="0F1039E6" w14:textId="77777777" w:rsidR="00E85C29" w:rsidRPr="00E85C29" w:rsidRDefault="00E85C29" w:rsidP="008A1747">
      <w:pPr>
        <w:ind w:left="27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add rituximab or cyclosporine rather than to extend cyclophosphamides &gt;6 months</w:t>
      </w:r>
    </w:p>
    <w:p w14:paraId="7C89D430" w14:textId="77777777" w:rsidR="00E85C29" w:rsidRPr="00E85C29" w:rsidRDefault="008A1747" w:rsidP="008A1747">
      <w:pPr>
        <w:ind w:left="270" w:firstLine="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PP: </w:t>
      </w:r>
      <w:r w:rsidR="00E85C29" w:rsidRPr="00E85C29">
        <w:rPr>
          <w:rFonts w:ascii="Times New Roman" w:eastAsia="Calibri" w:hAnsi="Times New Roman" w:cs="Times New Roman"/>
          <w:b/>
          <w:bCs/>
          <w:sz w:val="24"/>
          <w:szCs w:val="24"/>
        </w:rPr>
        <w:t>3.4.1. KDIGO 21 or use Mezorbine (C1) Japanese3.2.2. G</w:t>
      </w:r>
    </w:p>
    <w:p w14:paraId="4E9E3903" w14:textId="77777777" w:rsidR="00E85C29" w:rsidRPr="00E85C29" w:rsidRDefault="00E85C29" w:rsidP="00395F40">
      <w:pPr>
        <w:ind w:left="90" w:firstLine="0"/>
        <w:jc w:val="left"/>
        <w:rPr>
          <w:rFonts w:ascii="Times New Roman" w:eastAsia="Calibri" w:hAnsi="Times New Roman" w:cs="Times New Roman"/>
          <w:b/>
          <w:bCs/>
          <w:sz w:val="24"/>
          <w:szCs w:val="24"/>
        </w:rPr>
      </w:pPr>
    </w:p>
    <w:p w14:paraId="26FE006F" w14:textId="77777777" w:rsidR="00E85C29" w:rsidRPr="00E85C29" w:rsidRDefault="00E85C29" w:rsidP="00395F40">
      <w:pPr>
        <w:ind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3.2.2.G3          TRANSPLANTATION &amp; MEMBRANOUS GN</w:t>
      </w:r>
    </w:p>
    <w:p w14:paraId="79635BB7" w14:textId="77777777" w:rsidR="00E85C29" w:rsidRPr="00E85C29" w:rsidRDefault="00E85C29" w:rsidP="008A1747">
      <w:pPr>
        <w:numPr>
          <w:ilvl w:val="0"/>
          <w:numId w:val="41"/>
        </w:numPr>
        <w:tabs>
          <w:tab w:val="left" w:pos="270"/>
        </w:tabs>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Pre-transplant assessment for PLA2Rab in serum and kidney biopsy as its presence confirms diagnosis and predict high risk of recurrence. </w:t>
      </w:r>
      <w:r w:rsidRPr="00E85C29">
        <w:rPr>
          <w:rFonts w:ascii="Times New Roman" w:eastAsia="Calibri" w:hAnsi="Times New Roman" w:cs="Times New Roman"/>
          <w:b/>
          <w:bCs/>
          <w:sz w:val="24"/>
          <w:szCs w:val="24"/>
        </w:rPr>
        <w:t xml:space="preserve">PP: 3.4.3. KDIGO </w:t>
      </w:r>
      <w:r w:rsidR="008A1747">
        <w:rPr>
          <w:rFonts w:ascii="Times New Roman" w:eastAsia="Calibri" w:hAnsi="Times New Roman" w:cs="Times New Roman"/>
          <w:b/>
          <w:bCs/>
          <w:sz w:val="24"/>
          <w:szCs w:val="24"/>
        </w:rPr>
        <w:t>20</w:t>
      </w:r>
      <w:r w:rsidRPr="00E85C29">
        <w:rPr>
          <w:rFonts w:ascii="Times New Roman" w:eastAsia="Calibri" w:hAnsi="Times New Roman" w:cs="Times New Roman"/>
          <w:b/>
          <w:bCs/>
          <w:sz w:val="24"/>
          <w:szCs w:val="24"/>
        </w:rPr>
        <w:t>21</w:t>
      </w:r>
    </w:p>
    <w:p w14:paraId="73C280ED" w14:textId="77777777" w:rsidR="00E85C29" w:rsidRPr="00E85C29" w:rsidRDefault="00E85C29" w:rsidP="00395F40">
      <w:pPr>
        <w:numPr>
          <w:ilvl w:val="0"/>
          <w:numId w:val="41"/>
        </w:numPr>
        <w:tabs>
          <w:tab w:val="left" w:pos="270"/>
        </w:tabs>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Pre TX rituximab for multiple recurrence or high PLA2Rab titer</w:t>
      </w:r>
    </w:p>
    <w:p w14:paraId="07D8F146" w14:textId="77777777" w:rsidR="00E85C29" w:rsidRPr="00E85C29" w:rsidRDefault="00E85C29" w:rsidP="00395F40">
      <w:pPr>
        <w:numPr>
          <w:ilvl w:val="0"/>
          <w:numId w:val="41"/>
        </w:numPr>
        <w:tabs>
          <w:tab w:val="left" w:pos="270"/>
        </w:tabs>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We suggest post TX follow-up protocol to include</w:t>
      </w:r>
    </w:p>
    <w:p w14:paraId="28ACB092" w14:textId="77777777" w:rsidR="00E85C29" w:rsidRPr="00E85C29" w:rsidRDefault="00E85C29" w:rsidP="00395F40">
      <w:pPr>
        <w:numPr>
          <w:ilvl w:val="0"/>
          <w:numId w:val="42"/>
        </w:numPr>
        <w:tabs>
          <w:tab w:val="left" w:pos="450"/>
          <w:tab w:val="left" w:pos="630"/>
        </w:tabs>
        <w:ind w:left="27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Monitoring proteinuria every month, if &gt; 1gm/d do renal biopsy </w:t>
      </w:r>
      <w:r w:rsidRPr="00E85C29">
        <w:rPr>
          <w:rFonts w:ascii="Times New Roman" w:eastAsia="Calibri" w:hAnsi="Times New Roman" w:cs="Times New Roman"/>
          <w:b/>
          <w:bCs/>
          <w:sz w:val="24"/>
          <w:szCs w:val="24"/>
        </w:rPr>
        <w:t>(C)</w:t>
      </w:r>
    </w:p>
    <w:p w14:paraId="03FE95FA" w14:textId="77777777" w:rsidR="00E85C29" w:rsidRPr="00E85C29" w:rsidRDefault="00E85C29" w:rsidP="00395F40">
      <w:pPr>
        <w:numPr>
          <w:ilvl w:val="0"/>
          <w:numId w:val="42"/>
        </w:numPr>
        <w:tabs>
          <w:tab w:val="left" w:pos="450"/>
          <w:tab w:val="left" w:pos="630"/>
        </w:tabs>
        <w:ind w:left="27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Monitoring PLA2R ab monthly (in those with high pre-TX titer) or every 3m (in those</w:t>
      </w:r>
    </w:p>
    <w:p w14:paraId="58CC4F7E" w14:textId="11838C58" w:rsidR="00E85C29" w:rsidRDefault="00E85C29" w:rsidP="008A1747">
      <w:pPr>
        <w:tabs>
          <w:tab w:val="left" w:pos="540"/>
          <w:tab w:val="left" w:pos="810"/>
        </w:tabs>
        <w:ind w:left="810" w:hanging="45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with   low titer), if rising, do biopsy. </w:t>
      </w:r>
      <w:r w:rsidRPr="00E85C29">
        <w:rPr>
          <w:rFonts w:ascii="Times New Roman" w:eastAsia="Calibri" w:hAnsi="Times New Roman" w:cs="Times New Roman"/>
          <w:b/>
          <w:bCs/>
          <w:sz w:val="24"/>
          <w:szCs w:val="24"/>
        </w:rPr>
        <w:t>PP 3.4.3</w:t>
      </w:r>
      <w:r w:rsidRPr="00E85C29">
        <w:rPr>
          <w:rFonts w:ascii="Times New Roman" w:eastAsia="Calibri" w:hAnsi="Times New Roman" w:cs="Times New Roman"/>
          <w:sz w:val="24"/>
          <w:szCs w:val="24"/>
        </w:rPr>
        <w:t>.</w:t>
      </w:r>
    </w:p>
    <w:p w14:paraId="31126D0A" w14:textId="77777777" w:rsidR="00E85C29" w:rsidRPr="00E85C29" w:rsidRDefault="00E85C29" w:rsidP="00395F40">
      <w:pPr>
        <w:ind w:firstLine="0"/>
        <w:jc w:val="left"/>
        <w:rPr>
          <w:rFonts w:ascii="Times New Roman" w:eastAsia="Calibri" w:hAnsi="Times New Roman" w:cs="Times New Roman"/>
          <w:sz w:val="24"/>
          <w:szCs w:val="24"/>
        </w:rPr>
      </w:pPr>
    </w:p>
    <w:p w14:paraId="2AEDF16D" w14:textId="77777777" w:rsidR="00E85C29" w:rsidRPr="00E85C29" w:rsidRDefault="00E85C29" w:rsidP="00395F40">
      <w:pPr>
        <w:shd w:val="clear" w:color="auto" w:fill="F2F2F2"/>
        <w:ind w:left="90" w:firstLine="0"/>
        <w:jc w:val="left"/>
        <w:rPr>
          <w:rFonts w:ascii="Times New Roman" w:eastAsia="Calibri" w:hAnsi="Times New Roman" w:cs="Times New Roman"/>
          <w:b/>
          <w:bCs/>
          <w:sz w:val="24"/>
          <w:szCs w:val="24"/>
        </w:rPr>
      </w:pPr>
      <w:proofErr w:type="gramStart"/>
      <w:r w:rsidRPr="00E85C29">
        <w:rPr>
          <w:rFonts w:ascii="Times New Roman" w:eastAsia="Calibri" w:hAnsi="Times New Roman" w:cs="Times New Roman"/>
          <w:b/>
          <w:bCs/>
          <w:sz w:val="24"/>
          <w:szCs w:val="24"/>
        </w:rPr>
        <w:t>R  3.3</w:t>
      </w:r>
      <w:proofErr w:type="gramEnd"/>
      <w:r w:rsidRPr="00E85C29">
        <w:rPr>
          <w:rFonts w:ascii="Times New Roman" w:eastAsia="Calibri" w:hAnsi="Times New Roman" w:cs="Times New Roman"/>
          <w:b/>
          <w:bCs/>
          <w:sz w:val="24"/>
          <w:szCs w:val="24"/>
        </w:rPr>
        <w:t xml:space="preserve"> :</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Additional measures, management of complications</w:t>
      </w:r>
    </w:p>
    <w:p w14:paraId="05539F71" w14:textId="77777777" w:rsidR="00E85C29" w:rsidRPr="00E85C29" w:rsidRDefault="00E85C29" w:rsidP="00395F40">
      <w:pPr>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Diet</w:t>
      </w:r>
      <w:r w:rsidRPr="00E85C29">
        <w:rPr>
          <w:rFonts w:ascii="Times New Roman" w:eastAsia="Calibri" w:hAnsi="Times New Roman" w:cs="Times New Roman"/>
          <w:sz w:val="24"/>
          <w:szCs w:val="24"/>
        </w:rPr>
        <w:t xml:space="preserve">: No sufficient evidence to increase protein intake </w:t>
      </w:r>
      <w:r w:rsidRPr="00E85C29">
        <w:rPr>
          <w:rFonts w:ascii="Times New Roman" w:eastAsia="Calibri" w:hAnsi="Times New Roman" w:cs="Times New Roman"/>
          <w:b/>
          <w:bCs/>
          <w:sz w:val="24"/>
          <w:szCs w:val="24"/>
        </w:rPr>
        <w:t>(not-graded) IPNA</w:t>
      </w:r>
      <w:r w:rsidRPr="00E85C29">
        <w:rPr>
          <w:rFonts w:ascii="Times New Roman" w:eastAsia="Calibri" w:hAnsi="Times New Roman" w:cs="Times New Roman"/>
          <w:sz w:val="24"/>
          <w:szCs w:val="24"/>
        </w:rPr>
        <w:t>.</w:t>
      </w:r>
    </w:p>
    <w:p w14:paraId="74187868"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that excessive salt intake should be avoided in children 2meq/kg/d </w:t>
      </w:r>
      <w:r w:rsidRPr="00E85C29">
        <w:rPr>
          <w:rFonts w:ascii="Times New Roman" w:eastAsia="Calibri" w:hAnsi="Times New Roman" w:cs="Times New Roman"/>
          <w:b/>
          <w:bCs/>
          <w:sz w:val="24"/>
          <w:szCs w:val="24"/>
        </w:rPr>
        <w:t>(C).</w:t>
      </w:r>
    </w:p>
    <w:p w14:paraId="69D01D1F"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lastRenderedPageBreak/>
        <w:t xml:space="preserve">A dietician should advice the family on low salt food </w:t>
      </w:r>
      <w:r w:rsidRPr="00E85C29">
        <w:rPr>
          <w:rFonts w:ascii="Times New Roman" w:eastAsia="Calibri" w:hAnsi="Times New Roman" w:cs="Times New Roman"/>
          <w:b/>
          <w:bCs/>
          <w:sz w:val="24"/>
          <w:szCs w:val="24"/>
        </w:rPr>
        <w:t>(D).</w:t>
      </w:r>
    </w:p>
    <w:p w14:paraId="6FFA2B77"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balanced fluid intake and do not recommend routine fluid restriction </w:t>
      </w:r>
      <w:r w:rsidRPr="00E85C29">
        <w:rPr>
          <w:rFonts w:ascii="Times New Roman" w:eastAsia="Calibri" w:hAnsi="Times New Roman" w:cs="Times New Roman"/>
          <w:b/>
          <w:bCs/>
          <w:sz w:val="24"/>
          <w:szCs w:val="24"/>
        </w:rPr>
        <w:t>(C).</w:t>
      </w:r>
    </w:p>
    <w:p w14:paraId="6B626213" w14:textId="77777777" w:rsidR="00E85C29" w:rsidRPr="00E85C29" w:rsidRDefault="00435A44" w:rsidP="00435A44">
      <w:pPr>
        <w:ind w:left="90"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85C29" w:rsidRPr="00E85C29">
        <w:rPr>
          <w:rFonts w:ascii="Times New Roman" w:eastAsia="Calibri" w:hAnsi="Times New Roman" w:cs="Times New Roman"/>
          <w:sz w:val="24"/>
          <w:szCs w:val="24"/>
        </w:rPr>
        <w:t xml:space="preserve">For severe edema: we recommend loop diuretics furosemide. For refractory edema metolazone, thiazides, amiloride, potassium sparing diuretics </w:t>
      </w:r>
      <w:r w:rsidR="00E85C29" w:rsidRPr="00E85C29">
        <w:rPr>
          <w:rFonts w:ascii="Times New Roman" w:eastAsia="Calibri" w:hAnsi="Times New Roman" w:cs="Times New Roman"/>
          <w:b/>
          <w:bCs/>
          <w:sz w:val="24"/>
          <w:szCs w:val="24"/>
        </w:rPr>
        <w:t>(C) IPNA</w:t>
      </w:r>
    </w:p>
    <w:p w14:paraId="385957D5"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Diuretics</w:t>
      </w:r>
      <w:r w:rsidRPr="00E85C29">
        <w:rPr>
          <w:rFonts w:ascii="Times New Roman" w:eastAsia="Calibri" w:hAnsi="Times New Roman" w:cs="Times New Roman"/>
          <w:sz w:val="24"/>
          <w:szCs w:val="24"/>
        </w:rPr>
        <w:t xml:space="preserve"> should not be given in volume depletion hypotension and oliguria to avoid thrombosis &amp; AKI. </w:t>
      </w:r>
      <w:r w:rsidRPr="00E85C29">
        <w:rPr>
          <w:rFonts w:ascii="Times New Roman" w:eastAsia="Calibri" w:hAnsi="Times New Roman" w:cs="Times New Roman"/>
          <w:b/>
          <w:bCs/>
          <w:sz w:val="24"/>
          <w:szCs w:val="24"/>
        </w:rPr>
        <w:t>(X)</w:t>
      </w:r>
    </w:p>
    <w:p w14:paraId="568B53A1"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treating patients with refractory edema pericardial, pleural effusion, anasarca, genital edema and or symptomatic hypovolemia or with pre-renal volume depletion with human albumin infusion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Starting dose 20-25% albumin, 0.5-1 g/kg iv over 4-8 h, adding furosemide 1-2 mg/kg iv in the middle &amp; at the end of infusion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Blood pressure &amp; heart rate monitoring with slowing or stopping infusion with any sign of overload.</w:t>
      </w:r>
      <w:r w:rsidRPr="00E85C29">
        <w:rPr>
          <w:rFonts w:ascii="Times New Roman" w:eastAsia="Calibri" w:hAnsi="Times New Roman" w:cs="Times New Roman"/>
          <w:b/>
          <w:bCs/>
          <w:sz w:val="24"/>
          <w:szCs w:val="24"/>
        </w:rPr>
        <w:t xml:space="preserve"> (X).</w:t>
      </w:r>
    </w:p>
    <w:p w14:paraId="3A142BBE"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*We recommend a</w:t>
      </w:r>
      <w:r w:rsidRPr="00E85C29">
        <w:rPr>
          <w:rFonts w:ascii="Times New Roman" w:eastAsia="Calibri" w:hAnsi="Times New Roman" w:cs="Times New Roman"/>
          <w:b/>
          <w:bCs/>
          <w:sz w:val="24"/>
          <w:szCs w:val="24"/>
        </w:rPr>
        <w:t xml:space="preserve"> lifestyle </w:t>
      </w:r>
      <w:r w:rsidRPr="00E85C29">
        <w:rPr>
          <w:rFonts w:ascii="Times New Roman" w:eastAsia="Calibri" w:hAnsi="Times New Roman" w:cs="Times New Roman"/>
          <w:sz w:val="24"/>
          <w:szCs w:val="24"/>
        </w:rPr>
        <w:t>with regular activity, healthy nutrition, home meals, no smoking adapting to patient ability</w:t>
      </w:r>
    </w:p>
    <w:p w14:paraId="32DEF336"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and CKD stage </w:t>
      </w:r>
      <w:r w:rsidRPr="00E85C29">
        <w:rPr>
          <w:rFonts w:ascii="Times New Roman" w:eastAsia="Calibri" w:hAnsi="Times New Roman" w:cs="Times New Roman"/>
          <w:b/>
          <w:bCs/>
          <w:sz w:val="24"/>
          <w:szCs w:val="24"/>
        </w:rPr>
        <w:t>(C).</w:t>
      </w:r>
    </w:p>
    <w:p w14:paraId="2E253AA1" w14:textId="77777777" w:rsidR="00E85C29" w:rsidRPr="00E85C29" w:rsidRDefault="00E85C29" w:rsidP="008A1747">
      <w:pPr>
        <w:ind w:left="90" w:firstLine="0"/>
        <w:rPr>
          <w:rFonts w:ascii="Times New Roman" w:eastAsia="Calibri" w:hAnsi="Times New Roman" w:cs="Times New Roman"/>
          <w:sz w:val="24"/>
          <w:szCs w:val="24"/>
        </w:rPr>
      </w:pPr>
    </w:p>
    <w:p w14:paraId="65470E6C" w14:textId="77777777" w:rsidR="00E85C29" w:rsidRPr="00E85C29" w:rsidRDefault="00E85C29" w:rsidP="00395F40">
      <w:pPr>
        <w:shd w:val="clear" w:color="auto" w:fill="F2F2F2"/>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Follow-up to prevent and</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rPr>
        <w:t>manage complications:</w:t>
      </w:r>
    </w:p>
    <w:p w14:paraId="72014090" w14:textId="77777777" w:rsidR="00E85C29" w:rsidRPr="00E85C29" w:rsidRDefault="00435A44" w:rsidP="00395F40">
      <w:pPr>
        <w:shd w:val="clear" w:color="auto" w:fill="FFFFFF"/>
        <w:ind w:firstLine="0"/>
        <w:jc w:val="left"/>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E85C29" w:rsidRPr="00E85C29">
        <w:rPr>
          <w:rFonts w:ascii="Times New Roman" w:eastAsia="Calibri" w:hAnsi="Times New Roman" w:cs="Times New Roman"/>
          <w:b/>
          <w:bCs/>
          <w:sz w:val="24"/>
          <w:szCs w:val="24"/>
        </w:rPr>
        <w:t>Infection control</w:t>
      </w:r>
    </w:p>
    <w:p w14:paraId="3516D3C4" w14:textId="77777777" w:rsidR="00E85C29" w:rsidRPr="00E85C29" w:rsidRDefault="00E85C29" w:rsidP="008A1747">
      <w:pPr>
        <w:numPr>
          <w:ilvl w:val="0"/>
          <w:numId w:val="43"/>
        </w:numPr>
        <w:tabs>
          <w:tab w:val="left" w:pos="270"/>
        </w:tabs>
        <w:ind w:left="270" w:hanging="18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immune globulins for children with recurrent infections or low serum IgG levels </w:t>
      </w:r>
      <w:r w:rsidRPr="00E85C29">
        <w:rPr>
          <w:rFonts w:ascii="Times New Roman" w:eastAsia="Calibri" w:hAnsi="Times New Roman" w:cs="Times New Roman"/>
          <w:b/>
          <w:bCs/>
          <w:sz w:val="24"/>
          <w:szCs w:val="24"/>
        </w:rPr>
        <w:t>(D).</w:t>
      </w:r>
    </w:p>
    <w:p w14:paraId="47C6DEFE" w14:textId="77777777" w:rsidR="00E85C29" w:rsidRPr="00E85C29" w:rsidRDefault="00E85C29" w:rsidP="00395F40">
      <w:pPr>
        <w:numPr>
          <w:ilvl w:val="0"/>
          <w:numId w:val="43"/>
        </w:numPr>
        <w:tabs>
          <w:tab w:val="left" w:pos="270"/>
        </w:tabs>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do not recommend routine antibiotics. </w:t>
      </w:r>
      <w:r w:rsidRPr="00E85C29">
        <w:rPr>
          <w:rFonts w:ascii="Times New Roman" w:eastAsia="Calibri" w:hAnsi="Times New Roman" w:cs="Times New Roman"/>
          <w:b/>
          <w:bCs/>
          <w:sz w:val="24"/>
          <w:szCs w:val="24"/>
        </w:rPr>
        <w:t>(C)</w:t>
      </w:r>
    </w:p>
    <w:p w14:paraId="3365997B" w14:textId="77777777" w:rsidR="00E85C29" w:rsidRPr="00E85C29" w:rsidRDefault="00E85C29" w:rsidP="00395F40">
      <w:pPr>
        <w:numPr>
          <w:ilvl w:val="0"/>
          <w:numId w:val="43"/>
        </w:numPr>
        <w:tabs>
          <w:tab w:val="left" w:pos="270"/>
        </w:tabs>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cotrimoxazole in patients on rituximab (5-10mg/kg/d 3 times weekly 3-6m </w:t>
      </w:r>
      <w:r w:rsidRPr="00E85C29">
        <w:rPr>
          <w:rFonts w:ascii="Times New Roman" w:eastAsia="Calibri" w:hAnsi="Times New Roman" w:cs="Times New Roman"/>
          <w:b/>
          <w:bCs/>
          <w:sz w:val="24"/>
          <w:szCs w:val="24"/>
        </w:rPr>
        <w:t>(C)</w:t>
      </w:r>
    </w:p>
    <w:p w14:paraId="5BBDCA0A" w14:textId="77777777" w:rsidR="00E85C29" w:rsidRPr="00E85C29" w:rsidRDefault="00E85C29" w:rsidP="00395F40">
      <w:pPr>
        <w:numPr>
          <w:ilvl w:val="0"/>
          <w:numId w:val="43"/>
        </w:numPr>
        <w:tabs>
          <w:tab w:val="left" w:pos="270"/>
        </w:tabs>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We recommend receiving all vaccinations as recommended in SSNS.</w:t>
      </w:r>
    </w:p>
    <w:p w14:paraId="1AFCD0FB" w14:textId="77777777" w:rsidR="00E85C29" w:rsidRPr="00E85C29" w:rsidRDefault="00E85C29" w:rsidP="008A1747">
      <w:pPr>
        <w:tabs>
          <w:tab w:val="left" w:pos="270"/>
        </w:tabs>
        <w:ind w:firstLine="0"/>
        <w:jc w:val="left"/>
        <w:rPr>
          <w:rFonts w:ascii="Times New Roman" w:eastAsia="Calibri" w:hAnsi="Times New Roman" w:cs="Times New Roman"/>
          <w:sz w:val="24"/>
          <w:szCs w:val="24"/>
        </w:rPr>
      </w:pPr>
    </w:p>
    <w:p w14:paraId="6FE9DD82" w14:textId="77777777" w:rsidR="00E85C29" w:rsidRPr="00E85C29" w:rsidRDefault="00E85C29" w:rsidP="008A1747">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P</w:t>
      </w:r>
      <w:r w:rsidRPr="00E85C29">
        <w:rPr>
          <w:rFonts w:ascii="Times New Roman" w:eastAsia="Calibri" w:hAnsi="Times New Roman" w:cs="Times New Roman"/>
          <w:b/>
          <w:bCs/>
          <w:sz w:val="24"/>
          <w:szCs w:val="24"/>
          <w:shd w:val="clear" w:color="auto" w:fill="FFFFFF"/>
        </w:rPr>
        <w:t>reve</w:t>
      </w:r>
      <w:r w:rsidRPr="00E85C29">
        <w:rPr>
          <w:rFonts w:ascii="Times New Roman" w:eastAsia="Calibri" w:hAnsi="Times New Roman" w:cs="Times New Roman"/>
          <w:b/>
          <w:bCs/>
          <w:sz w:val="24"/>
          <w:szCs w:val="24"/>
        </w:rPr>
        <w:t>ntion of thrombosis:</w:t>
      </w:r>
    </w:p>
    <w:p w14:paraId="79E3CA7F"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mobilization, avoid central lines except for specific and transient need </w:t>
      </w:r>
      <w:r w:rsidRPr="00E85C29">
        <w:rPr>
          <w:rFonts w:ascii="Times New Roman" w:eastAsia="Calibri" w:hAnsi="Times New Roman" w:cs="Times New Roman"/>
          <w:b/>
          <w:bCs/>
          <w:sz w:val="24"/>
          <w:szCs w:val="24"/>
        </w:rPr>
        <w:t>(X)</w:t>
      </w:r>
      <w:r w:rsidRPr="00E85C29">
        <w:rPr>
          <w:rFonts w:ascii="Times New Roman" w:eastAsia="Calibri" w:hAnsi="Times New Roman" w:cs="Times New Roman"/>
          <w:sz w:val="24"/>
          <w:szCs w:val="24"/>
        </w:rPr>
        <w:t xml:space="preserve"> strong recommendation</w:t>
      </w:r>
    </w:p>
    <w:p w14:paraId="32DC5729" w14:textId="77777777" w:rsidR="00E85C29" w:rsidRPr="00E85C29" w:rsidRDefault="00E85C29" w:rsidP="008A1747">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Insufficient evidence for routine anticoagulant with no previous history or risk of thrombosis </w:t>
      </w:r>
      <w:r w:rsidRPr="00E85C29">
        <w:rPr>
          <w:rFonts w:ascii="Times New Roman" w:eastAsia="Calibri" w:hAnsi="Times New Roman" w:cs="Times New Roman"/>
          <w:b/>
          <w:bCs/>
          <w:sz w:val="24"/>
          <w:szCs w:val="24"/>
        </w:rPr>
        <w:t>(not graded).</w:t>
      </w:r>
    </w:p>
    <w:p w14:paraId="4A087E76"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low molecular weight heparin in those patients with previous history of thrombosis. Consider treatment for those with risk factors as central lines, hereditary thrombophilia,  predisposition  infection or dehydration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We suggest thrombophilia screen for protein C, S, Anti thrombin, factor V genes </w:t>
      </w:r>
      <w:r w:rsidRPr="00E85C29">
        <w:rPr>
          <w:rFonts w:ascii="Times New Roman" w:eastAsia="Calibri" w:hAnsi="Times New Roman" w:cs="Times New Roman"/>
          <w:b/>
          <w:bCs/>
          <w:sz w:val="24"/>
          <w:szCs w:val="24"/>
        </w:rPr>
        <w:t>(C).</w:t>
      </w:r>
    </w:p>
    <w:p w14:paraId="42E8420B"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statin in patients with high fasting LDL &gt;130 and active lifestyle. </w:t>
      </w:r>
      <w:r w:rsidRPr="00E85C29">
        <w:rPr>
          <w:rFonts w:ascii="Times New Roman" w:eastAsia="Calibri" w:hAnsi="Times New Roman" w:cs="Times New Roman"/>
          <w:b/>
          <w:bCs/>
          <w:sz w:val="24"/>
          <w:szCs w:val="24"/>
        </w:rPr>
        <w:t>(C).</w:t>
      </w:r>
    </w:p>
    <w:p w14:paraId="633A7D48"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oral calcium if hypocalcemia exists </w:t>
      </w:r>
      <w:r w:rsidRPr="00E85C29">
        <w:rPr>
          <w:rFonts w:ascii="Times New Roman" w:eastAsia="Calibri" w:hAnsi="Times New Roman" w:cs="Times New Roman"/>
          <w:b/>
          <w:bCs/>
          <w:sz w:val="24"/>
          <w:szCs w:val="24"/>
        </w:rPr>
        <w:t>(C).</w:t>
      </w:r>
    </w:p>
    <w:p w14:paraId="55E51277"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giving magnesium if symptomatic hypo </w:t>
      </w:r>
      <w:proofErr w:type="spellStart"/>
      <w:r w:rsidRPr="00E85C29">
        <w:rPr>
          <w:rFonts w:ascii="Times New Roman" w:eastAsia="Calibri" w:hAnsi="Times New Roman" w:cs="Times New Roman"/>
          <w:sz w:val="24"/>
          <w:szCs w:val="24"/>
        </w:rPr>
        <w:t>magnesemia</w:t>
      </w:r>
      <w:proofErr w:type="spellEnd"/>
      <w:r w:rsidRPr="00E85C29">
        <w:rPr>
          <w:rFonts w:ascii="Times New Roman" w:eastAsia="Calibri" w:hAnsi="Times New Roman" w:cs="Times New Roman"/>
          <w:sz w:val="24"/>
          <w:szCs w:val="24"/>
        </w:rPr>
        <w:t xml:space="preserve"> (D), </w:t>
      </w:r>
      <w:proofErr w:type="spellStart"/>
      <w:r w:rsidRPr="00E85C29">
        <w:rPr>
          <w:rFonts w:ascii="Times New Roman" w:eastAsia="Calibri" w:hAnsi="Times New Roman" w:cs="Times New Roman"/>
          <w:sz w:val="24"/>
          <w:szCs w:val="24"/>
        </w:rPr>
        <w:t>vit</w:t>
      </w:r>
      <w:proofErr w:type="spellEnd"/>
      <w:r w:rsidRPr="00E85C29">
        <w:rPr>
          <w:rFonts w:ascii="Times New Roman" w:eastAsia="Calibri" w:hAnsi="Times New Roman" w:cs="Times New Roman"/>
          <w:sz w:val="24"/>
          <w:szCs w:val="24"/>
        </w:rPr>
        <w:t xml:space="preserve"> D 25 If 25-OH level is low&lt; 30 ng/ml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w:t>
      </w:r>
      <w:proofErr w:type="spellStart"/>
      <w:r w:rsidRPr="00E85C29">
        <w:rPr>
          <w:rFonts w:ascii="Times New Roman" w:eastAsia="Calibri" w:hAnsi="Times New Roman" w:cs="Times New Roman"/>
          <w:sz w:val="24"/>
          <w:szCs w:val="24"/>
        </w:rPr>
        <w:t>levo</w:t>
      </w:r>
      <w:proofErr w:type="spellEnd"/>
      <w:r w:rsidRPr="00E85C29">
        <w:rPr>
          <w:rFonts w:ascii="Times New Roman" w:eastAsia="Calibri" w:hAnsi="Times New Roman" w:cs="Times New Roman"/>
          <w:sz w:val="24"/>
          <w:szCs w:val="24"/>
        </w:rPr>
        <w:t xml:space="preserve"> </w:t>
      </w:r>
      <w:proofErr w:type="spellStart"/>
      <w:r w:rsidRPr="00E85C29">
        <w:rPr>
          <w:rFonts w:ascii="Times New Roman" w:eastAsia="Calibri" w:hAnsi="Times New Roman" w:cs="Times New Roman"/>
          <w:sz w:val="24"/>
          <w:szCs w:val="24"/>
        </w:rPr>
        <w:t>thyroxine</w:t>
      </w:r>
      <w:proofErr w:type="spellEnd"/>
      <w:r w:rsidRPr="00E85C29">
        <w:rPr>
          <w:rFonts w:ascii="Times New Roman" w:eastAsia="Calibri" w:hAnsi="Times New Roman" w:cs="Times New Roman"/>
          <w:sz w:val="24"/>
          <w:szCs w:val="24"/>
        </w:rPr>
        <w:t xml:space="preserve"> (T4) if hypothyroidism </w:t>
      </w:r>
      <w:r w:rsidRPr="00E85C29">
        <w:rPr>
          <w:rFonts w:ascii="Times New Roman" w:eastAsia="Calibri" w:hAnsi="Times New Roman" w:cs="Times New Roman"/>
          <w:b/>
          <w:bCs/>
          <w:sz w:val="24"/>
          <w:szCs w:val="24"/>
        </w:rPr>
        <w:t>(A).</w:t>
      </w:r>
    </w:p>
    <w:p w14:paraId="50023ADE" w14:textId="77777777" w:rsidR="00E85C29" w:rsidRPr="00E85C29" w:rsidRDefault="00E85C29" w:rsidP="008A1747">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Control BP</w:t>
      </w:r>
      <w:r w:rsidRPr="00E85C29">
        <w:rPr>
          <w:rFonts w:ascii="Times New Roman" w:eastAsia="Calibri" w:hAnsi="Times New Roman" w:cs="Times New Roman"/>
          <w:sz w:val="24"/>
          <w:szCs w:val="24"/>
        </w:rPr>
        <w:t xml:space="preserve">: if &gt;95th age-sex-height specific percentiles should be treated aiming for BP values&lt; 75th percentiles in children   without proteinuria, and &lt;50th with proteinuria, </w:t>
      </w:r>
      <w:r w:rsidRPr="00E85C29">
        <w:rPr>
          <w:rFonts w:ascii="Times New Roman" w:eastAsia="Calibri" w:hAnsi="Times New Roman" w:cs="Times New Roman"/>
          <w:b/>
          <w:bCs/>
          <w:sz w:val="24"/>
          <w:szCs w:val="24"/>
        </w:rPr>
        <w:t>(A).</w:t>
      </w:r>
    </w:p>
    <w:p w14:paraId="0099361C" w14:textId="77777777" w:rsidR="00E85C29" w:rsidRPr="00E85C29" w:rsidRDefault="00E85C29" w:rsidP="00395F40">
      <w:pPr>
        <w:ind w:left="90" w:firstLine="0"/>
        <w:jc w:val="left"/>
        <w:rPr>
          <w:rFonts w:ascii="Times New Roman" w:eastAsia="Calibri" w:hAnsi="Times New Roman" w:cs="Times New Roman"/>
          <w:b/>
          <w:bCs/>
          <w:sz w:val="24"/>
          <w:szCs w:val="24"/>
        </w:rPr>
      </w:pPr>
    </w:p>
    <w:p w14:paraId="10BD9363" w14:textId="77777777" w:rsidR="00E85C29" w:rsidRDefault="00E85C29" w:rsidP="008A1747">
      <w:pPr>
        <w:ind w:left="90"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Management of anemia, acidosis, hyperparathyroidism</w:t>
      </w:r>
      <w:r w:rsidR="008A1747">
        <w:rPr>
          <w:rFonts w:ascii="Times New Roman" w:eastAsia="Calibri" w:hAnsi="Times New Roman" w:cs="Times New Roman"/>
          <w:sz w:val="24"/>
          <w:szCs w:val="24"/>
        </w:rPr>
        <w:t>.</w:t>
      </w:r>
    </w:p>
    <w:p w14:paraId="53CBEDD2" w14:textId="77777777" w:rsidR="008A1747" w:rsidRPr="00E85C29" w:rsidRDefault="008A1747" w:rsidP="008A1747">
      <w:pPr>
        <w:ind w:left="90" w:firstLine="0"/>
        <w:jc w:val="left"/>
        <w:rPr>
          <w:rFonts w:ascii="Times New Roman" w:eastAsia="Calibri" w:hAnsi="Times New Roman" w:cs="Times New Roman"/>
          <w:sz w:val="24"/>
          <w:szCs w:val="24"/>
        </w:rPr>
      </w:pPr>
    </w:p>
    <w:p w14:paraId="516F60C0" w14:textId="77777777" w:rsidR="00E85C29" w:rsidRPr="00E85C29" w:rsidRDefault="00E85C29" w:rsidP="00395F40">
      <w:pPr>
        <w:shd w:val="clear" w:color="auto" w:fill="F2F2F2"/>
        <w:ind w:left="86"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R </w:t>
      </w:r>
      <w:proofErr w:type="gramStart"/>
      <w:r w:rsidRPr="00E85C29">
        <w:rPr>
          <w:rFonts w:ascii="Times New Roman" w:eastAsia="Calibri" w:hAnsi="Times New Roman" w:cs="Times New Roman"/>
          <w:b/>
          <w:bCs/>
          <w:sz w:val="24"/>
          <w:szCs w:val="24"/>
        </w:rPr>
        <w:t>4 :</w:t>
      </w:r>
      <w:proofErr w:type="gramEnd"/>
      <w:r w:rsidRPr="00E85C29">
        <w:rPr>
          <w:rFonts w:ascii="Times New Roman" w:eastAsia="Calibri" w:hAnsi="Times New Roman" w:cs="Times New Roman"/>
          <w:b/>
          <w:bCs/>
          <w:sz w:val="24"/>
          <w:szCs w:val="24"/>
        </w:rPr>
        <w:t xml:space="preserve">        SRNS /ESRF</w:t>
      </w:r>
    </w:p>
    <w:p w14:paraId="38DF849C" w14:textId="77777777" w:rsidR="00E85C29" w:rsidRPr="00E85C29" w:rsidRDefault="00E85C29" w:rsidP="00395F40">
      <w:pPr>
        <w:shd w:val="clear" w:color="auto" w:fill="FFFFFF"/>
        <w:ind w:left="86" w:firstLine="0"/>
        <w:jc w:val="left"/>
        <w:rPr>
          <w:rFonts w:ascii="Times New Roman" w:eastAsia="Calibri" w:hAnsi="Times New Roman" w:cs="Times New Roman"/>
          <w:b/>
          <w:bCs/>
          <w:sz w:val="24"/>
          <w:szCs w:val="24"/>
        </w:rPr>
      </w:pPr>
      <w:proofErr w:type="gramStart"/>
      <w:r w:rsidRPr="00E85C29">
        <w:rPr>
          <w:rFonts w:ascii="Times New Roman" w:eastAsia="Calibri" w:hAnsi="Times New Roman" w:cs="Times New Roman"/>
          <w:b/>
          <w:bCs/>
          <w:sz w:val="24"/>
          <w:szCs w:val="24"/>
          <w:shd w:val="clear" w:color="auto" w:fill="FFFFFF"/>
        </w:rPr>
        <w:t>4.1 :</w:t>
      </w:r>
      <w:proofErr w:type="gramEnd"/>
      <w:r w:rsidRPr="00E85C29">
        <w:rPr>
          <w:rFonts w:ascii="Times New Roman" w:eastAsia="Calibri" w:hAnsi="Times New Roman" w:cs="Times New Roman"/>
          <w:b/>
          <w:bCs/>
          <w:sz w:val="24"/>
          <w:szCs w:val="24"/>
          <w:shd w:val="clear" w:color="auto" w:fill="FFFFFF"/>
        </w:rPr>
        <w:t xml:space="preserve"> Pre-transplant workup:</w:t>
      </w:r>
    </w:p>
    <w:p w14:paraId="71EF2CDC" w14:textId="77777777" w:rsidR="00E85C29" w:rsidRPr="00E85C29" w:rsidRDefault="00E85C29" w:rsidP="00395F40">
      <w:pPr>
        <w:shd w:val="clear" w:color="auto" w:fill="FFFFFF"/>
        <w:ind w:left="86" w:firstLine="0"/>
        <w:jc w:val="left"/>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4.1.A:</w:t>
      </w:r>
      <w:r w:rsidRPr="00E85C29">
        <w:rPr>
          <w:rFonts w:ascii="Times New Roman" w:eastAsia="Calibri" w:hAnsi="Times New Roman" w:cs="Times New Roman"/>
          <w:sz w:val="24"/>
          <w:szCs w:val="24"/>
        </w:rPr>
        <w:t xml:space="preserve"> While on dialysis; we recommend discussing with the family and dialysis team benefit and risk of transplantation and post-transplant recurrence rate. </w:t>
      </w:r>
      <w:r w:rsidRPr="00E85C29">
        <w:rPr>
          <w:rFonts w:ascii="Times New Roman" w:eastAsia="Calibri" w:hAnsi="Times New Roman" w:cs="Times New Roman"/>
          <w:b/>
          <w:bCs/>
          <w:sz w:val="24"/>
          <w:szCs w:val="24"/>
        </w:rPr>
        <w:t>(A). IPNA</w:t>
      </w:r>
      <w:r w:rsidR="008A1747">
        <w:rPr>
          <w:rFonts w:ascii="Times New Roman" w:eastAsia="Calibri" w:hAnsi="Times New Roman" w:cs="Times New Roman"/>
          <w:b/>
          <w:bCs/>
          <w:sz w:val="24"/>
          <w:szCs w:val="24"/>
        </w:rPr>
        <w:t xml:space="preserve"> 2020</w:t>
      </w:r>
    </w:p>
    <w:p w14:paraId="7F98EC1A" w14:textId="77777777" w:rsidR="00E85C29" w:rsidRPr="00E85C29" w:rsidRDefault="00E85C29" w:rsidP="00395F40">
      <w:pPr>
        <w:ind w:left="86"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4.1.B:</w:t>
      </w:r>
      <w:r w:rsidRPr="00E85C29">
        <w:rPr>
          <w:rFonts w:ascii="Times New Roman" w:eastAsia="Calibri" w:hAnsi="Times New Roman" w:cs="Times New Roman"/>
          <w:sz w:val="24"/>
          <w:szCs w:val="24"/>
        </w:rPr>
        <w:t xml:space="preserve"> Measure daily urine proteins prior to transplantation (base assessment for native residual function) to facilitate early diagnosis of post-transplant recurrence</w:t>
      </w:r>
      <w:r w:rsidRPr="00E85C29">
        <w:rPr>
          <w:rFonts w:ascii="Times New Roman" w:eastAsia="Calibri" w:hAnsi="Times New Roman" w:cs="Times New Roman"/>
          <w:b/>
          <w:bCs/>
          <w:sz w:val="24"/>
          <w:szCs w:val="24"/>
        </w:rPr>
        <w:t>. (A)</w:t>
      </w:r>
    </w:p>
    <w:p w14:paraId="28A6AF23" w14:textId="77777777" w:rsidR="00E85C29" w:rsidRPr="00E85C29" w:rsidRDefault="00E85C29" w:rsidP="00395F40">
      <w:pPr>
        <w:ind w:left="86" w:firstLine="0"/>
        <w:jc w:val="left"/>
        <w:rPr>
          <w:rFonts w:ascii="Times New Roman" w:eastAsia="Calibri" w:hAnsi="Times New Roman" w:cs="Times New Roman"/>
          <w:sz w:val="24"/>
          <w:szCs w:val="24"/>
        </w:rPr>
      </w:pPr>
      <w:r w:rsidRPr="00E85C29">
        <w:rPr>
          <w:rFonts w:ascii="Times New Roman" w:eastAsia="Calibri" w:hAnsi="Times New Roman" w:cs="Times New Roman"/>
          <w:sz w:val="24"/>
          <w:szCs w:val="24"/>
        </w:rPr>
        <w:t>Preparation for transplantation ideally requires the resolution of NS to minimize the risk for venous thromboembolism and improve accuracy of monitoring for post-transplant recurrence.</w:t>
      </w:r>
    </w:p>
    <w:p w14:paraId="1D9997C6" w14:textId="77777777" w:rsidR="00E85C29" w:rsidRPr="00E85C29" w:rsidRDefault="00E85C29" w:rsidP="00395F40">
      <w:pPr>
        <w:ind w:left="86" w:firstLine="0"/>
        <w:jc w:val="left"/>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4.1.C:</w:t>
      </w:r>
      <w:r w:rsidRPr="00E85C29">
        <w:rPr>
          <w:rFonts w:ascii="Times New Roman" w:eastAsia="Calibri" w:hAnsi="Times New Roman" w:cs="Times New Roman"/>
          <w:sz w:val="24"/>
          <w:szCs w:val="24"/>
        </w:rPr>
        <w:t xml:space="preserve"> We suggest considering pre transplant nephrectomy if transplant will occur before resolution of NS in the setting of ESKD. This will minimize risk of thromboembolism and ensure </w:t>
      </w:r>
      <w:r w:rsidRPr="00E85C29">
        <w:rPr>
          <w:rFonts w:ascii="Times New Roman" w:eastAsia="Calibri" w:hAnsi="Times New Roman" w:cs="Times New Roman"/>
          <w:sz w:val="24"/>
          <w:szCs w:val="24"/>
        </w:rPr>
        <w:lastRenderedPageBreak/>
        <w:t xml:space="preserve">accurate assessment for post TX proteinuria which could be the earliest sign of recurrence after exclusion of other contributing causes than recurrence. </w:t>
      </w:r>
      <w:r w:rsidRPr="00E85C29">
        <w:rPr>
          <w:rFonts w:ascii="Times New Roman" w:eastAsia="Calibri" w:hAnsi="Times New Roman" w:cs="Times New Roman"/>
          <w:b/>
          <w:bCs/>
          <w:sz w:val="24"/>
          <w:szCs w:val="24"/>
        </w:rPr>
        <w:t>(D)</w:t>
      </w:r>
    </w:p>
    <w:p w14:paraId="28605A67" w14:textId="77777777" w:rsidR="00E85C29" w:rsidRPr="00E85C29" w:rsidRDefault="00E85C29" w:rsidP="008A1747">
      <w:pPr>
        <w:ind w:left="86"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4.1.D:</w:t>
      </w:r>
      <w:r w:rsidRPr="00E85C29">
        <w:rPr>
          <w:rFonts w:ascii="Times New Roman" w:eastAsia="Calibri" w:hAnsi="Times New Roman" w:cs="Times New Roman"/>
          <w:sz w:val="24"/>
          <w:szCs w:val="24"/>
        </w:rPr>
        <w:t xml:space="preserve"> We recommend that genetic testing be performed before transplantation to inform SRNS recurrence risk (grade B, moderate recommendation). </w:t>
      </w:r>
      <w:r w:rsidRPr="00E85C29">
        <w:rPr>
          <w:rFonts w:ascii="Times New Roman" w:eastAsia="Calibri" w:hAnsi="Times New Roman" w:cs="Times New Roman"/>
          <w:b/>
          <w:bCs/>
          <w:sz w:val="24"/>
          <w:szCs w:val="24"/>
        </w:rPr>
        <w:t>(B).</w:t>
      </w:r>
      <w:r w:rsidRPr="00E85C29">
        <w:rPr>
          <w:rFonts w:ascii="Times New Roman" w:eastAsia="Calibri" w:hAnsi="Times New Roman" w:cs="Times New Roman"/>
          <w:sz w:val="24"/>
          <w:szCs w:val="24"/>
        </w:rPr>
        <w:t xml:space="preserve"> Hereditary types carry a low recurrence risk when compared to non-genetic 0% vs. 24% in Brazilian cohort </w:t>
      </w:r>
      <w:r w:rsidRPr="00E85C29">
        <w:rPr>
          <w:rFonts w:ascii="Times New Roman" w:eastAsia="Calibri" w:hAnsi="Times New Roman" w:cs="Times New Roman"/>
          <w:b/>
          <w:bCs/>
          <w:color w:val="0070C0"/>
          <w:sz w:val="24"/>
          <w:szCs w:val="24"/>
        </w:rPr>
        <w:t>[188],</w:t>
      </w:r>
      <w:r w:rsidRPr="00E85C29">
        <w:rPr>
          <w:rFonts w:ascii="Times New Roman" w:eastAsia="Calibri" w:hAnsi="Times New Roman" w:cs="Times New Roman"/>
          <w:color w:val="0070C0"/>
          <w:sz w:val="24"/>
          <w:szCs w:val="24"/>
        </w:rPr>
        <w:t xml:space="preserve"> </w:t>
      </w:r>
      <w:r w:rsidRPr="00E85C29">
        <w:rPr>
          <w:rFonts w:ascii="Times New Roman" w:eastAsia="Calibri" w:hAnsi="Times New Roman" w:cs="Times New Roman"/>
          <w:sz w:val="24"/>
          <w:szCs w:val="24"/>
        </w:rPr>
        <w:t xml:space="preserve">7% vs. 50% in European cohort </w:t>
      </w:r>
      <w:r w:rsidRPr="00E85C29">
        <w:rPr>
          <w:rFonts w:ascii="Times New Roman" w:eastAsia="Calibri" w:hAnsi="Times New Roman" w:cs="Times New Roman"/>
          <w:b/>
          <w:bCs/>
          <w:color w:val="0070C0"/>
          <w:sz w:val="24"/>
          <w:szCs w:val="24"/>
        </w:rPr>
        <w:t>[101].</w:t>
      </w:r>
    </w:p>
    <w:p w14:paraId="1378E23C" w14:textId="77777777" w:rsidR="00E85C29" w:rsidRPr="00435A44" w:rsidRDefault="00E85C29" w:rsidP="008A1747">
      <w:pPr>
        <w:ind w:left="86" w:firstLine="0"/>
        <w:rPr>
          <w:rFonts w:ascii="Times New Roman" w:eastAsia="Calibri" w:hAnsi="Times New Roman" w:cs="Times New Roman"/>
          <w:color w:val="0070C0"/>
          <w:sz w:val="24"/>
          <w:szCs w:val="24"/>
        </w:rPr>
      </w:pPr>
      <w:r w:rsidRPr="00E85C29">
        <w:rPr>
          <w:rFonts w:ascii="Times New Roman" w:eastAsia="Calibri" w:hAnsi="Times New Roman" w:cs="Times New Roman"/>
          <w:sz w:val="24"/>
          <w:szCs w:val="24"/>
        </w:rPr>
        <w:t xml:space="preserve">In Egypt transplanted children with inherited kidney disease represent 43% ff total pediatric kidney transplant within 2009/2017 registry </w:t>
      </w:r>
      <w:r w:rsidRPr="00435A44">
        <w:rPr>
          <w:rFonts w:ascii="Times New Roman" w:eastAsia="Calibri" w:hAnsi="Times New Roman" w:cs="Times New Roman"/>
          <w:b/>
          <w:bCs/>
          <w:color w:val="0070C0"/>
          <w:sz w:val="24"/>
          <w:szCs w:val="24"/>
        </w:rPr>
        <w:t>[Moustafa 2020]</w:t>
      </w:r>
    </w:p>
    <w:p w14:paraId="1F8BCFD8" w14:textId="77777777" w:rsidR="00E85C29" w:rsidRPr="00E85C29" w:rsidRDefault="00E85C29" w:rsidP="00395F40">
      <w:pPr>
        <w:ind w:left="86" w:firstLine="0"/>
        <w:jc w:val="left"/>
        <w:rPr>
          <w:rFonts w:ascii="Times New Roman" w:eastAsia="Calibri" w:hAnsi="Times New Roman" w:cs="Times New Roman"/>
          <w:sz w:val="24"/>
          <w:szCs w:val="24"/>
        </w:rPr>
      </w:pPr>
    </w:p>
    <w:p w14:paraId="51B16636" w14:textId="77777777" w:rsidR="00E85C29" w:rsidRPr="00E85C29" w:rsidRDefault="00E85C29" w:rsidP="00435A44">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4.2: Proper donor selection:</w:t>
      </w:r>
    </w:p>
    <w:p w14:paraId="1DAB102B"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4.2.A:</w:t>
      </w:r>
      <w:r w:rsidRPr="00E85C29">
        <w:rPr>
          <w:rFonts w:ascii="Times New Roman" w:eastAsia="Calibri" w:hAnsi="Times New Roman" w:cs="Times New Roman"/>
          <w:sz w:val="24"/>
          <w:szCs w:val="24"/>
        </w:rPr>
        <w:t xml:space="preserve"> We recommend TX for SR/ESKD regardless of genetic or non-genetic cause </w:t>
      </w:r>
      <w:r w:rsidRPr="00E85C29">
        <w:rPr>
          <w:rFonts w:ascii="Times New Roman" w:eastAsia="Calibri" w:hAnsi="Times New Roman" w:cs="Times New Roman"/>
          <w:b/>
          <w:bCs/>
          <w:sz w:val="24"/>
          <w:szCs w:val="24"/>
        </w:rPr>
        <w:t>(B) IPNA.</w:t>
      </w:r>
    </w:p>
    <w:p w14:paraId="46980056"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4.2.B:</w:t>
      </w:r>
      <w:r w:rsidRPr="00E85C29">
        <w:rPr>
          <w:rFonts w:ascii="Times New Roman" w:eastAsia="Calibri" w:hAnsi="Times New Roman" w:cs="Times New Roman"/>
          <w:sz w:val="24"/>
          <w:szCs w:val="24"/>
        </w:rPr>
        <w:t xml:space="preserve"> Potential donor selection should be early and proper:</w:t>
      </w:r>
    </w:p>
    <w:p w14:paraId="5051BE5B" w14:textId="77777777" w:rsidR="00E85C29" w:rsidRPr="00E85C29" w:rsidRDefault="00E85C29" w:rsidP="00435A44">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recommend   either living related allograft donors or deceased donors are encouraged for patients with non-genetic SRNS receiving their first allograft </w:t>
      </w:r>
      <w:r w:rsidRPr="00E85C29">
        <w:rPr>
          <w:rFonts w:ascii="Times New Roman" w:eastAsia="Calibri" w:hAnsi="Times New Roman" w:cs="Times New Roman"/>
          <w:b/>
          <w:bCs/>
          <w:sz w:val="24"/>
          <w:szCs w:val="24"/>
        </w:rPr>
        <w:t>(B moderate recommendation) IPNA</w:t>
      </w:r>
    </w:p>
    <w:p w14:paraId="6B007E1A"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4.2.C:</w:t>
      </w:r>
      <w:r w:rsidRPr="00E85C29">
        <w:rPr>
          <w:rFonts w:ascii="Times New Roman" w:eastAsia="Calibri" w:hAnsi="Times New Roman" w:cs="Times New Roman"/>
          <w:sz w:val="24"/>
          <w:szCs w:val="24"/>
        </w:rPr>
        <w:t xml:space="preserve"> We recommend genetic tests for kidney donors as part of essential evaluation in the setting of genetic SRNS if available </w:t>
      </w:r>
      <w:r w:rsidRPr="00E85C29">
        <w:rPr>
          <w:rFonts w:ascii="Times New Roman" w:eastAsia="Calibri" w:hAnsi="Times New Roman" w:cs="Times New Roman"/>
          <w:b/>
          <w:bCs/>
          <w:sz w:val="24"/>
          <w:szCs w:val="24"/>
        </w:rPr>
        <w:t>(X)</w:t>
      </w:r>
    </w:p>
    <w:p w14:paraId="0CF28B82"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excluding related donor with pathogenic or likely pathogenic variant in a dominant gene with or without symptoms, as a potential donor.  </w:t>
      </w:r>
      <w:r w:rsidRPr="00E85C29">
        <w:rPr>
          <w:rFonts w:ascii="Times New Roman" w:eastAsia="Calibri" w:hAnsi="Times New Roman" w:cs="Times New Roman"/>
          <w:b/>
          <w:bCs/>
          <w:sz w:val="24"/>
          <w:szCs w:val="24"/>
        </w:rPr>
        <w:t>(X)</w:t>
      </w:r>
    </w:p>
    <w:p w14:paraId="4FDEA89B"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A heterozygous carrier of a recessive gene may be considered a potential donor after genetic counselling except for carriers of variants e.g., carriers COL45, COL4A3, COL4A4 </w:t>
      </w:r>
      <w:r w:rsidRPr="00E85C29">
        <w:rPr>
          <w:rFonts w:ascii="Times New Roman" w:eastAsia="Calibri" w:hAnsi="Times New Roman" w:cs="Times New Roman"/>
          <w:b/>
          <w:bCs/>
          <w:sz w:val="24"/>
          <w:szCs w:val="24"/>
        </w:rPr>
        <w:t>(C)</w:t>
      </w:r>
    </w:p>
    <w:p w14:paraId="2BF72CDC" w14:textId="77777777" w:rsidR="00E85C29" w:rsidRPr="00E85C29" w:rsidRDefault="00E85C29" w:rsidP="00435A44">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An asymptomatic carrier for unknown significant variant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may be considered a potential donor only after extensive evaluation with GT and counseling where other donations options are not available</w:t>
      </w:r>
      <w:r w:rsidRPr="00E85C29">
        <w:rPr>
          <w:rFonts w:ascii="Times New Roman" w:eastAsia="Calibri" w:hAnsi="Times New Roman" w:cs="Times New Roman"/>
          <w:b/>
          <w:bCs/>
          <w:sz w:val="24"/>
          <w:szCs w:val="24"/>
        </w:rPr>
        <w:t>. (C)</w:t>
      </w:r>
    </w:p>
    <w:p w14:paraId="4480B2A3" w14:textId="77777777" w:rsidR="00E85C29" w:rsidRPr="00E85C29" w:rsidRDefault="00E85C29" w:rsidP="00435A44">
      <w:pPr>
        <w:ind w:left="90" w:firstLine="0"/>
        <w:rPr>
          <w:rFonts w:ascii="Times New Roman" w:eastAsia="Calibri" w:hAnsi="Times New Roman" w:cs="Times New Roman"/>
          <w:sz w:val="24"/>
          <w:szCs w:val="24"/>
        </w:rPr>
      </w:pPr>
    </w:p>
    <w:p w14:paraId="1851F255" w14:textId="77777777" w:rsidR="00E85C29" w:rsidRPr="00E85C29" w:rsidRDefault="00E85C29" w:rsidP="00435A44">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 xml:space="preserve">R </w:t>
      </w:r>
      <w:proofErr w:type="gramStart"/>
      <w:r w:rsidRPr="00E85C29">
        <w:rPr>
          <w:rFonts w:ascii="Times New Roman" w:eastAsia="Calibri" w:hAnsi="Times New Roman" w:cs="Times New Roman"/>
          <w:b/>
          <w:bCs/>
          <w:sz w:val="24"/>
          <w:szCs w:val="24"/>
        </w:rPr>
        <w:t>4.3 :</w:t>
      </w:r>
      <w:proofErr w:type="gramEnd"/>
      <w:r w:rsidRPr="00E85C29">
        <w:rPr>
          <w:rFonts w:ascii="Times New Roman" w:eastAsia="Calibri" w:hAnsi="Times New Roman" w:cs="Times New Roman"/>
          <w:b/>
          <w:bCs/>
          <w:sz w:val="24"/>
          <w:szCs w:val="24"/>
        </w:rPr>
        <w:t xml:space="preserve">               Recurrence Risk Management  ?</w:t>
      </w:r>
    </w:p>
    <w:p w14:paraId="1ACA5590"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4.3. A</w:t>
      </w:r>
      <w:r w:rsidRPr="00E85C29">
        <w:rPr>
          <w:rFonts w:ascii="Times New Roman" w:eastAsia="Calibri" w:hAnsi="Times New Roman" w:cs="Times New Roman"/>
          <w:sz w:val="24"/>
          <w:szCs w:val="24"/>
        </w:rPr>
        <w:t xml:space="preserve"> Risk of recurrence&amp; premature graft failure should be discussed with the donor </w:t>
      </w:r>
      <w:r w:rsidRPr="00E85C29">
        <w:rPr>
          <w:rFonts w:ascii="Times New Roman" w:eastAsia="Calibri" w:hAnsi="Times New Roman" w:cs="Times New Roman"/>
          <w:b/>
          <w:bCs/>
          <w:sz w:val="24"/>
          <w:szCs w:val="24"/>
        </w:rPr>
        <w:t>(A).</w:t>
      </w:r>
    </w:p>
    <w:p w14:paraId="5F412F01"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b/>
          <w:bCs/>
          <w:sz w:val="24"/>
          <w:szCs w:val="24"/>
        </w:rPr>
        <w:t>R 4.3.B</w:t>
      </w:r>
      <w:r w:rsidRPr="00E85C29">
        <w:rPr>
          <w:rFonts w:ascii="Times New Roman" w:eastAsia="Calibri" w:hAnsi="Times New Roman" w:cs="Times New Roman"/>
          <w:sz w:val="24"/>
          <w:szCs w:val="24"/>
        </w:rPr>
        <w:t xml:space="preserve"> We recommend discouraging living related donation to recipients with previous recurrence in previous graft </w:t>
      </w:r>
      <w:r w:rsidRPr="00E85C29">
        <w:rPr>
          <w:rFonts w:ascii="Times New Roman" w:eastAsia="Calibri" w:hAnsi="Times New Roman" w:cs="Times New Roman"/>
          <w:b/>
          <w:bCs/>
          <w:sz w:val="24"/>
          <w:szCs w:val="24"/>
        </w:rPr>
        <w:t>(B).</w:t>
      </w:r>
    </w:p>
    <w:p w14:paraId="62B53452" w14:textId="77777777" w:rsidR="00E85C29" w:rsidRPr="00E85C29" w:rsidRDefault="00E85C29" w:rsidP="00435A44">
      <w:pPr>
        <w:numPr>
          <w:ilvl w:val="0"/>
          <w:numId w:val="44"/>
        </w:numPr>
        <w:tabs>
          <w:tab w:val="left" w:pos="270"/>
          <w:tab w:val="left" w:pos="360"/>
        </w:tabs>
        <w:ind w:left="18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Cadaveric graft is a better option than dialysis. </w:t>
      </w:r>
      <w:r w:rsidRPr="00E85C29">
        <w:rPr>
          <w:rFonts w:ascii="Times New Roman" w:eastAsia="Calibri" w:hAnsi="Times New Roman" w:cs="Times New Roman"/>
          <w:b/>
          <w:bCs/>
          <w:sz w:val="24"/>
          <w:szCs w:val="24"/>
        </w:rPr>
        <w:t>(C)</w:t>
      </w:r>
    </w:p>
    <w:p w14:paraId="5CA50A66" w14:textId="77777777" w:rsidR="00E85C29" w:rsidRPr="00E85C29" w:rsidRDefault="00E85C29" w:rsidP="00435A44">
      <w:pPr>
        <w:numPr>
          <w:ilvl w:val="0"/>
          <w:numId w:val="44"/>
        </w:numPr>
        <w:tabs>
          <w:tab w:val="left" w:pos="360"/>
        </w:tabs>
        <w:ind w:left="360" w:hanging="18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Deceased donor transplant may be offered to recipients with previous graft loss particularly if dialysis is difficult to sustain or associated with life threatening events, serious infections, poor growth and or low quality of life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Post-transplant recurrence in first allograft indicates 60-80% risk of recurrence in subsequent graft.</w:t>
      </w:r>
    </w:p>
    <w:p w14:paraId="428CD860" w14:textId="77777777" w:rsidR="00E85C29" w:rsidRPr="00E85C29" w:rsidRDefault="00E85C29" w:rsidP="00435A44">
      <w:pPr>
        <w:ind w:left="360" w:hanging="180"/>
        <w:rPr>
          <w:rFonts w:ascii="Times New Roman" w:eastAsia="Calibri" w:hAnsi="Times New Roman" w:cs="Times New Roman"/>
          <w:sz w:val="24"/>
          <w:szCs w:val="24"/>
        </w:rPr>
      </w:pPr>
    </w:p>
    <w:p w14:paraId="3055B53D" w14:textId="77777777" w:rsidR="00E85C29" w:rsidRPr="00E85C29" w:rsidRDefault="00E85C29" w:rsidP="00435A44">
      <w:pPr>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t>R 4.3.C:</w:t>
      </w:r>
      <w:r w:rsidRPr="00E85C29">
        <w:rPr>
          <w:rFonts w:ascii="Times New Roman" w:eastAsia="Calibri" w:hAnsi="Times New Roman" w:cs="Times New Roman"/>
          <w:sz w:val="24"/>
          <w:szCs w:val="24"/>
        </w:rPr>
        <w:t xml:space="preserve">      </w:t>
      </w:r>
      <w:r w:rsidRPr="00E85C29">
        <w:rPr>
          <w:rFonts w:ascii="Times New Roman" w:eastAsia="Calibri" w:hAnsi="Times New Roman" w:cs="Times New Roman"/>
          <w:b/>
          <w:bCs/>
          <w:sz w:val="24"/>
          <w:szCs w:val="24"/>
          <w:shd w:val="clear" w:color="auto" w:fill="FFFFFF"/>
        </w:rPr>
        <w:t>Post- transplant recurrence diagnosis?</w:t>
      </w:r>
    </w:p>
    <w:p w14:paraId="6316C13F"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recommend monitoring proteinuria daily throughout the initial transplant hospitalization, and then continued periodically (e.g., weekly for 4weeks, monthly for 1 y, then quaternary thereafter </w:t>
      </w:r>
      <w:r w:rsidRPr="00E85C29">
        <w:rPr>
          <w:rFonts w:ascii="Times New Roman" w:eastAsia="Calibri" w:hAnsi="Times New Roman" w:cs="Times New Roman"/>
          <w:b/>
          <w:bCs/>
          <w:sz w:val="24"/>
          <w:szCs w:val="24"/>
        </w:rPr>
        <w:t xml:space="preserve">(C) </w:t>
      </w:r>
      <w:r w:rsidRPr="00E85C29">
        <w:rPr>
          <w:rFonts w:ascii="Times New Roman" w:eastAsia="Calibri" w:hAnsi="Times New Roman" w:cs="Times New Roman"/>
          <w:sz w:val="24"/>
          <w:szCs w:val="24"/>
        </w:rPr>
        <w:t xml:space="preserve"> to predict recurrence (Up/c &gt; 100mg/mmol) (1 mg/mg) after excluding other causes </w:t>
      </w:r>
      <w:r w:rsidRPr="00E85C29">
        <w:rPr>
          <w:rFonts w:ascii="Times New Roman" w:eastAsia="Calibri" w:hAnsi="Times New Roman" w:cs="Times New Roman"/>
          <w:b/>
          <w:bCs/>
          <w:sz w:val="24"/>
          <w:szCs w:val="24"/>
        </w:rPr>
        <w:t>(C) IPNA</w:t>
      </w:r>
      <w:r w:rsidRPr="00E85C29">
        <w:rPr>
          <w:rFonts w:ascii="Times New Roman" w:eastAsia="Calibri" w:hAnsi="Times New Roman" w:cs="Times New Roman"/>
          <w:sz w:val="24"/>
          <w:szCs w:val="24"/>
        </w:rPr>
        <w:t>, (such as early onset ATN, infection, graft non function or dysfunction).</w:t>
      </w:r>
    </w:p>
    <w:p w14:paraId="7B0070CA"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Renal biopsy is not recommended to diagnose recurrence, but for the exclusion of differential diagnosis in the setting of sub nephrotic proteinuria, early recurrence after 48 h, or in the setting of delayed graft function (grade B, moderate recommendation) </w:t>
      </w:r>
      <w:r w:rsidRPr="00E85C29">
        <w:rPr>
          <w:rFonts w:ascii="Times New Roman" w:eastAsia="Calibri" w:hAnsi="Times New Roman" w:cs="Times New Roman"/>
          <w:b/>
          <w:bCs/>
          <w:sz w:val="24"/>
          <w:szCs w:val="24"/>
        </w:rPr>
        <w:t>(C) IPNA.</w:t>
      </w:r>
    </w:p>
    <w:p w14:paraId="5AF3EC98" w14:textId="77777777" w:rsidR="00E85C29" w:rsidRPr="00E85C29" w:rsidRDefault="00E85C29" w:rsidP="00395F40">
      <w:pPr>
        <w:ind w:left="90" w:firstLine="0"/>
        <w:jc w:val="left"/>
        <w:rPr>
          <w:rFonts w:ascii="Times New Roman" w:eastAsia="Calibri" w:hAnsi="Times New Roman" w:cs="Times New Roman"/>
          <w:sz w:val="24"/>
          <w:szCs w:val="24"/>
        </w:rPr>
      </w:pPr>
    </w:p>
    <w:p w14:paraId="5AC85CC2" w14:textId="77777777" w:rsidR="00E85C29" w:rsidRPr="00E85C29" w:rsidRDefault="00E85C29" w:rsidP="00435A44">
      <w:pPr>
        <w:shd w:val="clear" w:color="auto" w:fill="FFFFFF"/>
        <w:ind w:left="1170" w:hanging="108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shd w:val="clear" w:color="auto" w:fill="FFFFFF"/>
        </w:rPr>
        <w:t>R 4.3.D:   Prevention of    recurrence in primary</w:t>
      </w:r>
      <w:r w:rsidRPr="00E85C29">
        <w:rPr>
          <w:rFonts w:ascii="Times New Roman" w:eastAsia="Calibri" w:hAnsi="Times New Roman" w:cs="Times New Roman"/>
          <w:b/>
          <w:bCs/>
          <w:sz w:val="24"/>
          <w:szCs w:val="24"/>
        </w:rPr>
        <w:t xml:space="preserve"> non genetic SRNS with previous recurrence?</w:t>
      </w:r>
    </w:p>
    <w:p w14:paraId="539B5AA3"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We suggest</w:t>
      </w:r>
    </w:p>
    <w:p w14:paraId="09F10918" w14:textId="77777777" w:rsidR="00E85C29" w:rsidRPr="00E85C29" w:rsidRDefault="00E85C29" w:rsidP="00435A44">
      <w:pPr>
        <w:numPr>
          <w:ilvl w:val="0"/>
          <w:numId w:val="45"/>
        </w:numPr>
        <w:tabs>
          <w:tab w:val="left" w:pos="27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Prophylactic PE 3 sessions /week (1.5 Blood. Volume) for 2 weeks, starting 1w prior</w:t>
      </w:r>
    </w:p>
    <w:p w14:paraId="7EF68414" w14:textId="77777777" w:rsidR="00E85C29" w:rsidRPr="00E85C29" w:rsidRDefault="00E85C29" w:rsidP="00435A44">
      <w:pPr>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to living donor TX ,1d prior Deceased. Donor. Transplant</w:t>
      </w:r>
    </w:p>
    <w:p w14:paraId="5235F378" w14:textId="77777777" w:rsidR="00E85C29" w:rsidRPr="00E85C29" w:rsidRDefault="00E85C29" w:rsidP="00435A44">
      <w:pPr>
        <w:numPr>
          <w:ilvl w:val="0"/>
          <w:numId w:val="45"/>
        </w:numPr>
        <w:tabs>
          <w:tab w:val="left" w:pos="270"/>
        </w:tabs>
        <w:ind w:left="90" w:firstLine="0"/>
        <w:rPr>
          <w:rFonts w:ascii="Times New Roman" w:eastAsia="Calibri" w:hAnsi="Times New Roman" w:cs="Times New Roman"/>
          <w:b/>
          <w:bCs/>
          <w:color w:val="0070C0"/>
          <w:sz w:val="24"/>
          <w:szCs w:val="24"/>
        </w:rPr>
      </w:pPr>
      <w:r w:rsidRPr="00E85C29">
        <w:rPr>
          <w:rFonts w:ascii="Times New Roman" w:eastAsia="Calibri" w:hAnsi="Times New Roman" w:cs="Times New Roman"/>
          <w:sz w:val="24"/>
          <w:szCs w:val="24"/>
        </w:rPr>
        <w:t xml:space="preserve">Rituximab (1 dose pre- operative +- 7d post TX second dose </w:t>
      </w:r>
      <w:r w:rsidRPr="00E85C29">
        <w:rPr>
          <w:rFonts w:ascii="Times New Roman" w:eastAsia="Calibri" w:hAnsi="Times New Roman" w:cs="Times New Roman"/>
          <w:b/>
          <w:bCs/>
          <w:color w:val="0070C0"/>
          <w:sz w:val="24"/>
          <w:szCs w:val="24"/>
        </w:rPr>
        <w:t>[R. 215, 217. Meyer</w:t>
      </w:r>
    </w:p>
    <w:p w14:paraId="7ACA1456" w14:textId="77777777" w:rsidR="00E85C29" w:rsidRDefault="00E85C29" w:rsidP="00435A44">
      <w:pPr>
        <w:ind w:left="90" w:firstLine="0"/>
        <w:rPr>
          <w:rFonts w:ascii="Times New Roman" w:eastAsia="Calibri" w:hAnsi="Times New Roman" w:cs="Times New Roman"/>
          <w:b/>
          <w:bCs/>
          <w:color w:val="0070C0"/>
          <w:sz w:val="24"/>
          <w:szCs w:val="24"/>
        </w:rPr>
      </w:pPr>
      <w:r w:rsidRPr="00E85C29">
        <w:rPr>
          <w:rFonts w:ascii="Times New Roman" w:eastAsia="Calibri" w:hAnsi="Times New Roman" w:cs="Times New Roman"/>
          <w:b/>
          <w:bCs/>
          <w:color w:val="0070C0"/>
          <w:sz w:val="24"/>
          <w:szCs w:val="24"/>
        </w:rPr>
        <w:t xml:space="preserve">2007, </w:t>
      </w:r>
      <w:proofErr w:type="spellStart"/>
      <w:r w:rsidRPr="00E85C29">
        <w:rPr>
          <w:rFonts w:ascii="Times New Roman" w:eastAsia="Calibri" w:hAnsi="Times New Roman" w:cs="Times New Roman"/>
          <w:b/>
          <w:bCs/>
          <w:color w:val="0070C0"/>
          <w:sz w:val="24"/>
          <w:szCs w:val="24"/>
        </w:rPr>
        <w:t>Audard</w:t>
      </w:r>
      <w:proofErr w:type="spellEnd"/>
      <w:r w:rsidRPr="00E85C29">
        <w:rPr>
          <w:rFonts w:ascii="Times New Roman" w:eastAsia="Calibri" w:hAnsi="Times New Roman" w:cs="Times New Roman"/>
          <w:b/>
          <w:bCs/>
          <w:color w:val="0070C0"/>
          <w:sz w:val="24"/>
          <w:szCs w:val="24"/>
        </w:rPr>
        <w:t xml:space="preserve"> 2012]</w:t>
      </w:r>
    </w:p>
    <w:p w14:paraId="7C389FDD" w14:textId="77777777" w:rsidR="009A334E" w:rsidRDefault="009A334E" w:rsidP="00435A44">
      <w:pPr>
        <w:ind w:left="90" w:firstLine="0"/>
        <w:rPr>
          <w:rFonts w:ascii="Times New Roman" w:eastAsia="Calibri" w:hAnsi="Times New Roman" w:cs="Times New Roman"/>
          <w:b/>
          <w:bCs/>
          <w:color w:val="0070C0"/>
          <w:sz w:val="24"/>
          <w:szCs w:val="24"/>
        </w:rPr>
      </w:pPr>
    </w:p>
    <w:p w14:paraId="2359D9EC" w14:textId="77777777" w:rsidR="009A334E" w:rsidRPr="00E85C29" w:rsidRDefault="009A334E" w:rsidP="00435A44">
      <w:pPr>
        <w:ind w:left="90" w:firstLine="0"/>
        <w:rPr>
          <w:rFonts w:ascii="Times New Roman" w:eastAsia="Calibri" w:hAnsi="Times New Roman" w:cs="Times New Roman"/>
          <w:b/>
          <w:bCs/>
          <w:color w:val="0070C0"/>
          <w:sz w:val="24"/>
          <w:szCs w:val="24"/>
        </w:rPr>
      </w:pPr>
    </w:p>
    <w:p w14:paraId="357B2DF7" w14:textId="77777777" w:rsidR="00E85C29" w:rsidRPr="00E85C29" w:rsidRDefault="00E85C29" w:rsidP="00435A44">
      <w:pPr>
        <w:shd w:val="clear" w:color="auto" w:fill="FFFFFF"/>
        <w:ind w:left="90" w:firstLine="0"/>
        <w:rPr>
          <w:rFonts w:ascii="Times New Roman" w:eastAsia="Calibri" w:hAnsi="Times New Roman" w:cs="Times New Roman"/>
          <w:b/>
          <w:bCs/>
          <w:sz w:val="24"/>
          <w:szCs w:val="24"/>
        </w:rPr>
      </w:pPr>
      <w:r w:rsidRPr="00E85C29">
        <w:rPr>
          <w:rFonts w:ascii="Times New Roman" w:eastAsia="Calibri" w:hAnsi="Times New Roman" w:cs="Times New Roman"/>
          <w:b/>
          <w:bCs/>
          <w:sz w:val="24"/>
          <w:szCs w:val="24"/>
        </w:rPr>
        <w:lastRenderedPageBreak/>
        <w:t>R   4.3.E       Treatment of   recurrence</w:t>
      </w:r>
    </w:p>
    <w:p w14:paraId="519F26FC" w14:textId="77777777" w:rsidR="00E85C29" w:rsidRPr="00E85C29" w:rsidRDefault="00E85C29" w:rsidP="00435A44">
      <w:pPr>
        <w:numPr>
          <w:ilvl w:val="0"/>
          <w:numId w:val="45"/>
        </w:numPr>
        <w:tabs>
          <w:tab w:val="left" w:pos="360"/>
        </w:tabs>
        <w:ind w:left="450"/>
        <w:rPr>
          <w:rFonts w:ascii="Times New Roman" w:eastAsia="Calibri" w:hAnsi="Times New Roman" w:cs="Times New Roman"/>
          <w:b/>
          <w:bCs/>
          <w:sz w:val="24"/>
          <w:szCs w:val="24"/>
        </w:rPr>
      </w:pPr>
      <w:r w:rsidRPr="00E85C29">
        <w:rPr>
          <w:rFonts w:ascii="Times New Roman" w:eastAsia="Calibri" w:hAnsi="Times New Roman" w:cs="Times New Roman"/>
          <w:sz w:val="24"/>
          <w:szCs w:val="24"/>
        </w:rPr>
        <w:t xml:space="preserve">We recommend starting NS specific therapy as soon as the diagnosis is established </w:t>
      </w:r>
      <w:r w:rsidRPr="00E85C29">
        <w:rPr>
          <w:rFonts w:ascii="Times New Roman" w:eastAsia="Calibri" w:hAnsi="Times New Roman" w:cs="Times New Roman"/>
          <w:b/>
          <w:bCs/>
          <w:sz w:val="24"/>
          <w:szCs w:val="24"/>
        </w:rPr>
        <w:t>(X strong recommendation)</w:t>
      </w:r>
    </w:p>
    <w:p w14:paraId="61A76B9C" w14:textId="77777777" w:rsidR="00E85C29" w:rsidRPr="00E85C29" w:rsidRDefault="00E85C29" w:rsidP="00435A44">
      <w:pPr>
        <w:numPr>
          <w:ilvl w:val="0"/>
          <w:numId w:val="45"/>
        </w:numPr>
        <w:tabs>
          <w:tab w:val="left" w:pos="360"/>
        </w:tabs>
        <w:ind w:left="90" w:firstLine="0"/>
        <w:rPr>
          <w:rFonts w:ascii="Times New Roman" w:eastAsia="Calibri" w:hAnsi="Times New Roman" w:cs="Times New Roman"/>
          <w:sz w:val="24"/>
          <w:szCs w:val="24"/>
        </w:rPr>
      </w:pPr>
      <w:r w:rsidRPr="00E85C29">
        <w:rPr>
          <w:rFonts w:ascii="Times New Roman" w:eastAsia="Calibri" w:hAnsi="Times New Roman" w:cs="Times New Roman"/>
          <w:sz w:val="24"/>
          <w:szCs w:val="24"/>
        </w:rPr>
        <w:t xml:space="preserve">We suggest. IV Pulses of MPDN, high dose CNIs, Rituximab, PE </w:t>
      </w:r>
      <w:r w:rsidRPr="00E85C29">
        <w:rPr>
          <w:rFonts w:ascii="Times New Roman" w:eastAsia="Calibri" w:hAnsi="Times New Roman" w:cs="Times New Roman"/>
          <w:b/>
          <w:bCs/>
          <w:sz w:val="24"/>
          <w:szCs w:val="24"/>
        </w:rPr>
        <w:t>(C).</w:t>
      </w:r>
    </w:p>
    <w:p w14:paraId="6ED8263F" w14:textId="4B410449" w:rsidR="00E85C29" w:rsidRDefault="00E85C29" w:rsidP="00435A44">
      <w:pPr>
        <w:ind w:left="90" w:firstLine="0"/>
        <w:rPr>
          <w:rFonts w:ascii="Times New Roman" w:eastAsia="Calibri" w:hAnsi="Times New Roman" w:cs="Times New Roman"/>
          <w:b/>
          <w:bCs/>
          <w:sz w:val="24"/>
          <w:szCs w:val="24"/>
        </w:rPr>
      </w:pPr>
      <w:proofErr w:type="gramStart"/>
      <w:r w:rsidRPr="00E85C29">
        <w:rPr>
          <w:rFonts w:ascii="Times New Roman" w:eastAsia="Calibri" w:hAnsi="Times New Roman" w:cs="Times New Roman"/>
          <w:b/>
          <w:bCs/>
          <w:sz w:val="24"/>
          <w:szCs w:val="24"/>
        </w:rPr>
        <w:t>R  4.3.F</w:t>
      </w:r>
      <w:proofErr w:type="gramEnd"/>
      <w:r w:rsidRPr="00E85C29">
        <w:rPr>
          <w:rFonts w:ascii="Times New Roman" w:eastAsia="Calibri" w:hAnsi="Times New Roman" w:cs="Times New Roman"/>
          <w:b/>
          <w:bCs/>
          <w:sz w:val="24"/>
          <w:szCs w:val="24"/>
        </w:rPr>
        <w:t xml:space="preserve"> :</w:t>
      </w:r>
      <w:r w:rsidRPr="00E85C29">
        <w:rPr>
          <w:rFonts w:ascii="Times New Roman" w:eastAsia="Calibri" w:hAnsi="Times New Roman" w:cs="Times New Roman"/>
          <w:sz w:val="24"/>
          <w:szCs w:val="24"/>
        </w:rPr>
        <w:t xml:space="preserve"> Start RASi when no complete remission is achieved following recurrent targeted therapy  </w:t>
      </w:r>
      <w:r w:rsidRPr="00E85C29">
        <w:rPr>
          <w:rFonts w:ascii="Times New Roman" w:eastAsia="Calibri" w:hAnsi="Times New Roman" w:cs="Times New Roman"/>
          <w:b/>
          <w:bCs/>
          <w:sz w:val="24"/>
          <w:szCs w:val="24"/>
        </w:rPr>
        <w:t>(C)</w:t>
      </w:r>
      <w:r w:rsidRPr="00E85C29">
        <w:rPr>
          <w:rFonts w:ascii="Times New Roman" w:eastAsia="Calibri" w:hAnsi="Times New Roman" w:cs="Times New Roman"/>
          <w:sz w:val="24"/>
          <w:szCs w:val="24"/>
        </w:rPr>
        <w:t xml:space="preserve"> and consider for re-transplant. Deceased donor is ethically acceptable and considered more appropriate than dialysis </w:t>
      </w:r>
      <w:r w:rsidRPr="00E85C29">
        <w:rPr>
          <w:rFonts w:ascii="Times New Roman" w:eastAsia="Calibri" w:hAnsi="Times New Roman" w:cs="Times New Roman"/>
          <w:b/>
          <w:bCs/>
          <w:sz w:val="24"/>
          <w:szCs w:val="24"/>
        </w:rPr>
        <w:t>(C)</w:t>
      </w:r>
      <w:r w:rsidR="00435A44">
        <w:rPr>
          <w:rFonts w:ascii="Times New Roman" w:eastAsia="Calibri" w:hAnsi="Times New Roman" w:cs="Times New Roman"/>
          <w:b/>
          <w:bCs/>
          <w:sz w:val="24"/>
          <w:szCs w:val="24"/>
        </w:rPr>
        <w:t>.</w:t>
      </w:r>
    </w:p>
    <w:p w14:paraId="723DDA2B" w14:textId="49E78DB8" w:rsidR="003D69F2" w:rsidRDefault="003D69F2" w:rsidP="009A334E">
      <w:pPr>
        <w:ind w:firstLine="0"/>
        <w:rPr>
          <w:rFonts w:ascii="Times New Roman" w:eastAsia="Calibri" w:hAnsi="Times New Roman" w:cs="Times New Roman"/>
          <w:b/>
          <w:bCs/>
          <w:sz w:val="24"/>
          <w:szCs w:val="24"/>
        </w:rPr>
      </w:pPr>
    </w:p>
    <w:p w14:paraId="5334AD79" w14:textId="1608CAEB" w:rsidR="003D69F2" w:rsidRPr="009A334E" w:rsidRDefault="003D69F2" w:rsidP="00435A44">
      <w:pPr>
        <w:ind w:left="90" w:firstLine="0"/>
        <w:rPr>
          <w:rFonts w:ascii="Times New Roman" w:eastAsia="Calibri" w:hAnsi="Times New Roman" w:cs="Times New Roman"/>
          <w:b/>
          <w:bCs/>
          <w:color w:val="FF0000"/>
          <w:sz w:val="24"/>
          <w:szCs w:val="24"/>
        </w:rPr>
      </w:pPr>
      <w:r w:rsidRPr="009A334E">
        <w:rPr>
          <w:rFonts w:ascii="Times New Roman" w:eastAsia="Calibri" w:hAnsi="Times New Roman" w:cs="Times New Roman"/>
          <w:b/>
          <w:bCs/>
          <w:color w:val="FF0000"/>
          <w:sz w:val="24"/>
          <w:szCs w:val="24"/>
          <w:highlight w:val="yellow"/>
        </w:rPr>
        <w:t xml:space="preserve">EPG Flow chart for management of children with SRNS    </w:t>
      </w:r>
      <w:r w:rsidR="009A334E">
        <w:rPr>
          <w:rFonts w:ascii="Times New Roman" w:eastAsia="Calibri" w:hAnsi="Times New Roman" w:cs="Times New Roman"/>
          <w:b/>
          <w:bCs/>
          <w:color w:val="FF0000"/>
          <w:sz w:val="24"/>
          <w:szCs w:val="24"/>
          <w:highlight w:val="yellow"/>
        </w:rPr>
        <w:t>EPG Fig 8</w:t>
      </w:r>
      <w:bookmarkStart w:id="6" w:name="_GoBack"/>
      <w:bookmarkEnd w:id="6"/>
    </w:p>
    <w:p w14:paraId="5DA8DAE7" w14:textId="77777777" w:rsidR="003D69F2" w:rsidRDefault="003D69F2" w:rsidP="00435A44">
      <w:pPr>
        <w:ind w:left="90" w:firstLine="0"/>
        <w:rPr>
          <w:rFonts w:ascii="Times New Roman" w:eastAsia="Calibri" w:hAnsi="Times New Roman" w:cs="Times New Roman"/>
          <w:b/>
          <w:bCs/>
          <w:sz w:val="24"/>
          <w:szCs w:val="24"/>
        </w:rPr>
      </w:pPr>
    </w:p>
    <w:p w14:paraId="75403246" w14:textId="77777777" w:rsidR="00435A44" w:rsidRPr="00E85C29" w:rsidRDefault="00435A44" w:rsidP="00435A44">
      <w:pPr>
        <w:ind w:left="90" w:firstLine="0"/>
        <w:rPr>
          <w:rFonts w:ascii="Times New Roman" w:eastAsia="Calibri" w:hAnsi="Times New Roman" w:cs="Times New Roman"/>
          <w:sz w:val="24"/>
          <w:szCs w:val="24"/>
        </w:rPr>
      </w:pPr>
      <w:r>
        <w:rPr>
          <w:rFonts w:ascii="Times New Roman" w:eastAsia="Calibri" w:hAnsi="Times New Roman" w:cs="Times New Roman"/>
          <w:b/>
          <w:bCs/>
          <w:sz w:val="24"/>
          <w:szCs w:val="24"/>
        </w:rPr>
        <w:t>…………………………………………………………………………………………………………</w:t>
      </w:r>
    </w:p>
    <w:p w14:paraId="3AD59D25" w14:textId="77777777" w:rsidR="00E85C29" w:rsidRPr="00E85C29" w:rsidRDefault="00E85C29" w:rsidP="00435A44">
      <w:pPr>
        <w:ind w:firstLine="0"/>
        <w:rPr>
          <w:rFonts w:ascii="Times New Roman" w:eastAsia="Calibri" w:hAnsi="Times New Roman" w:cs="Times New Roman"/>
          <w:sz w:val="24"/>
          <w:szCs w:val="24"/>
        </w:rPr>
      </w:pPr>
    </w:p>
    <w:sectPr w:rsidR="00E85C29" w:rsidRPr="00E85C29" w:rsidSect="00672A15">
      <w:footerReference w:type="default" r:id="rId19"/>
      <w:pgSz w:w="11906" w:h="16838"/>
      <w:pgMar w:top="990" w:right="1106" w:bottom="1440" w:left="108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55B84A" w14:textId="77777777" w:rsidR="00376B02" w:rsidRDefault="00376B02">
      <w:r>
        <w:separator/>
      </w:r>
    </w:p>
  </w:endnote>
  <w:endnote w:type="continuationSeparator" w:id="0">
    <w:p w14:paraId="002AAF35" w14:textId="77777777" w:rsidR="00376B02" w:rsidRDefault="00376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fjglRbcdpjAdvTT3713a231+22">
    <w:altName w:val="MS Mincho"/>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052794"/>
      <w:docPartObj>
        <w:docPartGallery w:val="Page Numbers (Bottom of Page)"/>
        <w:docPartUnique/>
      </w:docPartObj>
    </w:sdtPr>
    <w:sdtEndPr>
      <w:rPr>
        <w:noProof/>
      </w:rPr>
    </w:sdtEndPr>
    <w:sdtContent>
      <w:p w14:paraId="6BAC3FB8" w14:textId="77777777" w:rsidR="00036FCF" w:rsidRDefault="00036FCF">
        <w:pPr>
          <w:pStyle w:val="Footer"/>
          <w:jc w:val="center"/>
        </w:pPr>
        <w:r>
          <w:fldChar w:fldCharType="begin"/>
        </w:r>
        <w:r>
          <w:instrText xml:space="preserve"> PAGE   \* MERGEFORMAT </w:instrText>
        </w:r>
        <w:r>
          <w:fldChar w:fldCharType="separate"/>
        </w:r>
        <w:r w:rsidR="009A334E">
          <w:rPr>
            <w:noProof/>
          </w:rPr>
          <w:t>34</w:t>
        </w:r>
        <w:r>
          <w:rPr>
            <w:noProof/>
          </w:rPr>
          <w:fldChar w:fldCharType="end"/>
        </w:r>
      </w:p>
    </w:sdtContent>
  </w:sdt>
  <w:p w14:paraId="4A1578AB" w14:textId="77777777" w:rsidR="00036FCF" w:rsidRDefault="00036F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7D393" w14:textId="77777777" w:rsidR="00376B02" w:rsidRDefault="00376B02">
      <w:r>
        <w:separator/>
      </w:r>
    </w:p>
  </w:footnote>
  <w:footnote w:type="continuationSeparator" w:id="0">
    <w:p w14:paraId="2EF3DF8B" w14:textId="77777777" w:rsidR="00376B02" w:rsidRDefault="00376B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33BF0"/>
    <w:multiLevelType w:val="hybridMultilevel"/>
    <w:tmpl w:val="16588178"/>
    <w:lvl w:ilvl="0" w:tplc="4C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02517B8E"/>
    <w:multiLevelType w:val="multilevel"/>
    <w:tmpl w:val="7B280DF2"/>
    <w:lvl w:ilvl="0">
      <w:start w:val="1"/>
      <w:numFmt w:val="lowerLetter"/>
      <w:lvlText w:val="%1-"/>
      <w:lvlJc w:val="left"/>
      <w:pPr>
        <w:ind w:left="450" w:hanging="360"/>
      </w:pPr>
      <w:rPr>
        <w:b/>
        <w:color w:val="000000"/>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
    <w:nsid w:val="0A453CDD"/>
    <w:multiLevelType w:val="hybridMultilevel"/>
    <w:tmpl w:val="B1B85BC2"/>
    <w:lvl w:ilvl="0" w:tplc="2D6A8B20">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0A5B64D0"/>
    <w:multiLevelType w:val="hybridMultilevel"/>
    <w:tmpl w:val="B4F25BE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4">
    <w:nsid w:val="0E3717FF"/>
    <w:multiLevelType w:val="hybridMultilevel"/>
    <w:tmpl w:val="92121EB8"/>
    <w:lvl w:ilvl="0" w:tplc="35B23952">
      <w:start w:val="1"/>
      <w:numFmt w:val="bullet"/>
      <w:lvlText w:val="*"/>
      <w:lvlJc w:val="left"/>
      <w:pPr>
        <w:ind w:left="743" w:hanging="360"/>
      </w:pPr>
      <w:rPr>
        <w:rFonts w:ascii="Symbol" w:hAnsi="Symbol" w:cs="Symbo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5">
    <w:nsid w:val="11F51A28"/>
    <w:multiLevelType w:val="hybridMultilevel"/>
    <w:tmpl w:val="425C3D42"/>
    <w:lvl w:ilvl="0" w:tplc="5FFA8332">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nsid w:val="168C3611"/>
    <w:multiLevelType w:val="multilevel"/>
    <w:tmpl w:val="06E617DE"/>
    <w:lvl w:ilvl="0">
      <w:start w:val="1"/>
      <w:numFmt w:val="lowerLetter"/>
      <w:lvlText w:val="%1-"/>
      <w:lvlJc w:val="left"/>
      <w:pPr>
        <w:ind w:left="45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7C47DCE"/>
    <w:multiLevelType w:val="hybridMultilevel"/>
    <w:tmpl w:val="6110064E"/>
    <w:lvl w:ilvl="0" w:tplc="1E062394">
      <w:start w:val="1"/>
      <w:numFmt w:val="decimal"/>
      <w:lvlText w:val="(%1)"/>
      <w:lvlJc w:val="left"/>
      <w:pPr>
        <w:ind w:left="510" w:hanging="360"/>
      </w:pPr>
      <w:rPr>
        <w:rFonts w:hint="default"/>
        <w:b/>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8">
    <w:nsid w:val="195055F0"/>
    <w:multiLevelType w:val="hybridMultilevel"/>
    <w:tmpl w:val="581201AA"/>
    <w:lvl w:ilvl="0" w:tplc="4C090001">
      <w:start w:val="1"/>
      <w:numFmt w:val="bullet"/>
      <w:lvlText w:val=""/>
      <w:lvlJc w:val="left"/>
      <w:pPr>
        <w:ind w:left="10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B50540"/>
    <w:multiLevelType w:val="hybridMultilevel"/>
    <w:tmpl w:val="E528B430"/>
    <w:lvl w:ilvl="0" w:tplc="147049B8">
      <w:start w:val="1"/>
      <w:numFmt w:val="bullet"/>
      <w:lvlText w:val=""/>
      <w:lvlJc w:val="left"/>
      <w:pPr>
        <w:ind w:left="870" w:hanging="360"/>
      </w:pPr>
      <w:rPr>
        <w:rFonts w:ascii="Symbol" w:hAnsi="Symbol" w:hint="default"/>
        <w:color w:val="auto"/>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0">
    <w:nsid w:val="1D9C2923"/>
    <w:multiLevelType w:val="hybridMultilevel"/>
    <w:tmpl w:val="3E0CD2D6"/>
    <w:lvl w:ilvl="0" w:tplc="5FFA83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FB5D87"/>
    <w:multiLevelType w:val="hybridMultilevel"/>
    <w:tmpl w:val="9E98BE3A"/>
    <w:lvl w:ilvl="0" w:tplc="4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773E4F"/>
    <w:multiLevelType w:val="hybridMultilevel"/>
    <w:tmpl w:val="583A06A6"/>
    <w:lvl w:ilvl="0" w:tplc="4C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3">
    <w:nsid w:val="2C864FBE"/>
    <w:multiLevelType w:val="hybridMultilevel"/>
    <w:tmpl w:val="6944BAAE"/>
    <w:lvl w:ilvl="0" w:tplc="3072E68E">
      <w:start w:val="1"/>
      <w:numFmt w:val="decimal"/>
      <w:lvlText w:val="(%1)"/>
      <w:lvlJc w:val="left"/>
      <w:pPr>
        <w:ind w:left="540" w:hanging="360"/>
      </w:pPr>
      <w:rPr>
        <w:rFonts w:ascii="Times New Roman" w:eastAsia="Calibri" w:hAnsi="Times New Roman" w:cs="Times New Roman"/>
        <w:b/>
        <w:bCs/>
      </w:rPr>
    </w:lvl>
    <w:lvl w:ilvl="1" w:tplc="1C8A1D8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FC6C19"/>
    <w:multiLevelType w:val="hybridMultilevel"/>
    <w:tmpl w:val="6344A89E"/>
    <w:lvl w:ilvl="0" w:tplc="2AEE56B6">
      <w:start w:val="1"/>
      <w:numFmt w:val="bullet"/>
      <w:lvlText w:val="o"/>
      <w:lvlJc w:val="left"/>
      <w:pPr>
        <w:ind w:left="1020" w:hanging="360"/>
      </w:pPr>
      <w:rPr>
        <w:rFonts w:ascii="Courier New" w:hAnsi="Courier New" w:cs="Courier New" w:hint="default"/>
        <w:b/>
        <w:bCs/>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5">
    <w:nsid w:val="31553A56"/>
    <w:multiLevelType w:val="hybridMultilevel"/>
    <w:tmpl w:val="419EB82A"/>
    <w:lvl w:ilvl="0" w:tplc="4C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nsid w:val="327439E4"/>
    <w:multiLevelType w:val="hybridMultilevel"/>
    <w:tmpl w:val="17E64024"/>
    <w:lvl w:ilvl="0" w:tplc="4C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nsid w:val="35F066C3"/>
    <w:multiLevelType w:val="hybridMultilevel"/>
    <w:tmpl w:val="F326B058"/>
    <w:lvl w:ilvl="0" w:tplc="4C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nsid w:val="376D1D88"/>
    <w:multiLevelType w:val="hybridMultilevel"/>
    <w:tmpl w:val="56486154"/>
    <w:lvl w:ilvl="0" w:tplc="4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CF5159"/>
    <w:multiLevelType w:val="hybridMultilevel"/>
    <w:tmpl w:val="0ABE7B48"/>
    <w:lvl w:ilvl="0" w:tplc="4C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nsid w:val="39C15EF9"/>
    <w:multiLevelType w:val="hybridMultilevel"/>
    <w:tmpl w:val="89C0F71E"/>
    <w:lvl w:ilvl="0" w:tplc="4C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3DFC1F4B"/>
    <w:multiLevelType w:val="hybridMultilevel"/>
    <w:tmpl w:val="E688877A"/>
    <w:lvl w:ilvl="0" w:tplc="4C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nsid w:val="3E18671D"/>
    <w:multiLevelType w:val="hybridMultilevel"/>
    <w:tmpl w:val="03063EC4"/>
    <w:lvl w:ilvl="0" w:tplc="43129656">
      <w:start w:val="1"/>
      <w:numFmt w:val="bullet"/>
      <w:lvlText w:val="o"/>
      <w:lvlJc w:val="left"/>
      <w:pPr>
        <w:ind w:left="1170" w:hanging="360"/>
      </w:pPr>
      <w:rPr>
        <w:rFonts w:ascii="Courier New" w:hAnsi="Courier New" w:cs="Courier New" w:hint="default"/>
        <w:b/>
        <w:bCs w:val="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nsid w:val="42B0153F"/>
    <w:multiLevelType w:val="hybridMultilevel"/>
    <w:tmpl w:val="27AC6E9E"/>
    <w:lvl w:ilvl="0" w:tplc="5FFA8332">
      <w:start w:val="1"/>
      <w:numFmt w:val="bullet"/>
      <w:lvlText w:val=""/>
      <w:lvlJc w:val="left"/>
      <w:pPr>
        <w:ind w:left="4050" w:hanging="360"/>
      </w:pPr>
      <w:rPr>
        <w:rFonts w:ascii="Symbol" w:hAnsi="Symbol" w:hint="default"/>
        <w:color w:val="auto"/>
      </w:rPr>
    </w:lvl>
    <w:lvl w:ilvl="1" w:tplc="04090003" w:tentative="1">
      <w:start w:val="1"/>
      <w:numFmt w:val="bullet"/>
      <w:lvlText w:val="o"/>
      <w:lvlJc w:val="left"/>
      <w:pPr>
        <w:ind w:left="4770" w:hanging="360"/>
      </w:pPr>
      <w:rPr>
        <w:rFonts w:ascii="Courier New" w:hAnsi="Courier New" w:cs="Courier New" w:hint="default"/>
      </w:rPr>
    </w:lvl>
    <w:lvl w:ilvl="2" w:tplc="04090005" w:tentative="1">
      <w:start w:val="1"/>
      <w:numFmt w:val="bullet"/>
      <w:lvlText w:val=""/>
      <w:lvlJc w:val="left"/>
      <w:pPr>
        <w:ind w:left="5490" w:hanging="360"/>
      </w:pPr>
      <w:rPr>
        <w:rFonts w:ascii="Wingdings" w:hAnsi="Wingdings" w:hint="default"/>
      </w:rPr>
    </w:lvl>
    <w:lvl w:ilvl="3" w:tplc="04090001" w:tentative="1">
      <w:start w:val="1"/>
      <w:numFmt w:val="bullet"/>
      <w:lvlText w:val=""/>
      <w:lvlJc w:val="left"/>
      <w:pPr>
        <w:ind w:left="6210" w:hanging="360"/>
      </w:pPr>
      <w:rPr>
        <w:rFonts w:ascii="Symbol" w:hAnsi="Symbol" w:hint="default"/>
      </w:rPr>
    </w:lvl>
    <w:lvl w:ilvl="4" w:tplc="04090003" w:tentative="1">
      <w:start w:val="1"/>
      <w:numFmt w:val="bullet"/>
      <w:lvlText w:val="o"/>
      <w:lvlJc w:val="left"/>
      <w:pPr>
        <w:ind w:left="6930" w:hanging="360"/>
      </w:pPr>
      <w:rPr>
        <w:rFonts w:ascii="Courier New" w:hAnsi="Courier New" w:cs="Courier New" w:hint="default"/>
      </w:rPr>
    </w:lvl>
    <w:lvl w:ilvl="5" w:tplc="04090005" w:tentative="1">
      <w:start w:val="1"/>
      <w:numFmt w:val="bullet"/>
      <w:lvlText w:val=""/>
      <w:lvlJc w:val="left"/>
      <w:pPr>
        <w:ind w:left="7650" w:hanging="360"/>
      </w:pPr>
      <w:rPr>
        <w:rFonts w:ascii="Wingdings" w:hAnsi="Wingdings" w:hint="default"/>
      </w:rPr>
    </w:lvl>
    <w:lvl w:ilvl="6" w:tplc="04090001" w:tentative="1">
      <w:start w:val="1"/>
      <w:numFmt w:val="bullet"/>
      <w:lvlText w:val=""/>
      <w:lvlJc w:val="left"/>
      <w:pPr>
        <w:ind w:left="8370" w:hanging="360"/>
      </w:pPr>
      <w:rPr>
        <w:rFonts w:ascii="Symbol" w:hAnsi="Symbol" w:hint="default"/>
      </w:rPr>
    </w:lvl>
    <w:lvl w:ilvl="7" w:tplc="04090003" w:tentative="1">
      <w:start w:val="1"/>
      <w:numFmt w:val="bullet"/>
      <w:lvlText w:val="o"/>
      <w:lvlJc w:val="left"/>
      <w:pPr>
        <w:ind w:left="9090" w:hanging="360"/>
      </w:pPr>
      <w:rPr>
        <w:rFonts w:ascii="Courier New" w:hAnsi="Courier New" w:cs="Courier New" w:hint="default"/>
      </w:rPr>
    </w:lvl>
    <w:lvl w:ilvl="8" w:tplc="04090005" w:tentative="1">
      <w:start w:val="1"/>
      <w:numFmt w:val="bullet"/>
      <w:lvlText w:val=""/>
      <w:lvlJc w:val="left"/>
      <w:pPr>
        <w:ind w:left="9810" w:hanging="360"/>
      </w:pPr>
      <w:rPr>
        <w:rFonts w:ascii="Wingdings" w:hAnsi="Wingdings" w:hint="default"/>
      </w:rPr>
    </w:lvl>
  </w:abstractNum>
  <w:abstractNum w:abstractNumId="24">
    <w:nsid w:val="42CF5476"/>
    <w:multiLevelType w:val="hybridMultilevel"/>
    <w:tmpl w:val="81089F48"/>
    <w:lvl w:ilvl="0" w:tplc="5FFA83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874C70"/>
    <w:multiLevelType w:val="hybridMultilevel"/>
    <w:tmpl w:val="96049D36"/>
    <w:lvl w:ilvl="0" w:tplc="35B23952">
      <w:start w:val="1"/>
      <w:numFmt w:val="bullet"/>
      <w:lvlText w:val="*"/>
      <w:lvlJc w:val="left"/>
      <w:pPr>
        <w:ind w:left="795" w:hanging="360"/>
      </w:pPr>
      <w:rPr>
        <w:rFonts w:ascii="Symbol" w:hAnsi="Symbol" w:cs="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6">
    <w:nsid w:val="48900C61"/>
    <w:multiLevelType w:val="hybridMultilevel"/>
    <w:tmpl w:val="F0AE05CC"/>
    <w:lvl w:ilvl="0" w:tplc="E4E48D4A">
      <w:start w:val="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4A78203F"/>
    <w:multiLevelType w:val="hybridMultilevel"/>
    <w:tmpl w:val="4EA45EB2"/>
    <w:lvl w:ilvl="0" w:tplc="4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AF03059"/>
    <w:multiLevelType w:val="hybridMultilevel"/>
    <w:tmpl w:val="2AB4A406"/>
    <w:lvl w:ilvl="0" w:tplc="4C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nsid w:val="4B29181B"/>
    <w:multiLevelType w:val="hybridMultilevel"/>
    <w:tmpl w:val="03F4228E"/>
    <w:lvl w:ilvl="0" w:tplc="7AFCA264">
      <w:start w:val="1"/>
      <w:numFmt w:val="bullet"/>
      <w:lvlText w:val="o"/>
      <w:lvlJc w:val="left"/>
      <w:pPr>
        <w:ind w:left="630" w:hanging="360"/>
      </w:pPr>
      <w:rPr>
        <w:rFonts w:ascii="Wingdings" w:eastAsia="Wingdings" w:hAnsi="Wingdings" w:cs="Wingdings"/>
        <w:b w:val="0"/>
        <w:i w:val="0"/>
        <w:strike w:val="0"/>
        <w:dstrike w:val="0"/>
        <w:color w:val="181717"/>
        <w:sz w:val="14"/>
        <w:u w:val="none" w:color="000000"/>
        <w:effect w:val="none"/>
        <w:bdr w:val="none" w:sz="0" w:space="0" w:color="auto" w:frame="1"/>
        <w:vertAlign w:val="base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57546DF7"/>
    <w:multiLevelType w:val="hybridMultilevel"/>
    <w:tmpl w:val="8D6E253C"/>
    <w:lvl w:ilvl="0" w:tplc="04090011">
      <w:start w:val="1"/>
      <w:numFmt w:val="decimal"/>
      <w:lvlText w:val="%1)"/>
      <w:lvlJc w:val="left"/>
      <w:pPr>
        <w:ind w:left="720" w:hanging="360"/>
      </w:pPr>
    </w:lvl>
    <w:lvl w:ilvl="1" w:tplc="BBE0001C">
      <w:start w:val="1"/>
      <w:numFmt w:val="decimal"/>
      <w:lvlText w:val="(%2)"/>
      <w:lvlJc w:val="left"/>
      <w:pPr>
        <w:ind w:left="450" w:hanging="360"/>
      </w:pPr>
      <w:rPr>
        <w:rFonts w:ascii="Times New Roman" w:eastAsia="Calibri" w:hAnsi="Times New Roman" w:cs="Times New Roman"/>
        <w:b/>
        <w:bCs/>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57656F"/>
    <w:multiLevelType w:val="hybridMultilevel"/>
    <w:tmpl w:val="4F4EC9E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nsid w:val="576873BF"/>
    <w:multiLevelType w:val="hybridMultilevel"/>
    <w:tmpl w:val="0A6E9F68"/>
    <w:lvl w:ilvl="0" w:tplc="430803A4">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nsid w:val="58090BF9"/>
    <w:multiLevelType w:val="hybridMultilevel"/>
    <w:tmpl w:val="171287F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4">
    <w:nsid w:val="5E233F1C"/>
    <w:multiLevelType w:val="hybridMultilevel"/>
    <w:tmpl w:val="F6E2CDA0"/>
    <w:lvl w:ilvl="0" w:tplc="4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E61AA2"/>
    <w:multiLevelType w:val="hybridMultilevel"/>
    <w:tmpl w:val="FA645946"/>
    <w:lvl w:ilvl="0" w:tplc="5FFA8332">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nsid w:val="65716949"/>
    <w:multiLevelType w:val="hybridMultilevel"/>
    <w:tmpl w:val="90242E74"/>
    <w:lvl w:ilvl="0" w:tplc="4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FC4A00"/>
    <w:multiLevelType w:val="hybridMultilevel"/>
    <w:tmpl w:val="502050C4"/>
    <w:lvl w:ilvl="0" w:tplc="4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6FD3C70"/>
    <w:multiLevelType w:val="hybridMultilevel"/>
    <w:tmpl w:val="C3507D22"/>
    <w:lvl w:ilvl="0" w:tplc="4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7B5BC6"/>
    <w:multiLevelType w:val="hybridMultilevel"/>
    <w:tmpl w:val="B13E453C"/>
    <w:lvl w:ilvl="0" w:tplc="126C0816">
      <w:start w:val="1"/>
      <w:numFmt w:val="upperLetter"/>
      <w:lvlText w:val="%1)"/>
      <w:lvlJc w:val="left"/>
      <w:pPr>
        <w:ind w:left="3105" w:hanging="360"/>
      </w:pPr>
      <w:rPr>
        <w:rFonts w:hint="default"/>
        <w:sz w:val="24"/>
      </w:rPr>
    </w:lvl>
    <w:lvl w:ilvl="1" w:tplc="04090019" w:tentative="1">
      <w:start w:val="1"/>
      <w:numFmt w:val="lowerLetter"/>
      <w:lvlText w:val="%2."/>
      <w:lvlJc w:val="left"/>
      <w:pPr>
        <w:ind w:left="3825" w:hanging="360"/>
      </w:pPr>
    </w:lvl>
    <w:lvl w:ilvl="2" w:tplc="0409001B" w:tentative="1">
      <w:start w:val="1"/>
      <w:numFmt w:val="lowerRoman"/>
      <w:lvlText w:val="%3."/>
      <w:lvlJc w:val="right"/>
      <w:pPr>
        <w:ind w:left="4545" w:hanging="180"/>
      </w:pPr>
    </w:lvl>
    <w:lvl w:ilvl="3" w:tplc="0409000F" w:tentative="1">
      <w:start w:val="1"/>
      <w:numFmt w:val="decimal"/>
      <w:lvlText w:val="%4."/>
      <w:lvlJc w:val="left"/>
      <w:pPr>
        <w:ind w:left="5265" w:hanging="360"/>
      </w:pPr>
    </w:lvl>
    <w:lvl w:ilvl="4" w:tplc="04090019" w:tentative="1">
      <w:start w:val="1"/>
      <w:numFmt w:val="lowerLetter"/>
      <w:lvlText w:val="%5."/>
      <w:lvlJc w:val="left"/>
      <w:pPr>
        <w:ind w:left="5985" w:hanging="360"/>
      </w:pPr>
    </w:lvl>
    <w:lvl w:ilvl="5" w:tplc="0409001B" w:tentative="1">
      <w:start w:val="1"/>
      <w:numFmt w:val="lowerRoman"/>
      <w:lvlText w:val="%6."/>
      <w:lvlJc w:val="right"/>
      <w:pPr>
        <w:ind w:left="6705" w:hanging="180"/>
      </w:pPr>
    </w:lvl>
    <w:lvl w:ilvl="6" w:tplc="0409000F" w:tentative="1">
      <w:start w:val="1"/>
      <w:numFmt w:val="decimal"/>
      <w:lvlText w:val="%7."/>
      <w:lvlJc w:val="left"/>
      <w:pPr>
        <w:ind w:left="7425" w:hanging="360"/>
      </w:pPr>
    </w:lvl>
    <w:lvl w:ilvl="7" w:tplc="04090019" w:tentative="1">
      <w:start w:val="1"/>
      <w:numFmt w:val="lowerLetter"/>
      <w:lvlText w:val="%8."/>
      <w:lvlJc w:val="left"/>
      <w:pPr>
        <w:ind w:left="8145" w:hanging="360"/>
      </w:pPr>
    </w:lvl>
    <w:lvl w:ilvl="8" w:tplc="0409001B" w:tentative="1">
      <w:start w:val="1"/>
      <w:numFmt w:val="lowerRoman"/>
      <w:lvlText w:val="%9."/>
      <w:lvlJc w:val="right"/>
      <w:pPr>
        <w:ind w:left="8865" w:hanging="180"/>
      </w:pPr>
    </w:lvl>
  </w:abstractNum>
  <w:abstractNum w:abstractNumId="40">
    <w:nsid w:val="6BBB352A"/>
    <w:multiLevelType w:val="hybridMultilevel"/>
    <w:tmpl w:val="BE0ED92C"/>
    <w:lvl w:ilvl="0" w:tplc="5FFA8332">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1">
    <w:nsid w:val="6C622A39"/>
    <w:multiLevelType w:val="hybridMultilevel"/>
    <w:tmpl w:val="59C446A4"/>
    <w:lvl w:ilvl="0" w:tplc="5DDAFDF2">
      <w:start w:val="1"/>
      <w:numFmt w:val="bullet"/>
      <w:lvlText w:val="o"/>
      <w:lvlJc w:val="left"/>
      <w:pPr>
        <w:ind w:left="540" w:hanging="360"/>
      </w:pPr>
      <w:rPr>
        <w:rFonts w:ascii="Courier New" w:hAnsi="Courier New" w:cs="Courier New" w:hint="default"/>
        <w:b/>
        <w:bCs/>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2">
    <w:nsid w:val="6EA46640"/>
    <w:multiLevelType w:val="hybridMultilevel"/>
    <w:tmpl w:val="4920B478"/>
    <w:lvl w:ilvl="0" w:tplc="4C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3">
    <w:nsid w:val="6F7A77EF"/>
    <w:multiLevelType w:val="hybridMultilevel"/>
    <w:tmpl w:val="CD828AEA"/>
    <w:lvl w:ilvl="0" w:tplc="4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3DC0435"/>
    <w:multiLevelType w:val="hybridMultilevel"/>
    <w:tmpl w:val="26EEF4C0"/>
    <w:lvl w:ilvl="0" w:tplc="4C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5">
    <w:nsid w:val="74831224"/>
    <w:multiLevelType w:val="hybridMultilevel"/>
    <w:tmpl w:val="88522EB0"/>
    <w:lvl w:ilvl="0" w:tplc="35B23952">
      <w:start w:val="1"/>
      <w:numFmt w:val="bullet"/>
      <w:lvlText w:val="*"/>
      <w:lvlJc w:val="left"/>
      <w:pPr>
        <w:ind w:left="743" w:hanging="360"/>
      </w:pPr>
      <w:rPr>
        <w:rFonts w:ascii="Symbol" w:hAnsi="Symbol" w:cs="Symbo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46">
    <w:nsid w:val="75A86FCB"/>
    <w:multiLevelType w:val="hybridMultilevel"/>
    <w:tmpl w:val="DDA0C738"/>
    <w:lvl w:ilvl="0" w:tplc="0B40E402">
      <w:start w:val="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7">
    <w:nsid w:val="777336AD"/>
    <w:multiLevelType w:val="hybridMultilevel"/>
    <w:tmpl w:val="8076BC8E"/>
    <w:lvl w:ilvl="0" w:tplc="4C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8">
    <w:nsid w:val="778F0456"/>
    <w:multiLevelType w:val="hybridMultilevel"/>
    <w:tmpl w:val="33E08326"/>
    <w:lvl w:ilvl="0" w:tplc="4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25"/>
  </w:num>
  <w:num w:numId="3">
    <w:abstractNumId w:val="4"/>
  </w:num>
  <w:num w:numId="4">
    <w:abstractNumId w:val="26"/>
  </w:num>
  <w:num w:numId="5">
    <w:abstractNumId w:val="6"/>
  </w:num>
  <w:num w:numId="6">
    <w:abstractNumId w:val="1"/>
  </w:num>
  <w:num w:numId="7">
    <w:abstractNumId w:val="39"/>
  </w:num>
  <w:num w:numId="8">
    <w:abstractNumId w:val="32"/>
  </w:num>
  <w:num w:numId="9">
    <w:abstractNumId w:val="46"/>
  </w:num>
  <w:num w:numId="10">
    <w:abstractNumId w:val="12"/>
  </w:num>
  <w:num w:numId="11">
    <w:abstractNumId w:val="21"/>
  </w:num>
  <w:num w:numId="12">
    <w:abstractNumId w:val="42"/>
  </w:num>
  <w:num w:numId="13">
    <w:abstractNumId w:val="18"/>
  </w:num>
  <w:num w:numId="14">
    <w:abstractNumId w:val="17"/>
  </w:num>
  <w:num w:numId="15">
    <w:abstractNumId w:val="20"/>
  </w:num>
  <w:num w:numId="16">
    <w:abstractNumId w:val="48"/>
  </w:num>
  <w:num w:numId="17">
    <w:abstractNumId w:val="28"/>
  </w:num>
  <w:num w:numId="18">
    <w:abstractNumId w:val="30"/>
  </w:num>
  <w:num w:numId="19">
    <w:abstractNumId w:val="13"/>
  </w:num>
  <w:num w:numId="20">
    <w:abstractNumId w:val="34"/>
  </w:num>
  <w:num w:numId="21">
    <w:abstractNumId w:val="43"/>
  </w:num>
  <w:num w:numId="22">
    <w:abstractNumId w:val="37"/>
  </w:num>
  <w:num w:numId="23">
    <w:abstractNumId w:val="0"/>
  </w:num>
  <w:num w:numId="24">
    <w:abstractNumId w:val="22"/>
  </w:num>
  <w:num w:numId="25">
    <w:abstractNumId w:val="47"/>
  </w:num>
  <w:num w:numId="26">
    <w:abstractNumId w:val="19"/>
  </w:num>
  <w:num w:numId="27">
    <w:abstractNumId w:val="44"/>
  </w:num>
  <w:num w:numId="28">
    <w:abstractNumId w:val="15"/>
  </w:num>
  <w:num w:numId="29">
    <w:abstractNumId w:val="16"/>
  </w:num>
  <w:num w:numId="30">
    <w:abstractNumId w:val="11"/>
  </w:num>
  <w:num w:numId="31">
    <w:abstractNumId w:val="38"/>
  </w:num>
  <w:num w:numId="32">
    <w:abstractNumId w:val="27"/>
  </w:num>
  <w:num w:numId="33">
    <w:abstractNumId w:val="5"/>
  </w:num>
  <w:num w:numId="34">
    <w:abstractNumId w:val="24"/>
  </w:num>
  <w:num w:numId="35">
    <w:abstractNumId w:val="23"/>
  </w:num>
  <w:num w:numId="36">
    <w:abstractNumId w:val="10"/>
  </w:num>
  <w:num w:numId="37">
    <w:abstractNumId w:val="41"/>
  </w:num>
  <w:num w:numId="38">
    <w:abstractNumId w:val="40"/>
  </w:num>
  <w:num w:numId="39">
    <w:abstractNumId w:val="35"/>
  </w:num>
  <w:num w:numId="40">
    <w:abstractNumId w:val="31"/>
  </w:num>
  <w:num w:numId="41">
    <w:abstractNumId w:val="33"/>
  </w:num>
  <w:num w:numId="42">
    <w:abstractNumId w:val="14"/>
  </w:num>
  <w:num w:numId="43">
    <w:abstractNumId w:val="8"/>
  </w:num>
  <w:num w:numId="44">
    <w:abstractNumId w:val="36"/>
  </w:num>
  <w:num w:numId="45">
    <w:abstractNumId w:val="9"/>
  </w:num>
  <w:num w:numId="46">
    <w:abstractNumId w:val="29"/>
  </w:num>
  <w:num w:numId="47">
    <w:abstractNumId w:val="3"/>
  </w:num>
  <w:num w:numId="48">
    <w:abstractNumId w:val="7"/>
  </w:num>
  <w:num w:numId="49">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AC4"/>
    <w:rsid w:val="0000755A"/>
    <w:rsid w:val="00036FCF"/>
    <w:rsid w:val="00044CFA"/>
    <w:rsid w:val="00126279"/>
    <w:rsid w:val="00134F53"/>
    <w:rsid w:val="00152CE0"/>
    <w:rsid w:val="001840C7"/>
    <w:rsid w:val="001D0CB0"/>
    <w:rsid w:val="001E2598"/>
    <w:rsid w:val="00252130"/>
    <w:rsid w:val="00280C25"/>
    <w:rsid w:val="002B253C"/>
    <w:rsid w:val="002C010B"/>
    <w:rsid w:val="002D043B"/>
    <w:rsid w:val="00376B02"/>
    <w:rsid w:val="00395F40"/>
    <w:rsid w:val="00396B4A"/>
    <w:rsid w:val="003B0480"/>
    <w:rsid w:val="003B635C"/>
    <w:rsid w:val="003D69F2"/>
    <w:rsid w:val="003E305B"/>
    <w:rsid w:val="00435A44"/>
    <w:rsid w:val="00443236"/>
    <w:rsid w:val="004F4315"/>
    <w:rsid w:val="00503DFC"/>
    <w:rsid w:val="005337E4"/>
    <w:rsid w:val="0057627A"/>
    <w:rsid w:val="00582B82"/>
    <w:rsid w:val="005D141A"/>
    <w:rsid w:val="006117D2"/>
    <w:rsid w:val="00664BE9"/>
    <w:rsid w:val="00672A15"/>
    <w:rsid w:val="006D1E97"/>
    <w:rsid w:val="00703C44"/>
    <w:rsid w:val="00724B23"/>
    <w:rsid w:val="007379C8"/>
    <w:rsid w:val="007D371A"/>
    <w:rsid w:val="007F1899"/>
    <w:rsid w:val="0086455B"/>
    <w:rsid w:val="008A1747"/>
    <w:rsid w:val="00930B91"/>
    <w:rsid w:val="00933291"/>
    <w:rsid w:val="00991F68"/>
    <w:rsid w:val="009A334E"/>
    <w:rsid w:val="009F6E47"/>
    <w:rsid w:val="00A17723"/>
    <w:rsid w:val="00A23503"/>
    <w:rsid w:val="00A46DCE"/>
    <w:rsid w:val="00A7105E"/>
    <w:rsid w:val="00A836FC"/>
    <w:rsid w:val="00B0586D"/>
    <w:rsid w:val="00B20C0D"/>
    <w:rsid w:val="00B535DC"/>
    <w:rsid w:val="00B901C8"/>
    <w:rsid w:val="00BB113C"/>
    <w:rsid w:val="00BB3BBA"/>
    <w:rsid w:val="00C17CF7"/>
    <w:rsid w:val="00C56460"/>
    <w:rsid w:val="00CD6F22"/>
    <w:rsid w:val="00D477E6"/>
    <w:rsid w:val="00D969A0"/>
    <w:rsid w:val="00DE33EE"/>
    <w:rsid w:val="00E2382B"/>
    <w:rsid w:val="00E5050B"/>
    <w:rsid w:val="00E85C29"/>
    <w:rsid w:val="00F37AC4"/>
    <w:rsid w:val="00F44651"/>
    <w:rsid w:val="00FD4A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E94D1"/>
  <w15:chartTrackingRefBased/>
  <w15:docId w15:val="{F5A072C7-BC61-4013-B749-A26104C6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firstLine="562"/>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85C29"/>
    <w:pPr>
      <w:keepNext/>
      <w:keepLines/>
      <w:spacing w:before="240"/>
      <w:outlineLvl w:val="0"/>
    </w:pPr>
    <w:rPr>
      <w:rFonts w:ascii="Calibri Light" w:eastAsia="Times New Roman" w:hAnsi="Calibri Light" w:cs="Times New Roman"/>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C29"/>
    <w:rPr>
      <w:rFonts w:ascii="Calibri Light" w:eastAsia="Times New Roman" w:hAnsi="Calibri Light" w:cs="Times New Roman"/>
      <w:color w:val="2F5496"/>
      <w:sz w:val="32"/>
      <w:szCs w:val="32"/>
    </w:rPr>
  </w:style>
  <w:style w:type="numbering" w:customStyle="1" w:styleId="NoList1">
    <w:name w:val="No List1"/>
    <w:next w:val="NoList"/>
    <w:uiPriority w:val="99"/>
    <w:semiHidden/>
    <w:unhideWhenUsed/>
    <w:rsid w:val="00E85C29"/>
  </w:style>
  <w:style w:type="character" w:customStyle="1" w:styleId="Hyperlink1">
    <w:name w:val="Hyperlink1"/>
    <w:basedOn w:val="DefaultParagraphFont"/>
    <w:uiPriority w:val="99"/>
    <w:unhideWhenUsed/>
    <w:rsid w:val="00E85C29"/>
    <w:rPr>
      <w:color w:val="0563C1"/>
      <w:u w:val="single"/>
    </w:rPr>
  </w:style>
  <w:style w:type="paragraph" w:styleId="Header">
    <w:name w:val="header"/>
    <w:basedOn w:val="Normal"/>
    <w:link w:val="HeaderChar"/>
    <w:uiPriority w:val="99"/>
    <w:unhideWhenUsed/>
    <w:rsid w:val="00E85C29"/>
    <w:pPr>
      <w:tabs>
        <w:tab w:val="center" w:pos="4513"/>
        <w:tab w:val="right" w:pos="9026"/>
      </w:tabs>
      <w:ind w:firstLine="0"/>
      <w:jc w:val="left"/>
    </w:pPr>
    <w:rPr>
      <w:rFonts w:ascii="Calibri" w:eastAsia="Calibri" w:hAnsi="Calibri" w:cs="Calibri"/>
    </w:rPr>
  </w:style>
  <w:style w:type="character" w:customStyle="1" w:styleId="HeaderChar">
    <w:name w:val="Header Char"/>
    <w:basedOn w:val="DefaultParagraphFont"/>
    <w:link w:val="Header"/>
    <w:uiPriority w:val="99"/>
    <w:rsid w:val="00E85C29"/>
    <w:rPr>
      <w:rFonts w:ascii="Calibri" w:eastAsia="Calibri" w:hAnsi="Calibri" w:cs="Calibri"/>
    </w:rPr>
  </w:style>
  <w:style w:type="paragraph" w:styleId="Footer">
    <w:name w:val="footer"/>
    <w:basedOn w:val="Normal"/>
    <w:link w:val="FooterChar"/>
    <w:uiPriority w:val="99"/>
    <w:unhideWhenUsed/>
    <w:rsid w:val="00E85C29"/>
    <w:pPr>
      <w:tabs>
        <w:tab w:val="center" w:pos="4513"/>
        <w:tab w:val="right" w:pos="9026"/>
      </w:tabs>
      <w:ind w:firstLine="0"/>
      <w:jc w:val="left"/>
    </w:pPr>
    <w:rPr>
      <w:rFonts w:ascii="Calibri" w:eastAsia="Calibri" w:hAnsi="Calibri" w:cs="Calibri"/>
    </w:rPr>
  </w:style>
  <w:style w:type="character" w:customStyle="1" w:styleId="FooterChar">
    <w:name w:val="Footer Char"/>
    <w:basedOn w:val="DefaultParagraphFont"/>
    <w:link w:val="Footer"/>
    <w:uiPriority w:val="99"/>
    <w:rsid w:val="00E85C29"/>
    <w:rPr>
      <w:rFonts w:ascii="Calibri" w:eastAsia="Calibri" w:hAnsi="Calibri" w:cs="Calibri"/>
    </w:rPr>
  </w:style>
  <w:style w:type="character" w:customStyle="1" w:styleId="FollowedHyperlink1">
    <w:name w:val="FollowedHyperlink1"/>
    <w:basedOn w:val="DefaultParagraphFont"/>
    <w:uiPriority w:val="99"/>
    <w:semiHidden/>
    <w:unhideWhenUsed/>
    <w:rsid w:val="00E85C29"/>
    <w:rPr>
      <w:color w:val="954F72"/>
      <w:u w:val="single"/>
    </w:rPr>
  </w:style>
  <w:style w:type="character" w:customStyle="1" w:styleId="ListParagraphChar">
    <w:name w:val="List Paragraph Char"/>
    <w:basedOn w:val="DefaultParagraphFont"/>
    <w:link w:val="ListParagraph"/>
    <w:uiPriority w:val="34"/>
    <w:locked/>
    <w:rsid w:val="00E85C29"/>
  </w:style>
  <w:style w:type="paragraph" w:customStyle="1" w:styleId="ListParagraph1">
    <w:name w:val="List Paragraph1"/>
    <w:basedOn w:val="Normal"/>
    <w:next w:val="ListParagraph"/>
    <w:uiPriority w:val="34"/>
    <w:qFormat/>
    <w:rsid w:val="00E85C29"/>
    <w:pPr>
      <w:bidi/>
      <w:ind w:left="720" w:firstLine="0"/>
      <w:jc w:val="left"/>
    </w:pPr>
  </w:style>
  <w:style w:type="character" w:customStyle="1" w:styleId="UnresolvedMention1">
    <w:name w:val="Unresolved Mention1"/>
    <w:basedOn w:val="DefaultParagraphFont"/>
    <w:uiPriority w:val="99"/>
    <w:semiHidden/>
    <w:unhideWhenUsed/>
    <w:rsid w:val="00E85C29"/>
    <w:rPr>
      <w:color w:val="605E5C"/>
      <w:shd w:val="clear" w:color="auto" w:fill="E1DFDD"/>
    </w:rPr>
  </w:style>
  <w:style w:type="table" w:styleId="TableGrid">
    <w:name w:val="Table Grid"/>
    <w:basedOn w:val="TableNormal"/>
    <w:uiPriority w:val="39"/>
    <w:rsid w:val="00E85C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39"/>
    <w:rsid w:val="00E85C29"/>
    <w:pPr>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next w:val="GridTable4-Accent1"/>
    <w:uiPriority w:val="49"/>
    <w:rsid w:val="00E85C29"/>
    <w:pPr>
      <w:bidi/>
      <w:ind w:firstLine="0"/>
      <w:jc w:val="left"/>
    </w:pPr>
    <w:rPr>
      <w:rFonts w:ascii="Times New Roman" w:eastAsia="Times New Roman" w:hAnsi="Times New Roman" w:cs="Times New Roman"/>
      <w:sz w:val="24"/>
      <w:szCs w:val="24"/>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2">
    <w:name w:val="Grid Table 4 - Accent 12"/>
    <w:basedOn w:val="TableNormal"/>
    <w:next w:val="GridTable4-Accent1"/>
    <w:uiPriority w:val="49"/>
    <w:rsid w:val="00E85C29"/>
    <w:pPr>
      <w:ind w:firstLine="0"/>
      <w:jc w:val="left"/>
    </w:p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1">
    <w:name w:val="Grid Table 4 - Accent 121"/>
    <w:basedOn w:val="TableNormal"/>
    <w:next w:val="GridTable4-Accent1"/>
    <w:uiPriority w:val="49"/>
    <w:rsid w:val="00E85C29"/>
    <w:pPr>
      <w:bidi/>
      <w:ind w:firstLine="0"/>
      <w:jc w:val="left"/>
    </w:pPr>
    <w:rPr>
      <w:rFonts w:ascii="Times New Roman" w:eastAsia="Times New Roman" w:hAnsi="Times New Roman" w:cs="Times New Roman"/>
      <w:sz w:val="24"/>
      <w:szCs w:val="24"/>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2">
    <w:name w:val="Table Grid2"/>
    <w:basedOn w:val="TableNormal"/>
    <w:next w:val="TableGrid"/>
    <w:uiPriority w:val="39"/>
    <w:rsid w:val="00E85C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E85C29"/>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E85C29"/>
    <w:pPr>
      <w:ind w:firstLine="0"/>
      <w:jc w:val="left"/>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85C29"/>
    <w:rPr>
      <w:color w:val="0563C1" w:themeColor="hyperlink"/>
      <w:u w:val="single"/>
    </w:rPr>
  </w:style>
  <w:style w:type="character" w:styleId="FollowedHyperlink">
    <w:name w:val="FollowedHyperlink"/>
    <w:basedOn w:val="DefaultParagraphFont"/>
    <w:uiPriority w:val="99"/>
    <w:semiHidden/>
    <w:unhideWhenUsed/>
    <w:rsid w:val="00E85C29"/>
    <w:rPr>
      <w:color w:val="954F72" w:themeColor="followedHyperlink"/>
      <w:u w:val="single"/>
    </w:rPr>
  </w:style>
  <w:style w:type="paragraph" w:styleId="ListParagraph">
    <w:name w:val="List Paragraph"/>
    <w:basedOn w:val="Normal"/>
    <w:link w:val="ListParagraphChar"/>
    <w:uiPriority w:val="34"/>
    <w:qFormat/>
    <w:rsid w:val="00E85C29"/>
    <w:pPr>
      <w:ind w:left="720"/>
      <w:contextualSpacing/>
    </w:pPr>
  </w:style>
  <w:style w:type="table" w:styleId="GridTable4-Accent1">
    <w:name w:val="Grid Table 4 Accent 1"/>
    <w:basedOn w:val="TableNormal"/>
    <w:uiPriority w:val="49"/>
    <w:rsid w:val="00E85C29"/>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1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00467-020-04519-1"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yperlink" Target="https://kidigo.org/guidelines/gd/(acessed29/09/2021)(KDIGO2021"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kidney-international.org"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36</Pages>
  <Words>14296</Words>
  <Characters>81491</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Abeer Selim</dc:creator>
  <cp:keywords/>
  <dc:description/>
  <cp:lastModifiedBy>No Name</cp:lastModifiedBy>
  <cp:revision>20</cp:revision>
  <dcterms:created xsi:type="dcterms:W3CDTF">2022-06-28T18:50:00Z</dcterms:created>
  <dcterms:modified xsi:type="dcterms:W3CDTF">2023-02-02T20:25:00Z</dcterms:modified>
</cp:coreProperties>
</file>