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51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B477C" w:rsidRPr="001B477C" w:rsidTr="001B477C">
        <w:tc>
          <w:tcPr>
            <w:tcW w:w="9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77C" w:rsidRPr="001B477C" w:rsidRDefault="001B477C" w:rsidP="001B477C">
            <w:pPr>
              <w:numPr>
                <w:ilvl w:val="0"/>
                <w:numId w:val="24"/>
              </w:numPr>
              <w:shd w:val="clear" w:color="auto" w:fill="FCFCFC"/>
              <w:ind w:left="0"/>
              <w:rPr>
                <w:rFonts w:ascii="Times New Roman" w:hAnsi="Times New Roman"/>
                <w:b/>
                <w:bCs/>
                <w:color w:val="333333"/>
              </w:rPr>
            </w:pPr>
            <w:r w:rsidRPr="001B477C">
              <w:rPr>
                <w:rFonts w:ascii="Times New Roman" w:hAnsi="Times New Roman"/>
                <w:b/>
                <w:bCs/>
              </w:rPr>
              <w:t>Egyptian Pediatric Association Gazette</w:t>
            </w:r>
            <w:r w:rsidRPr="001B477C">
              <w:rPr>
                <w:rFonts w:ascii="OpenSans" w:hAnsi="OpenSans" w:cs="OpenSans"/>
                <w:sz w:val="25"/>
                <w:szCs w:val="25"/>
              </w:rPr>
              <w:t xml:space="preserve">              </w:t>
            </w:r>
            <w:r w:rsidRPr="001B477C">
              <w:rPr>
                <w:rFonts w:ascii="Times New Roman" w:hAnsi="Times New Roman"/>
                <w:b/>
                <w:bCs/>
                <w:sz w:val="25"/>
                <w:szCs w:val="25"/>
              </w:rPr>
              <w:t>Electronic</w:t>
            </w:r>
            <w:r w:rsidRPr="001B477C">
              <w:rPr>
                <w:rFonts w:ascii="OpenSans" w:hAnsi="OpenSans" w:cs="OpenSans"/>
                <w:sz w:val="25"/>
                <w:szCs w:val="25"/>
              </w:rPr>
              <w:t xml:space="preserve"> </w:t>
            </w:r>
            <w:r w:rsidRPr="001B477C">
              <w:rPr>
                <w:rFonts w:ascii="Times New Roman" w:hAnsi="Times New Roman"/>
                <w:b/>
                <w:bCs/>
                <w:color w:val="333333"/>
              </w:rPr>
              <w:t xml:space="preserve">ISSN: 2090-9942     </w:t>
            </w:r>
            <w:r w:rsidRPr="001B477C">
              <w:rPr>
                <w:rFonts w:ascii="Times New Roman" w:hAnsi="Times New Roman"/>
                <w:b/>
                <w:bCs/>
              </w:rPr>
              <w:t>Springer</w:t>
            </w:r>
          </w:p>
          <w:p w:rsidR="001B477C" w:rsidRPr="001B477C" w:rsidRDefault="001B477C" w:rsidP="001B477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B477C">
              <w:rPr>
                <w:rFonts w:ascii="Times New Roman" w:hAnsi="Times New Roman"/>
                <w:b/>
                <w:bCs/>
              </w:rPr>
              <w:t xml:space="preserve">Journal of the </w:t>
            </w:r>
            <w:hyperlink r:id="rId5" w:tgtFrame="_blank" w:history="1">
              <w:r w:rsidRPr="001B477C">
                <w:rPr>
                  <w:rFonts w:ascii="Times New Roman" w:hAnsi="Times New Roman"/>
                  <w:b/>
                  <w:bCs/>
                  <w:shd w:val="clear" w:color="auto" w:fill="FCFCFC"/>
                </w:rPr>
                <w:t>Egyptian Pediatric Association</w:t>
              </w:r>
            </w:hyperlink>
          </w:p>
        </w:tc>
      </w:tr>
    </w:tbl>
    <w:p w:rsidR="00111A04" w:rsidRDefault="00111A04" w:rsidP="001B477C">
      <w:pPr>
        <w:keepNext/>
        <w:keepLines/>
        <w:ind w:firstLine="0"/>
        <w:jc w:val="left"/>
        <w:outlineLvl w:val="6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B477C" w:rsidRPr="001B477C" w:rsidRDefault="001B477C" w:rsidP="001B477C">
      <w:pPr>
        <w:keepNext/>
        <w:keepLines/>
        <w:ind w:firstLine="0"/>
        <w:jc w:val="left"/>
        <w:outlineLvl w:val="6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</w:rPr>
      </w:pPr>
      <w:r w:rsidRPr="001B477C">
        <w:rPr>
          <w:rFonts w:ascii="Times New Roman" w:eastAsia="Calibri" w:hAnsi="Times New Roman" w:cs="Times New Roman"/>
          <w:b/>
          <w:bCs/>
          <w:sz w:val="24"/>
          <w:szCs w:val="24"/>
        </w:rPr>
        <w:t>Egyptian Pediatric Clinical Practice Adapted Guidelines</w:t>
      </w:r>
      <w:r w:rsidRPr="001B477C"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</w:rPr>
        <w:t xml:space="preserve"> Evidence Based</w:t>
      </w:r>
    </w:p>
    <w:p w:rsidR="001B477C" w:rsidRDefault="001B477C" w:rsidP="001B477C">
      <w:pPr>
        <w:keepNext/>
        <w:keepLines/>
        <w:ind w:firstLine="0"/>
        <w:jc w:val="left"/>
        <w:outlineLvl w:val="6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</w:rPr>
      </w:pPr>
      <w:r w:rsidRPr="001B477C"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</w:rPr>
        <w:t xml:space="preserve"> [1] Steroid Sensitive </w:t>
      </w:r>
      <w:proofErr w:type="spellStart"/>
      <w:r w:rsidRPr="001B477C"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</w:rPr>
        <w:t>Nephrotic</w:t>
      </w:r>
      <w:proofErr w:type="spellEnd"/>
      <w:r w:rsidRPr="001B477C"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</w:rPr>
        <w:t xml:space="preserve"> Syndrome: SSNS 2022.</w:t>
      </w:r>
    </w:p>
    <w:p w:rsidR="00111A04" w:rsidRPr="001B477C" w:rsidRDefault="00111A04" w:rsidP="001B477C">
      <w:pPr>
        <w:keepNext/>
        <w:keepLines/>
        <w:ind w:firstLine="0"/>
        <w:jc w:val="left"/>
        <w:outlineLvl w:val="6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</w:rPr>
      </w:pPr>
    </w:p>
    <w:p w:rsidR="001B477C" w:rsidRPr="001B477C" w:rsidRDefault="001B477C" w:rsidP="001B477C">
      <w:pPr>
        <w:shd w:val="clear" w:color="auto" w:fill="F2F2F2" w:themeFill="background1" w:themeFillShade="F2"/>
        <w:spacing w:after="160" w:line="256" w:lineRule="auto"/>
        <w:ind w:firstLine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B477C">
        <w:rPr>
          <w:rFonts w:ascii="Times New Roman" w:eastAsia="Calibri" w:hAnsi="Times New Roman" w:cs="Times New Roman"/>
          <w:b/>
          <w:bCs/>
          <w:sz w:val="28"/>
          <w:szCs w:val="28"/>
        </w:rPr>
        <w:t>Appendix</w:t>
      </w:r>
    </w:p>
    <w:p w:rsidR="00F10B0D" w:rsidRPr="001B477C" w:rsidRDefault="00F10B0D" w:rsidP="00F10B0D">
      <w:pPr>
        <w:ind w:firstLine="0"/>
        <w:jc w:val="left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B477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Methodology Documents </w:t>
      </w:r>
    </w:p>
    <w:p w:rsidR="00F10B0D" w:rsidRPr="001B477C" w:rsidRDefault="00F10B0D" w:rsidP="00F10B0D">
      <w:pPr>
        <w:shd w:val="clear" w:color="auto" w:fill="F2F2F2" w:themeFill="background1" w:themeFillShade="F2"/>
        <w:ind w:firstLine="0"/>
        <w:jc w:val="lef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B477C">
        <w:rPr>
          <w:rFonts w:ascii="Times New Roman" w:eastAsia="Calibri" w:hAnsi="Times New Roman" w:cs="Times New Roman"/>
          <w:b/>
          <w:bCs/>
          <w:sz w:val="24"/>
          <w:szCs w:val="24"/>
        </w:rPr>
        <w:t>1-Selection criteria for reference CPGs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</w:t>
      </w:r>
    </w:p>
    <w:p w:rsidR="00F10B0D" w:rsidRPr="001B477C" w:rsidRDefault="008D5A68" w:rsidP="00001408">
      <w:pPr>
        <w:shd w:val="clear" w:color="auto" w:fill="FFFFFF" w:themeFill="background1"/>
        <w:ind w:firstLine="0"/>
        <w:jc w:val="left"/>
        <w:rPr>
          <w:rFonts w:ascii="Calibri" w:eastAsia="Calibri" w:hAnsi="Calibri" w:cs="Calibri"/>
          <w:b/>
          <w:bCs/>
          <w:sz w:val="28"/>
          <w:szCs w:val="28"/>
        </w:rPr>
      </w:pPr>
      <w:r w:rsidRPr="008D5A68">
        <w:rPr>
          <w:rFonts w:ascii="Calibri" w:eastAsia="Calibri" w:hAnsi="Calibri" w:cs="Calibri"/>
          <w:b/>
          <w:bCs/>
          <w:sz w:val="28"/>
          <w:szCs w:val="28"/>
        </w:rPr>
        <w:drawing>
          <wp:inline distT="0" distB="0" distL="0" distR="0" wp14:anchorId="5469081C" wp14:editId="73431A29">
            <wp:extent cx="5172075" cy="3171825"/>
            <wp:effectExtent l="19050" t="19050" r="28575" b="285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31718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F10B0D" w:rsidRPr="001B477C" w:rsidRDefault="00001408" w:rsidP="00001408">
      <w:pPr>
        <w:shd w:val="clear" w:color="auto" w:fill="FFFFFF" w:themeFill="background1"/>
        <w:ind w:firstLine="0"/>
        <w:jc w:val="left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</w:t>
      </w:r>
      <w:r w:rsidR="00F10B0D">
        <w:rPr>
          <w:rFonts w:ascii="Times New Roman" w:eastAsia="Calibri" w:hAnsi="Times New Roman" w:cs="Times New Roman"/>
          <w:b/>
          <w:bCs/>
          <w:sz w:val="24"/>
          <w:szCs w:val="24"/>
        </w:rPr>
        <w:t>(Fig 1</w:t>
      </w:r>
      <w:r w:rsidRPr="0000140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Methodology </w:t>
      </w:r>
      <w:r w:rsidR="00F10B0D">
        <w:rPr>
          <w:rFonts w:ascii="Times New Roman" w:eastAsia="Calibri" w:hAnsi="Times New Roman" w:cs="Times New Roman"/>
          <w:b/>
          <w:bCs/>
          <w:sz w:val="24"/>
          <w:szCs w:val="24"/>
        </w:rPr>
        <w:t>)</w:t>
      </w:r>
      <w:proofErr w:type="gramEnd"/>
    </w:p>
    <w:p w:rsidR="00F10B0D" w:rsidRDefault="00F10B0D" w:rsidP="00F10B0D">
      <w:pPr>
        <w:shd w:val="clear" w:color="auto" w:fill="FFFFFF" w:themeFill="background1"/>
        <w:ind w:firstLine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0B0D" w:rsidRPr="001B477C" w:rsidRDefault="00F10B0D" w:rsidP="00001408">
      <w:pPr>
        <w:shd w:val="clear" w:color="auto" w:fill="F2F2F2" w:themeFill="background1" w:themeFillShade="F2"/>
        <w:ind w:firstLine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477C">
        <w:rPr>
          <w:rFonts w:ascii="Times New Roman" w:eastAsia="Times New Roman" w:hAnsi="Times New Roman" w:cs="Times New Roman"/>
          <w:b/>
          <w:sz w:val="24"/>
          <w:szCs w:val="24"/>
        </w:rPr>
        <w:t>2- List of retrieved Guidelines</w:t>
      </w:r>
    </w:p>
    <w:p w:rsidR="00F10B0D" w:rsidRPr="001B477C" w:rsidRDefault="00F10B0D" w:rsidP="00F10B0D">
      <w:pPr>
        <w:numPr>
          <w:ilvl w:val="0"/>
          <w:numId w:val="4"/>
        </w:numPr>
        <w:tabs>
          <w:tab w:val="left" w:pos="270"/>
          <w:tab w:val="left" w:pos="360"/>
        </w:tabs>
        <w:ind w:left="270" w:hanging="180"/>
        <w:jc w:val="lef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B477C">
        <w:rPr>
          <w:rFonts w:ascii="Times New Roman" w:eastAsia="Times New Roman" w:hAnsi="Times New Roman" w:cs="Times New Roman"/>
          <w:bCs/>
          <w:sz w:val="24"/>
          <w:szCs w:val="24"/>
        </w:rPr>
        <w:t xml:space="preserve">IPNA clinical practice recommendations for the diagnosis and management of children with steroid-resistant </w:t>
      </w:r>
      <w:proofErr w:type="spellStart"/>
      <w:r w:rsidRPr="001B477C">
        <w:rPr>
          <w:rFonts w:ascii="Times New Roman" w:eastAsia="Times New Roman" w:hAnsi="Times New Roman" w:cs="Times New Roman"/>
          <w:bCs/>
          <w:sz w:val="24"/>
          <w:szCs w:val="24"/>
        </w:rPr>
        <w:t>nephrotic</w:t>
      </w:r>
      <w:proofErr w:type="spellEnd"/>
      <w:r w:rsidRPr="001B477C">
        <w:rPr>
          <w:rFonts w:ascii="Times New Roman" w:eastAsia="Times New Roman" w:hAnsi="Times New Roman" w:cs="Times New Roman"/>
          <w:bCs/>
          <w:sz w:val="24"/>
          <w:szCs w:val="24"/>
        </w:rPr>
        <w:t xml:space="preserve"> syndrome. </w:t>
      </w:r>
    </w:p>
    <w:p w:rsidR="00F10B0D" w:rsidRPr="001B477C" w:rsidRDefault="00F10B0D" w:rsidP="00F10B0D">
      <w:pPr>
        <w:tabs>
          <w:tab w:val="left" w:pos="270"/>
          <w:tab w:val="left" w:pos="360"/>
        </w:tabs>
        <w:ind w:left="270" w:hanging="18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B477C">
        <w:rPr>
          <w:rFonts w:ascii="Times New Roman" w:eastAsia="Times New Roman" w:hAnsi="Times New Roman" w:cs="Times New Roman"/>
          <w:bCs/>
          <w:sz w:val="24"/>
          <w:szCs w:val="24"/>
        </w:rPr>
        <w:t xml:space="preserve">    Available at: Pediatric Nephrology (2020) 35:1529–1561 </w:t>
      </w:r>
      <w:hyperlink r:id="rId7">
        <w:r w:rsidRPr="001B477C">
          <w:rPr>
            <w:rFonts w:ascii="Times New Roman" w:eastAsia="Times New Roman" w:hAnsi="Times New Roman" w:cs="Times New Roman"/>
            <w:bCs/>
            <w:sz w:val="24"/>
            <w:szCs w:val="24"/>
          </w:rPr>
          <w:t>https://doi.org/10.1007/s00467-020-04519-1</w:t>
        </w:r>
      </w:hyperlink>
      <w:r w:rsidRPr="001B477C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F10B0D" w:rsidRPr="001B477C" w:rsidRDefault="00F10B0D" w:rsidP="00F10B0D">
      <w:pPr>
        <w:numPr>
          <w:ilvl w:val="0"/>
          <w:numId w:val="4"/>
        </w:numPr>
        <w:tabs>
          <w:tab w:val="left" w:pos="180"/>
          <w:tab w:val="left" w:pos="270"/>
          <w:tab w:val="left" w:pos="360"/>
        </w:tabs>
        <w:ind w:left="270" w:hanging="180"/>
        <w:jc w:val="lef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B477C">
        <w:rPr>
          <w:rFonts w:ascii="Times New Roman" w:eastAsia="Times New Roman" w:hAnsi="Times New Roman" w:cs="Times New Roman"/>
          <w:bCs/>
          <w:sz w:val="24"/>
          <w:szCs w:val="24"/>
        </w:rPr>
        <w:t xml:space="preserve">Clinical practice guideline for pediatric idiopathic </w:t>
      </w:r>
      <w:proofErr w:type="spellStart"/>
      <w:r w:rsidRPr="001B477C">
        <w:rPr>
          <w:rFonts w:ascii="Times New Roman" w:eastAsia="Times New Roman" w:hAnsi="Times New Roman" w:cs="Times New Roman"/>
          <w:bCs/>
          <w:sz w:val="24"/>
          <w:szCs w:val="24"/>
        </w:rPr>
        <w:t>nephrotic</w:t>
      </w:r>
      <w:proofErr w:type="spellEnd"/>
      <w:r w:rsidRPr="001B477C">
        <w:rPr>
          <w:rFonts w:ascii="Times New Roman" w:eastAsia="Times New Roman" w:hAnsi="Times New Roman" w:cs="Times New Roman"/>
          <w:bCs/>
          <w:sz w:val="24"/>
          <w:szCs w:val="24"/>
        </w:rPr>
        <w:t xml:space="preserve"> syndrome 2013: medical therapy. Japanese Society of Nephrology and </w:t>
      </w:r>
      <w:proofErr w:type="gramStart"/>
      <w:r w:rsidRPr="001B477C">
        <w:rPr>
          <w:rFonts w:ascii="Times New Roman" w:eastAsia="Times New Roman" w:hAnsi="Times New Roman" w:cs="Times New Roman"/>
          <w:bCs/>
          <w:sz w:val="24"/>
          <w:szCs w:val="24"/>
        </w:rPr>
        <w:t>The</w:t>
      </w:r>
      <w:proofErr w:type="gramEnd"/>
      <w:r w:rsidRPr="001B477C">
        <w:rPr>
          <w:rFonts w:ascii="Times New Roman" w:eastAsia="Times New Roman" w:hAnsi="Times New Roman" w:cs="Times New Roman"/>
          <w:bCs/>
          <w:sz w:val="24"/>
          <w:szCs w:val="24"/>
        </w:rPr>
        <w:t xml:space="preserve"> Japanese Society for Pediatric Nephrology 2015.</w:t>
      </w:r>
    </w:p>
    <w:p w:rsidR="00F10B0D" w:rsidRPr="001B477C" w:rsidRDefault="00F10B0D" w:rsidP="00F10B0D">
      <w:pPr>
        <w:tabs>
          <w:tab w:val="left" w:pos="180"/>
          <w:tab w:val="left" w:pos="270"/>
          <w:tab w:val="left" w:pos="360"/>
        </w:tabs>
        <w:ind w:left="270" w:hanging="18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B477C">
        <w:rPr>
          <w:rFonts w:ascii="Times New Roman" w:eastAsia="Times New Roman" w:hAnsi="Times New Roman" w:cs="Times New Roman"/>
          <w:bCs/>
          <w:sz w:val="24"/>
          <w:szCs w:val="24"/>
        </w:rPr>
        <w:t xml:space="preserve">   Available at: </w:t>
      </w:r>
      <w:proofErr w:type="spellStart"/>
      <w:r w:rsidRPr="001B477C">
        <w:rPr>
          <w:rFonts w:ascii="Times New Roman" w:eastAsia="Times New Roman" w:hAnsi="Times New Roman" w:cs="Times New Roman"/>
          <w:bCs/>
          <w:sz w:val="24"/>
          <w:szCs w:val="24"/>
        </w:rPr>
        <w:t>Clin</w:t>
      </w:r>
      <w:proofErr w:type="spellEnd"/>
      <w:r w:rsidRPr="001B477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B477C">
        <w:rPr>
          <w:rFonts w:ascii="Times New Roman" w:eastAsia="Times New Roman" w:hAnsi="Times New Roman" w:cs="Times New Roman"/>
          <w:bCs/>
          <w:sz w:val="24"/>
          <w:szCs w:val="24"/>
        </w:rPr>
        <w:t>Exp</w:t>
      </w:r>
      <w:proofErr w:type="spellEnd"/>
      <w:r w:rsidRPr="001B477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B477C">
        <w:rPr>
          <w:rFonts w:ascii="Times New Roman" w:eastAsia="Times New Roman" w:hAnsi="Times New Roman" w:cs="Times New Roman"/>
          <w:bCs/>
          <w:sz w:val="24"/>
          <w:szCs w:val="24"/>
        </w:rPr>
        <w:t>Nephrol</w:t>
      </w:r>
      <w:proofErr w:type="spellEnd"/>
      <w:r w:rsidRPr="001B477C">
        <w:rPr>
          <w:rFonts w:ascii="Times New Roman" w:eastAsia="Times New Roman" w:hAnsi="Times New Roman" w:cs="Times New Roman"/>
          <w:bCs/>
          <w:sz w:val="24"/>
          <w:szCs w:val="24"/>
        </w:rPr>
        <w:t xml:space="preserve"> DOI 10.1007/s10157-014-1030-x.</w:t>
      </w:r>
    </w:p>
    <w:p w:rsidR="00F10B0D" w:rsidRPr="001B477C" w:rsidRDefault="00F10B0D" w:rsidP="00F10B0D">
      <w:pPr>
        <w:numPr>
          <w:ilvl w:val="0"/>
          <w:numId w:val="4"/>
        </w:numPr>
        <w:tabs>
          <w:tab w:val="left" w:pos="0"/>
          <w:tab w:val="left" w:pos="270"/>
          <w:tab w:val="left" w:pos="360"/>
        </w:tabs>
        <w:ind w:left="270" w:hanging="180"/>
        <w:jc w:val="lef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B477C">
        <w:rPr>
          <w:rFonts w:ascii="Times New Roman" w:eastAsia="Times New Roman" w:hAnsi="Times New Roman" w:cs="Times New Roman"/>
          <w:bCs/>
          <w:sz w:val="24"/>
          <w:szCs w:val="24"/>
        </w:rPr>
        <w:t xml:space="preserve">KDIGO Clinical Practice Guideline on Glomerular Diseases </w:t>
      </w:r>
    </w:p>
    <w:p w:rsidR="00F10B0D" w:rsidRPr="001B477C" w:rsidRDefault="00F10B0D" w:rsidP="00F10B0D">
      <w:pPr>
        <w:tabs>
          <w:tab w:val="left" w:pos="180"/>
          <w:tab w:val="left" w:pos="270"/>
          <w:tab w:val="left" w:pos="360"/>
        </w:tabs>
        <w:ind w:left="270" w:hanging="18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B477C">
        <w:rPr>
          <w:rFonts w:ascii="Times New Roman" w:eastAsia="Times New Roman" w:hAnsi="Times New Roman" w:cs="Times New Roman"/>
          <w:bCs/>
          <w:sz w:val="24"/>
          <w:szCs w:val="24"/>
        </w:rPr>
        <w:t xml:space="preserve">    Available at: volume 2 | issue 2 | June </w:t>
      </w:r>
      <w:proofErr w:type="gramStart"/>
      <w:r w:rsidRPr="001B477C">
        <w:rPr>
          <w:rFonts w:ascii="Times New Roman" w:eastAsia="Times New Roman" w:hAnsi="Times New Roman" w:cs="Times New Roman"/>
          <w:bCs/>
          <w:sz w:val="24"/>
          <w:szCs w:val="24"/>
        </w:rPr>
        <w:t xml:space="preserve">2012  </w:t>
      </w:r>
      <w:proofErr w:type="gramEnd"/>
      <w:r w:rsidRPr="001B477C">
        <w:fldChar w:fldCharType="begin"/>
      </w:r>
      <w:r w:rsidRPr="001B477C">
        <w:instrText xml:space="preserve"> HYPERLINK "http://www.kidney-international.org" </w:instrText>
      </w:r>
      <w:r w:rsidRPr="001B477C">
        <w:fldChar w:fldCharType="separate"/>
      </w:r>
      <w:r w:rsidRPr="001B477C">
        <w:rPr>
          <w:rFonts w:ascii="Times New Roman" w:eastAsia="Times New Roman" w:hAnsi="Times New Roman" w:cs="Times New Roman"/>
          <w:bCs/>
          <w:sz w:val="24"/>
          <w:szCs w:val="24"/>
        </w:rPr>
        <w:t>http://www.kidney-international.org</w:t>
      </w:r>
      <w:r w:rsidRPr="001B477C">
        <w:rPr>
          <w:rFonts w:ascii="Times New Roman" w:eastAsia="Times New Roman" w:hAnsi="Times New Roman" w:cs="Times New Roman"/>
          <w:bCs/>
          <w:sz w:val="24"/>
          <w:szCs w:val="24"/>
        </w:rPr>
        <w:fldChar w:fldCharType="end"/>
      </w:r>
    </w:p>
    <w:p w:rsidR="00F10B0D" w:rsidRPr="001B477C" w:rsidRDefault="00F10B0D" w:rsidP="00F10B0D">
      <w:pPr>
        <w:tabs>
          <w:tab w:val="left" w:pos="360"/>
        </w:tabs>
        <w:ind w:left="360" w:hanging="27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B477C">
        <w:rPr>
          <w:rFonts w:ascii="Times New Roman" w:eastAsia="Times New Roman" w:hAnsi="Times New Roman" w:cs="Times New Roman"/>
          <w:b/>
          <w:sz w:val="24"/>
          <w:szCs w:val="24"/>
        </w:rPr>
        <w:t>d-</w:t>
      </w:r>
      <w:r w:rsidRPr="001B477C">
        <w:rPr>
          <w:rFonts w:ascii="Times New Roman" w:eastAsia="Times New Roman" w:hAnsi="Times New Roman" w:cs="Times New Roman"/>
          <w:bCs/>
          <w:sz w:val="24"/>
          <w:szCs w:val="24"/>
        </w:rPr>
        <w:t xml:space="preserve"> Kidney Disease: Improving Global Outcomes (KDIGO) Glomerular Disease Work Group. KDIGO 2021.Clinical Practice Guideline for the management of   Glomerular Diseases.  </w:t>
      </w:r>
      <w:proofErr w:type="spellStart"/>
      <w:r w:rsidRPr="001B477C">
        <w:rPr>
          <w:rFonts w:ascii="Times New Roman" w:eastAsia="Times New Roman" w:hAnsi="Times New Roman" w:cs="Times New Roman"/>
          <w:bCs/>
          <w:sz w:val="24"/>
          <w:szCs w:val="24"/>
        </w:rPr>
        <w:t>KidneyInt</w:t>
      </w:r>
      <w:proofErr w:type="spellEnd"/>
      <w:r w:rsidRPr="001B477C">
        <w:rPr>
          <w:rFonts w:ascii="Times New Roman" w:eastAsia="Times New Roman" w:hAnsi="Times New Roman" w:cs="Times New Roman"/>
          <w:bCs/>
          <w:sz w:val="24"/>
          <w:szCs w:val="24"/>
        </w:rPr>
        <w:t>. 2021; 100 (45):51-S276.</w:t>
      </w:r>
    </w:p>
    <w:p w:rsidR="00F10B0D" w:rsidRPr="001B477C" w:rsidRDefault="00F10B0D" w:rsidP="00F10B0D">
      <w:pPr>
        <w:tabs>
          <w:tab w:val="left" w:pos="360"/>
        </w:tabs>
        <w:ind w:left="360" w:hanging="27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B477C">
        <w:rPr>
          <w:rFonts w:ascii="Times New Roman" w:eastAsia="Times New Roman" w:hAnsi="Times New Roman" w:cs="Times New Roman"/>
          <w:bCs/>
          <w:sz w:val="24"/>
          <w:szCs w:val="24"/>
        </w:rPr>
        <w:t xml:space="preserve">    Available at </w:t>
      </w:r>
      <w:hyperlink r:id="rId8" w:history="1">
        <w:r w:rsidRPr="001B477C">
          <w:rPr>
            <w:rFonts w:ascii="Times New Roman" w:eastAsia="Times New Roman" w:hAnsi="Times New Roman" w:cs="Times New Roman"/>
            <w:bCs/>
            <w:sz w:val="24"/>
            <w:szCs w:val="24"/>
          </w:rPr>
          <w:t>https://kidigo.org/guidelines/gd/(acessed29/09/2021)(KDIGO2021</w:t>
        </w:r>
      </w:hyperlink>
      <w:r w:rsidRPr="001B477C">
        <w:rPr>
          <w:rFonts w:ascii="Times New Roman" w:eastAsia="Times New Roman" w:hAnsi="Times New Roman" w:cs="Times New Roman"/>
          <w:bCs/>
          <w:color w:val="4F81BD"/>
          <w:sz w:val="24"/>
          <w:szCs w:val="24"/>
        </w:rPr>
        <w:t xml:space="preserve"> </w:t>
      </w:r>
    </w:p>
    <w:p w:rsidR="00F10B0D" w:rsidRPr="001B477C" w:rsidRDefault="00F10B0D" w:rsidP="00F10B0D">
      <w:pPr>
        <w:tabs>
          <w:tab w:val="left" w:pos="360"/>
        </w:tabs>
        <w:ind w:left="630" w:hanging="540"/>
        <w:rPr>
          <w:rFonts w:ascii="Times New Roman" w:eastAsia="Times New Roman" w:hAnsi="Times New Roman" w:cs="Times New Roman"/>
          <w:bCs/>
          <w:color w:val="4F81BD"/>
          <w:sz w:val="24"/>
          <w:szCs w:val="24"/>
        </w:rPr>
      </w:pPr>
    </w:p>
    <w:p w:rsidR="00F10B0D" w:rsidRPr="001B477C" w:rsidRDefault="00F10B0D" w:rsidP="00F10B0D">
      <w:pPr>
        <w:numPr>
          <w:ilvl w:val="0"/>
          <w:numId w:val="7"/>
        </w:numPr>
        <w:shd w:val="clear" w:color="auto" w:fill="F2F2F2"/>
        <w:tabs>
          <w:tab w:val="left" w:pos="450"/>
        </w:tabs>
        <w:contextualSpacing/>
        <w:jc w:val="left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1B477C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Critical group appraisal of</w:t>
      </w:r>
      <w:r w:rsidR="00CA6591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reference guidelines</w:t>
      </w:r>
      <w:r w:rsidRPr="001B477C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:</w:t>
      </w:r>
    </w:p>
    <w:p w:rsidR="00A34CD2" w:rsidRDefault="00F10B0D" w:rsidP="00F10B0D">
      <w:pPr>
        <w:numPr>
          <w:ilvl w:val="0"/>
          <w:numId w:val="5"/>
        </w:numPr>
        <w:tabs>
          <w:tab w:val="left" w:pos="450"/>
        </w:tabs>
        <w:jc w:val="lef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B477C">
        <w:rPr>
          <w:rFonts w:ascii="Times New Roman" w:eastAsia="Times New Roman" w:hAnsi="Times New Roman" w:cs="Times New Roman"/>
          <w:bCs/>
          <w:sz w:val="24"/>
          <w:szCs w:val="24"/>
        </w:rPr>
        <w:t xml:space="preserve">IPNA clinical practice recommendations for the </w:t>
      </w:r>
      <w:r w:rsidR="00A34CD2">
        <w:rPr>
          <w:rFonts w:ascii="Times New Roman" w:eastAsia="Times New Roman" w:hAnsi="Times New Roman" w:cs="Times New Roman"/>
          <w:bCs/>
          <w:sz w:val="24"/>
          <w:szCs w:val="24"/>
        </w:rPr>
        <w:t xml:space="preserve">diagnosis and management of </w:t>
      </w:r>
      <w:r w:rsidRPr="001B477C">
        <w:rPr>
          <w:rFonts w:ascii="Times New Roman" w:eastAsia="Times New Roman" w:hAnsi="Times New Roman" w:cs="Times New Roman"/>
          <w:bCs/>
          <w:sz w:val="24"/>
          <w:szCs w:val="24"/>
        </w:rPr>
        <w:t>children</w:t>
      </w:r>
    </w:p>
    <w:p w:rsidR="00F10B0D" w:rsidRPr="001B477C" w:rsidRDefault="00F10B0D" w:rsidP="008050B0">
      <w:pPr>
        <w:tabs>
          <w:tab w:val="left" w:pos="450"/>
        </w:tabs>
        <w:ind w:left="450" w:firstLine="0"/>
        <w:jc w:val="lef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B477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1B477C">
        <w:rPr>
          <w:rFonts w:ascii="Times New Roman" w:eastAsia="Times New Roman" w:hAnsi="Times New Roman" w:cs="Times New Roman"/>
          <w:bCs/>
          <w:sz w:val="24"/>
          <w:szCs w:val="24"/>
        </w:rPr>
        <w:t>with</w:t>
      </w:r>
      <w:proofErr w:type="gramEnd"/>
      <w:r w:rsidRPr="001B477C">
        <w:rPr>
          <w:rFonts w:ascii="Times New Roman" w:eastAsia="Times New Roman" w:hAnsi="Times New Roman" w:cs="Times New Roman"/>
          <w:bCs/>
          <w:sz w:val="24"/>
          <w:szCs w:val="24"/>
        </w:rPr>
        <w:t xml:space="preserve"> steroi</w:t>
      </w:r>
      <w:r w:rsidR="008050B0">
        <w:rPr>
          <w:rFonts w:ascii="Times New Roman" w:eastAsia="Times New Roman" w:hAnsi="Times New Roman" w:cs="Times New Roman"/>
          <w:bCs/>
          <w:sz w:val="24"/>
          <w:szCs w:val="24"/>
        </w:rPr>
        <w:t xml:space="preserve">d-resistant </w:t>
      </w:r>
      <w:proofErr w:type="spellStart"/>
      <w:r w:rsidR="008050B0">
        <w:rPr>
          <w:rFonts w:ascii="Times New Roman" w:eastAsia="Times New Roman" w:hAnsi="Times New Roman" w:cs="Times New Roman"/>
          <w:bCs/>
          <w:sz w:val="24"/>
          <w:szCs w:val="24"/>
        </w:rPr>
        <w:t>nephrotic</w:t>
      </w:r>
      <w:proofErr w:type="spellEnd"/>
      <w:r w:rsidR="008050B0">
        <w:rPr>
          <w:rFonts w:ascii="Times New Roman" w:eastAsia="Times New Roman" w:hAnsi="Times New Roman" w:cs="Times New Roman"/>
          <w:bCs/>
          <w:sz w:val="24"/>
          <w:szCs w:val="24"/>
        </w:rPr>
        <w:t xml:space="preserve"> syndrome, u</w:t>
      </w:r>
      <w:r w:rsidRPr="001B477C">
        <w:rPr>
          <w:rFonts w:ascii="Times New Roman" w:eastAsia="Times New Roman" w:hAnsi="Times New Roman" w:cs="Times New Roman"/>
          <w:bCs/>
          <w:sz w:val="24"/>
          <w:szCs w:val="24"/>
        </w:rPr>
        <w:t>sing the AGREE II Instrument.</w:t>
      </w:r>
    </w:p>
    <w:p w:rsidR="00F10B0D" w:rsidRDefault="00F10B0D" w:rsidP="00F10B0D">
      <w:pPr>
        <w:ind w:left="90" w:firstLine="0"/>
        <w:jc w:val="lef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B477C">
        <w:rPr>
          <w:rFonts w:ascii="Times New Roman" w:eastAsia="Times New Roman" w:hAnsi="Times New Roman" w:cs="Times New Roman"/>
          <w:bCs/>
          <w:noProof/>
          <w:sz w:val="24"/>
          <w:szCs w:val="24"/>
        </w:rPr>
        <w:lastRenderedPageBreak/>
        <w:drawing>
          <wp:inline distT="0" distB="0" distL="0" distR="0" wp14:anchorId="71BDFD8D" wp14:editId="20B4F05A">
            <wp:extent cx="5838825" cy="1562100"/>
            <wp:effectExtent l="19050" t="19050" r="28575" b="19050"/>
            <wp:docPr id="2" name="Picture 2" descr="C:\Users\Abeer\Downloads\Cap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 descr="C:\Users\Abeer\Downloads\Capture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15621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3399"/>
                      </a:solidFill>
                    </a:ln>
                  </pic:spPr>
                </pic:pic>
              </a:graphicData>
            </a:graphic>
          </wp:inline>
        </w:drawing>
      </w:r>
    </w:p>
    <w:p w:rsidR="00F10B0D" w:rsidRDefault="00F10B0D" w:rsidP="00001408">
      <w:pPr>
        <w:ind w:left="90" w:firstLine="0"/>
        <w:jc w:val="lef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(Fig 2</w:t>
      </w:r>
      <w:r w:rsidR="00001408" w:rsidRPr="0000140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001408">
        <w:rPr>
          <w:rFonts w:ascii="Times New Roman" w:eastAsia="Calibri" w:hAnsi="Times New Roman" w:cs="Times New Roman"/>
          <w:b/>
          <w:bCs/>
          <w:sz w:val="24"/>
          <w:szCs w:val="24"/>
        </w:rPr>
        <w:t>Methodology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)</w:t>
      </w:r>
    </w:p>
    <w:p w:rsidR="00F10B0D" w:rsidRDefault="00F10B0D" w:rsidP="00F10B0D">
      <w:pPr>
        <w:ind w:left="90" w:firstLine="0"/>
        <w:jc w:val="lef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10B0D" w:rsidRPr="001B477C" w:rsidRDefault="00F10B0D" w:rsidP="00F10B0D">
      <w:pPr>
        <w:ind w:left="90" w:firstLine="0"/>
        <w:jc w:val="lef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10B0D" w:rsidRPr="001B477C" w:rsidRDefault="00F10B0D" w:rsidP="00F10B0D">
      <w:pPr>
        <w:numPr>
          <w:ilvl w:val="0"/>
          <w:numId w:val="5"/>
        </w:numPr>
        <w:tabs>
          <w:tab w:val="left" w:pos="360"/>
        </w:tabs>
        <w:ind w:left="90" w:firstLine="0"/>
        <w:jc w:val="lef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B477C">
        <w:rPr>
          <w:rFonts w:ascii="Times New Roman" w:eastAsia="Times New Roman" w:hAnsi="Times New Roman" w:cs="Times New Roman"/>
          <w:bCs/>
          <w:sz w:val="24"/>
          <w:szCs w:val="24"/>
        </w:rPr>
        <w:t>Evidence-Based Clinical Practice Guidelines fo</w:t>
      </w:r>
      <w:r w:rsidR="008050B0">
        <w:rPr>
          <w:rFonts w:ascii="Times New Roman" w:eastAsia="Times New Roman" w:hAnsi="Times New Roman" w:cs="Times New Roman"/>
          <w:bCs/>
          <w:sz w:val="24"/>
          <w:szCs w:val="24"/>
        </w:rPr>
        <w:t xml:space="preserve">r </w:t>
      </w:r>
      <w:proofErr w:type="spellStart"/>
      <w:r w:rsidR="008050B0">
        <w:rPr>
          <w:rFonts w:ascii="Times New Roman" w:eastAsia="Times New Roman" w:hAnsi="Times New Roman" w:cs="Times New Roman"/>
          <w:bCs/>
          <w:sz w:val="24"/>
          <w:szCs w:val="24"/>
        </w:rPr>
        <w:t>Nephrotic</w:t>
      </w:r>
      <w:proofErr w:type="spellEnd"/>
      <w:r w:rsidR="008050B0">
        <w:rPr>
          <w:rFonts w:ascii="Times New Roman" w:eastAsia="Times New Roman" w:hAnsi="Times New Roman" w:cs="Times New Roman"/>
          <w:bCs/>
          <w:sz w:val="24"/>
          <w:szCs w:val="24"/>
        </w:rPr>
        <w:t xml:space="preserve"> Syndrome JSPN 2014,</w:t>
      </w:r>
    </w:p>
    <w:p w:rsidR="00F10B0D" w:rsidRPr="001B477C" w:rsidRDefault="00F10B0D" w:rsidP="008050B0">
      <w:pPr>
        <w:tabs>
          <w:tab w:val="left" w:pos="360"/>
        </w:tabs>
        <w:ind w:left="90" w:firstLine="0"/>
        <w:jc w:val="lef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B477C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  <w:proofErr w:type="gramStart"/>
      <w:r w:rsidR="008050B0">
        <w:rPr>
          <w:rFonts w:ascii="Times New Roman" w:eastAsia="Times New Roman" w:hAnsi="Times New Roman" w:cs="Times New Roman"/>
          <w:bCs/>
          <w:sz w:val="24"/>
          <w:szCs w:val="24"/>
        </w:rPr>
        <w:t>u</w:t>
      </w:r>
      <w:r w:rsidRPr="001B477C">
        <w:rPr>
          <w:rFonts w:ascii="Times New Roman" w:eastAsia="Times New Roman" w:hAnsi="Times New Roman" w:cs="Times New Roman"/>
          <w:bCs/>
          <w:sz w:val="24"/>
          <w:szCs w:val="24"/>
        </w:rPr>
        <w:t>sing</w:t>
      </w:r>
      <w:proofErr w:type="gramEnd"/>
      <w:r w:rsidRPr="001B477C">
        <w:rPr>
          <w:rFonts w:ascii="Times New Roman" w:eastAsia="Times New Roman" w:hAnsi="Times New Roman" w:cs="Times New Roman"/>
          <w:bCs/>
          <w:sz w:val="24"/>
          <w:szCs w:val="24"/>
        </w:rPr>
        <w:t xml:space="preserve"> the AGREE II Instrument.</w:t>
      </w:r>
    </w:p>
    <w:p w:rsidR="00F10B0D" w:rsidRPr="001B477C" w:rsidRDefault="00F10B0D" w:rsidP="00F10B0D">
      <w:pPr>
        <w:bidi/>
        <w:ind w:right="90"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B477C">
        <w:rPr>
          <w:rFonts w:ascii="Times New Roman" w:eastAsia="Times New Roman" w:hAnsi="Times New Roman" w:cs="Times New Roman"/>
          <w:b/>
          <w:noProof/>
          <w:sz w:val="28"/>
          <w:szCs w:val="28"/>
          <w:rtl/>
        </w:rPr>
        <w:drawing>
          <wp:inline distT="0" distB="0" distL="0" distR="0" wp14:anchorId="58757659" wp14:editId="2D4A2361">
            <wp:extent cx="5800725" cy="1343025"/>
            <wp:effectExtent l="19050" t="19050" r="28575" b="28575"/>
            <wp:docPr id="3" name="Picture 3" descr="C:\Users\Abeer\Downloads\Cap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C:\Users\Abeer\Downloads\Capture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134302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3399"/>
                      </a:solidFill>
                    </a:ln>
                  </pic:spPr>
                </pic:pic>
              </a:graphicData>
            </a:graphic>
          </wp:inline>
        </w:drawing>
      </w:r>
    </w:p>
    <w:p w:rsidR="00F10B0D" w:rsidRPr="001B477C" w:rsidRDefault="00001408" w:rsidP="00001408">
      <w:pPr>
        <w:bidi/>
        <w:ind w:right="270" w:firstLine="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(Fig 3 Methodology)  </w:t>
      </w:r>
    </w:p>
    <w:p w:rsidR="00F10B0D" w:rsidRPr="001B477C" w:rsidRDefault="00F10B0D" w:rsidP="00F10B0D">
      <w:pPr>
        <w:bidi/>
        <w:ind w:right="180"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10B0D" w:rsidRPr="001B477C" w:rsidRDefault="00F10B0D" w:rsidP="008050B0">
      <w:pPr>
        <w:numPr>
          <w:ilvl w:val="0"/>
          <w:numId w:val="5"/>
        </w:numPr>
        <w:tabs>
          <w:tab w:val="left" w:pos="360"/>
        </w:tabs>
        <w:ind w:left="90" w:right="90" w:firstLine="0"/>
        <w:contextualSpacing/>
        <w:jc w:val="left"/>
        <w:rPr>
          <w:rFonts w:ascii="Times New Roman" w:eastAsia="Times New Roman" w:hAnsi="Times New Roman" w:cs="Times New Roman"/>
          <w:b/>
          <w:sz w:val="28"/>
          <w:szCs w:val="28"/>
          <w:lang w:val="en-GB"/>
        </w:rPr>
      </w:pPr>
      <w:r w:rsidRPr="001B477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KDIGO Clinical Practice Guideline on Glomerular Diseases, </w:t>
      </w:r>
      <w:r w:rsidR="008050B0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u</w:t>
      </w:r>
      <w:r w:rsidRPr="001B477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sing the AGREE II Instrument.</w:t>
      </w:r>
      <w:r w:rsidRPr="001B477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br/>
      </w:r>
      <w:r w:rsidRPr="001B477C">
        <w:rPr>
          <w:b/>
          <w:noProof/>
          <w:sz w:val="28"/>
          <w:szCs w:val="28"/>
        </w:rPr>
        <w:drawing>
          <wp:inline distT="0" distB="0" distL="0" distR="0" wp14:anchorId="103BFB0F" wp14:editId="681B387A">
            <wp:extent cx="5895975" cy="981075"/>
            <wp:effectExtent l="19050" t="19050" r="28575" b="28575"/>
            <wp:docPr id="4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95975" cy="981075"/>
                    </a:xfrm>
                    <a:prstGeom prst="rect">
                      <a:avLst/>
                    </a:prstGeom>
                    <a:ln>
                      <a:solidFill>
                        <a:srgbClr val="003399"/>
                      </a:solidFill>
                    </a:ln>
                  </pic:spPr>
                </pic:pic>
              </a:graphicData>
            </a:graphic>
          </wp:inline>
        </w:drawing>
      </w:r>
    </w:p>
    <w:p w:rsidR="00001408" w:rsidRPr="001B477C" w:rsidRDefault="00001408" w:rsidP="00001408">
      <w:pPr>
        <w:bidi/>
        <w:ind w:right="180" w:firstLine="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(Fig 4 Methodology)</w:t>
      </w:r>
    </w:p>
    <w:p w:rsidR="00F10B0D" w:rsidRPr="001B477C" w:rsidRDefault="00F10B0D" w:rsidP="00F10B0D">
      <w:pPr>
        <w:tabs>
          <w:tab w:val="left" w:pos="180"/>
          <w:tab w:val="left" w:pos="450"/>
        </w:tabs>
        <w:ind w:right="91" w:firstLine="0"/>
        <w:jc w:val="lef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10B0D" w:rsidRPr="001B477C" w:rsidRDefault="00F10B0D" w:rsidP="00F10B0D">
      <w:pPr>
        <w:shd w:val="clear" w:color="auto" w:fill="F2F2F2"/>
        <w:bidi/>
        <w:ind w:right="90" w:firstLine="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477C">
        <w:rPr>
          <w:rFonts w:ascii="Times New Roman" w:eastAsia="Times New Roman" w:hAnsi="Times New Roman" w:cs="Times New Roman"/>
          <w:b/>
          <w:sz w:val="24"/>
          <w:szCs w:val="24"/>
        </w:rPr>
        <w:t xml:space="preserve">4. Evidence </w:t>
      </w:r>
      <w:proofErr w:type="spellStart"/>
      <w:r w:rsidRPr="001B477C">
        <w:rPr>
          <w:rFonts w:ascii="Times New Roman" w:eastAsia="Times New Roman" w:hAnsi="Times New Roman" w:cs="Times New Roman"/>
          <w:b/>
          <w:sz w:val="24"/>
          <w:szCs w:val="24"/>
        </w:rPr>
        <w:t>Gradings</w:t>
      </w:r>
      <w:proofErr w:type="spellEnd"/>
      <w:r w:rsidRPr="001B477C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F10B0D" w:rsidRPr="001B477C" w:rsidRDefault="00F10B0D" w:rsidP="00F10B0D">
      <w:pPr>
        <w:numPr>
          <w:ilvl w:val="0"/>
          <w:numId w:val="6"/>
        </w:numPr>
        <w:tabs>
          <w:tab w:val="left" w:pos="450"/>
        </w:tabs>
        <w:ind w:left="270" w:firstLine="0"/>
        <w:jc w:val="lef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B477C">
        <w:rPr>
          <w:rFonts w:ascii="Times New Roman" w:eastAsia="Times New Roman" w:hAnsi="Times New Roman" w:cs="Times New Roman"/>
          <w:b/>
          <w:sz w:val="24"/>
          <w:szCs w:val="24"/>
        </w:rPr>
        <w:t>IPNA Evidence Grading</w:t>
      </w:r>
      <w:r w:rsidRPr="001B477C">
        <w:rPr>
          <w:rFonts w:ascii="Times New Roman" w:eastAsia="Calibri" w:hAnsi="Times New Roman" w:cs="Times New Roman"/>
          <w:b/>
          <w:bCs/>
          <w:color w:val="0070C0"/>
          <w:sz w:val="28"/>
          <w:szCs w:val="28"/>
        </w:rPr>
        <w:t xml:space="preserve">                          </w:t>
      </w:r>
    </w:p>
    <w:p w:rsidR="00F10B0D" w:rsidRPr="001B477C" w:rsidRDefault="00F10B0D" w:rsidP="00F10B0D">
      <w:pPr>
        <w:ind w:left="90" w:firstLine="0"/>
        <w:rPr>
          <w:rFonts w:ascii="Calibri" w:eastAsia="Calibri" w:hAnsi="Calibri" w:cs="Arial"/>
        </w:rPr>
      </w:pPr>
      <w:r w:rsidRPr="001B477C">
        <w:rPr>
          <w:rFonts w:ascii="Calibri" w:eastAsia="Calibri" w:hAnsi="Calibri" w:cs="Arial"/>
          <w:noProof/>
        </w:rPr>
        <w:lastRenderedPageBreak/>
        <w:drawing>
          <wp:inline distT="0" distB="0" distL="0" distR="0" wp14:anchorId="77528BD7" wp14:editId="34CBAA0C">
            <wp:extent cx="5895975" cy="3724275"/>
            <wp:effectExtent l="19050" t="19050" r="28575" b="28575"/>
            <wp:docPr id="5" name="Picture 5" descr="C:\Users\Abeer\Downloads\Capture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beer\Downloads\Capture 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7888" cy="3725483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5B9BD5"/>
                      </a:solidFill>
                    </a:ln>
                  </pic:spPr>
                </pic:pic>
              </a:graphicData>
            </a:graphic>
          </wp:inline>
        </w:drawing>
      </w:r>
    </w:p>
    <w:p w:rsidR="00F10B0D" w:rsidRPr="00001408" w:rsidRDefault="00F10B0D" w:rsidP="00E32C13">
      <w:pPr>
        <w:bidi/>
        <w:ind w:right="180" w:firstLine="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B477C">
        <w:rPr>
          <w:rFonts w:ascii="Times New Roman" w:eastAsia="Calibri" w:hAnsi="Times New Roman" w:cs="Times New Roman"/>
          <w:color w:val="231F20"/>
          <w:sz w:val="28"/>
          <w:szCs w:val="28"/>
        </w:rPr>
        <w:t xml:space="preserve"> </w:t>
      </w:r>
      <w:r w:rsidR="0000140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(Fig </w:t>
      </w:r>
      <w:r w:rsidR="00E32C13">
        <w:rPr>
          <w:rFonts w:ascii="Times New Roman" w:eastAsia="Calibri" w:hAnsi="Times New Roman" w:cs="Times New Roman"/>
          <w:b/>
          <w:bCs/>
          <w:sz w:val="24"/>
          <w:szCs w:val="24"/>
        </w:rPr>
        <w:t>5</w:t>
      </w:r>
      <w:r w:rsidR="008050B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001408">
        <w:rPr>
          <w:rFonts w:ascii="Times New Roman" w:eastAsia="Calibri" w:hAnsi="Times New Roman" w:cs="Times New Roman"/>
          <w:b/>
          <w:bCs/>
          <w:sz w:val="24"/>
          <w:szCs w:val="24"/>
        </w:rPr>
        <w:t>Methodology)</w:t>
      </w:r>
      <w:r w:rsidR="00001408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</w:t>
      </w:r>
      <w:r w:rsidRPr="001B477C">
        <w:rPr>
          <w:rFonts w:ascii="Times New Roman" w:eastAsia="Calibri" w:hAnsi="Times New Roman" w:cs="Times New Roman"/>
          <w:color w:val="231F20"/>
          <w:sz w:val="28"/>
          <w:szCs w:val="28"/>
        </w:rPr>
        <w:t xml:space="preserve">  </w:t>
      </w:r>
      <w:r w:rsidRPr="001B477C">
        <w:rPr>
          <w:rFonts w:ascii="Times New Roman" w:eastAsia="Calibri" w:hAnsi="Times New Roman" w:cs="Times New Roman"/>
          <w:b/>
          <w:bCs/>
          <w:color w:val="0070C0"/>
          <w:sz w:val="24"/>
          <w:szCs w:val="24"/>
        </w:rPr>
        <w:t>Reproduced with permission IPNA 2020.</w:t>
      </w:r>
    </w:p>
    <w:p w:rsidR="00001408" w:rsidRDefault="00F10B0D" w:rsidP="00F10B0D">
      <w:pPr>
        <w:bidi/>
        <w:ind w:firstLine="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477C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</w:p>
    <w:p w:rsidR="00001408" w:rsidRDefault="00001408" w:rsidP="00001408">
      <w:pPr>
        <w:bidi/>
        <w:ind w:firstLine="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01408" w:rsidRDefault="00001408" w:rsidP="00001408">
      <w:pPr>
        <w:bidi/>
        <w:ind w:firstLine="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0B0D" w:rsidRPr="001B477C" w:rsidRDefault="00F10B0D" w:rsidP="00001408">
      <w:pPr>
        <w:bidi/>
        <w:ind w:firstLine="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477C">
        <w:rPr>
          <w:rFonts w:ascii="Times New Roman" w:eastAsia="Times New Roman" w:hAnsi="Times New Roman" w:cs="Times New Roman"/>
          <w:b/>
          <w:sz w:val="24"/>
          <w:szCs w:val="24"/>
        </w:rPr>
        <w:t>B)</w:t>
      </w:r>
      <w:r w:rsidRPr="001B477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1B477C">
        <w:rPr>
          <w:rFonts w:ascii="Times New Roman" w:eastAsia="Times New Roman" w:hAnsi="Times New Roman" w:cs="Times New Roman"/>
          <w:b/>
          <w:sz w:val="24"/>
          <w:szCs w:val="24"/>
        </w:rPr>
        <w:t xml:space="preserve">KDIGO Evidence Grading </w:t>
      </w:r>
    </w:p>
    <w:p w:rsidR="00F10B0D" w:rsidRPr="001B477C" w:rsidRDefault="00F10B0D" w:rsidP="00F10B0D">
      <w:pPr>
        <w:bidi/>
        <w:ind w:right="90" w:firstLine="0"/>
        <w:jc w:val="right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1B477C">
        <w:rPr>
          <w:rFonts w:ascii="Times New Roman" w:eastAsia="Times New Roman" w:hAnsi="Times New Roman" w:cs="Times New Roman"/>
          <w:b/>
          <w:noProof/>
          <w:sz w:val="28"/>
          <w:szCs w:val="28"/>
          <w:rtl/>
        </w:rPr>
        <w:drawing>
          <wp:inline distT="0" distB="0" distL="0" distR="0" wp14:anchorId="04475A6A" wp14:editId="406455FF">
            <wp:extent cx="5753100" cy="2771775"/>
            <wp:effectExtent l="19050" t="19050" r="19050" b="28575"/>
            <wp:docPr id="6" name="Picture 6" descr="C:\Users\Abeer\Downloads\Capture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beer\Downloads\Capture 7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77177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:rsidR="00F10B0D" w:rsidRPr="001B477C" w:rsidRDefault="00001408" w:rsidP="00E32C13">
      <w:pPr>
        <w:bidi/>
        <w:ind w:right="180" w:firstLine="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(Fig </w:t>
      </w:r>
      <w:r w:rsidR="00E32C13">
        <w:rPr>
          <w:rFonts w:ascii="Times New Roman" w:eastAsia="Calibri" w:hAnsi="Times New Roman" w:cs="Times New Roman"/>
          <w:b/>
          <w:bCs/>
          <w:sz w:val="24"/>
          <w:szCs w:val="24"/>
        </w:rPr>
        <w:t>6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Methodology)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</w:t>
      </w:r>
      <w:r w:rsidR="00F10B0D" w:rsidRPr="001B477C">
        <w:rPr>
          <w:rFonts w:ascii="Times New Roman" w:eastAsia="Calibri" w:hAnsi="Times New Roman" w:cs="Times New Roman"/>
          <w:color w:val="231F20"/>
          <w:sz w:val="28"/>
          <w:szCs w:val="28"/>
        </w:rPr>
        <w:t xml:space="preserve">   </w:t>
      </w:r>
      <w:r w:rsidR="00F10B0D" w:rsidRPr="001B477C">
        <w:rPr>
          <w:rFonts w:ascii="Times New Roman" w:eastAsia="Calibri" w:hAnsi="Times New Roman" w:cs="Times New Roman"/>
          <w:b/>
          <w:bCs/>
          <w:color w:val="0070C0"/>
          <w:sz w:val="24"/>
          <w:szCs w:val="24"/>
        </w:rPr>
        <w:t>Reproduced with permission KDIGO 2021.</w:t>
      </w:r>
    </w:p>
    <w:p w:rsidR="00F10B0D" w:rsidRPr="001B477C" w:rsidRDefault="00F10B0D" w:rsidP="00F10B0D">
      <w:pPr>
        <w:bidi/>
        <w:ind w:firstLine="0"/>
        <w:jc w:val="right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:rsidR="00F10B0D" w:rsidRPr="001B477C" w:rsidRDefault="00F10B0D" w:rsidP="00F10B0D">
      <w:pPr>
        <w:numPr>
          <w:ilvl w:val="0"/>
          <w:numId w:val="8"/>
        </w:numPr>
        <w:shd w:val="clear" w:color="auto" w:fill="F2F2F2" w:themeFill="background1" w:themeFillShade="F2"/>
        <w:ind w:right="90"/>
        <w:contextualSpacing/>
        <w:jc w:val="left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  <w:r w:rsidRPr="001B477C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>Health Clinical Questions – 5-(PIPOH) SSNS used to develop this Adapted CPGL.</w:t>
      </w:r>
    </w:p>
    <w:p w:rsidR="00F10B0D" w:rsidRPr="001B477C" w:rsidRDefault="00F10B0D" w:rsidP="00F10B0D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ind w:left="90" w:right="5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B477C">
        <w:rPr>
          <w:rFonts w:ascii="Times New Roman" w:eastAsia="Calibri" w:hAnsi="Times New Roman" w:cs="Times New Roman"/>
          <w:color w:val="000000"/>
          <w:sz w:val="24"/>
          <w:szCs w:val="24"/>
        </w:rPr>
        <w:t>1-</w:t>
      </w:r>
      <w:r w:rsidRPr="001B477C">
        <w:rPr>
          <w:rFonts w:ascii="Times New Roman" w:eastAsia="Calibri" w:hAnsi="Times New Roman" w:cs="Times New Roman"/>
          <w:color w:val="000000"/>
          <w:sz w:val="24"/>
          <w:szCs w:val="24"/>
        </w:rPr>
        <w:tab/>
        <w:t xml:space="preserve">What are the Definitions related to </w:t>
      </w:r>
      <w:proofErr w:type="spellStart"/>
      <w:r w:rsidRPr="001B477C">
        <w:rPr>
          <w:rFonts w:ascii="Times New Roman" w:eastAsia="Calibri" w:hAnsi="Times New Roman" w:cs="Times New Roman"/>
          <w:color w:val="000000"/>
          <w:sz w:val="24"/>
          <w:szCs w:val="24"/>
        </w:rPr>
        <w:t>Nephrotic</w:t>
      </w:r>
      <w:proofErr w:type="spellEnd"/>
      <w:r w:rsidRPr="001B477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Syndrome?</w:t>
      </w:r>
    </w:p>
    <w:p w:rsidR="00F10B0D" w:rsidRPr="001B477C" w:rsidRDefault="00F10B0D" w:rsidP="00F10B0D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ind w:left="90" w:right="5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B477C">
        <w:rPr>
          <w:rFonts w:ascii="Times New Roman" w:eastAsia="Calibri" w:hAnsi="Times New Roman" w:cs="Times New Roman"/>
          <w:color w:val="000000"/>
          <w:sz w:val="24"/>
          <w:szCs w:val="24"/>
        </w:rPr>
        <w:t>2-</w:t>
      </w:r>
      <w:r w:rsidRPr="001B477C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What are the recommended investigations for diagnosis?</w:t>
      </w:r>
    </w:p>
    <w:p w:rsidR="00F10B0D" w:rsidRPr="001B477C" w:rsidRDefault="00F10B0D" w:rsidP="00F10B0D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ind w:left="90" w:right="5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B477C">
        <w:rPr>
          <w:rFonts w:ascii="Times New Roman" w:eastAsia="Calibri" w:hAnsi="Times New Roman" w:cs="Times New Roman"/>
          <w:color w:val="000000"/>
          <w:sz w:val="24"/>
          <w:szCs w:val="24"/>
        </w:rPr>
        <w:t>3-</w:t>
      </w:r>
      <w:r w:rsidRPr="001B477C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What are the indications of renal biopsy in the initial presentation of NS?</w:t>
      </w:r>
    </w:p>
    <w:p w:rsidR="00F10B0D" w:rsidRPr="001B477C" w:rsidRDefault="00F10B0D" w:rsidP="00F10B0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160" w:line="256" w:lineRule="auto"/>
        <w:ind w:left="90" w:right="50" w:firstLine="0"/>
        <w:contextualSpacing/>
        <w:jc w:val="left"/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</w:pPr>
      <w:r w:rsidRPr="001B477C"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  <w:t xml:space="preserve">Where should we manage infants, children and adolescents presented with first episode </w:t>
      </w:r>
    </w:p>
    <w:p w:rsidR="00F10B0D" w:rsidRPr="001B477C" w:rsidRDefault="00F10B0D" w:rsidP="00F10B0D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ind w:left="360" w:right="43" w:firstLine="0"/>
        <w:contextualSpacing/>
        <w:jc w:val="left"/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</w:pPr>
      <w:proofErr w:type="gramStart"/>
      <w:r w:rsidRPr="001B477C"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  <w:lastRenderedPageBreak/>
        <w:t>of</w:t>
      </w:r>
      <w:proofErr w:type="gramEnd"/>
      <w:r w:rsidRPr="001B477C"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  <w:t xml:space="preserve"> NS? When to refer to </w:t>
      </w:r>
      <w:proofErr w:type="spellStart"/>
      <w:r w:rsidRPr="001B477C"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  <w:t>pediatric</w:t>
      </w:r>
      <w:proofErr w:type="spellEnd"/>
      <w:r w:rsidRPr="001B477C"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  <w:t xml:space="preserve"> Nephrologist as complicated cases?</w:t>
      </w:r>
    </w:p>
    <w:p w:rsidR="00F10B0D" w:rsidRPr="001B477C" w:rsidRDefault="00F10B0D" w:rsidP="00F10B0D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ind w:left="90" w:right="43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B477C">
        <w:rPr>
          <w:rFonts w:ascii="Times New Roman" w:eastAsia="Calibri" w:hAnsi="Times New Roman" w:cs="Times New Roman"/>
          <w:color w:val="000000"/>
          <w:sz w:val="24"/>
          <w:szCs w:val="24"/>
        </w:rPr>
        <w:t>5-</w:t>
      </w:r>
      <w:r w:rsidRPr="001B477C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What is the first line treatment drug in first episode?</w:t>
      </w:r>
    </w:p>
    <w:p w:rsidR="00F10B0D" w:rsidRPr="001B477C" w:rsidRDefault="00F10B0D" w:rsidP="00F10B0D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ind w:left="90" w:right="5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B477C">
        <w:rPr>
          <w:rFonts w:ascii="Times New Roman" w:eastAsia="Calibri" w:hAnsi="Times New Roman" w:cs="Times New Roman"/>
          <w:color w:val="000000"/>
          <w:sz w:val="24"/>
          <w:szCs w:val="24"/>
        </w:rPr>
        <w:t>6-</w:t>
      </w:r>
      <w:r w:rsidRPr="001B477C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What are the recommended vaccinations?</w:t>
      </w:r>
    </w:p>
    <w:p w:rsidR="00F10B0D" w:rsidRPr="001B477C" w:rsidRDefault="00F10B0D" w:rsidP="00F10B0D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ind w:left="90" w:right="5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B477C">
        <w:rPr>
          <w:rFonts w:ascii="Times New Roman" w:eastAsia="Calibri" w:hAnsi="Times New Roman" w:cs="Times New Roman"/>
          <w:color w:val="000000"/>
          <w:sz w:val="24"/>
          <w:szCs w:val="24"/>
        </w:rPr>
        <w:t>7-</w:t>
      </w:r>
      <w:r w:rsidRPr="001B477C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What is your steroid maintenance protocol after remission in first episode and recurrence?</w:t>
      </w:r>
    </w:p>
    <w:p w:rsidR="00F10B0D" w:rsidRPr="001B477C" w:rsidRDefault="00F10B0D" w:rsidP="00F10B0D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ind w:left="90" w:right="5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B477C">
        <w:rPr>
          <w:rFonts w:ascii="Times New Roman" w:eastAsia="Calibri" w:hAnsi="Times New Roman" w:cs="Times New Roman"/>
          <w:color w:val="000000"/>
          <w:sz w:val="24"/>
          <w:szCs w:val="24"/>
        </w:rPr>
        <w:t>8-</w:t>
      </w:r>
      <w:r w:rsidRPr="001B477C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What are your (Diet, Fluids, Activity) recommendations?</w:t>
      </w:r>
    </w:p>
    <w:p w:rsidR="00F10B0D" w:rsidRPr="001B477C" w:rsidRDefault="00F10B0D" w:rsidP="00F10B0D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ind w:right="5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B477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9- What information &amp; instructions you like to share with the family during follow-up?</w:t>
      </w:r>
    </w:p>
    <w:p w:rsidR="00F10B0D" w:rsidRPr="001B477C" w:rsidRDefault="00F10B0D" w:rsidP="00F10B0D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450"/>
        </w:tabs>
        <w:ind w:right="5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B477C">
        <w:rPr>
          <w:rFonts w:ascii="Times New Roman" w:eastAsia="Calibri" w:hAnsi="Times New Roman" w:cs="Times New Roman"/>
          <w:color w:val="000000"/>
          <w:sz w:val="24"/>
          <w:szCs w:val="24"/>
        </w:rPr>
        <w:t>10-</w:t>
      </w:r>
      <w:r w:rsidRPr="001B477C">
        <w:rPr>
          <w:rFonts w:ascii="Times New Roman" w:eastAsia="Calibri" w:hAnsi="Times New Roman" w:cs="Times New Roman"/>
          <w:color w:val="000000"/>
          <w:sz w:val="24"/>
          <w:szCs w:val="24"/>
        </w:rPr>
        <w:tab/>
        <w:t xml:space="preserve">Should vitamin D &amp; Calcium supplements be routinely given to FR&amp;SD? </w:t>
      </w:r>
    </w:p>
    <w:p w:rsidR="00F10B0D" w:rsidRPr="001B477C" w:rsidRDefault="00F10B0D" w:rsidP="00F10B0D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450"/>
        </w:tabs>
        <w:ind w:right="5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B477C">
        <w:rPr>
          <w:rFonts w:ascii="Times New Roman" w:eastAsia="Calibri" w:hAnsi="Times New Roman" w:cs="Times New Roman"/>
          <w:color w:val="000000"/>
          <w:sz w:val="24"/>
          <w:szCs w:val="24"/>
        </w:rPr>
        <w:t>11-</w:t>
      </w:r>
      <w:r w:rsidRPr="001B477C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What are the laboratory tests and how frequently needed for follow-up?</w:t>
      </w:r>
    </w:p>
    <w:p w:rsidR="00F10B0D" w:rsidRPr="001B477C" w:rsidRDefault="00F10B0D" w:rsidP="00F10B0D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450"/>
        </w:tabs>
        <w:ind w:right="5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B477C">
        <w:rPr>
          <w:rFonts w:ascii="Times New Roman" w:eastAsia="Calibri" w:hAnsi="Times New Roman" w:cs="Times New Roman"/>
          <w:color w:val="000000"/>
          <w:sz w:val="24"/>
          <w:szCs w:val="24"/>
        </w:rPr>
        <w:t>12-</w:t>
      </w:r>
      <w:r w:rsidRPr="001B477C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When should steroid sparing drugs be started in FR&amp;SD?</w:t>
      </w:r>
    </w:p>
    <w:p w:rsidR="00F10B0D" w:rsidRPr="001B477C" w:rsidRDefault="00F10B0D" w:rsidP="00F10B0D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450"/>
        </w:tabs>
        <w:ind w:right="5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B477C">
        <w:rPr>
          <w:rFonts w:ascii="Times New Roman" w:eastAsia="Calibri" w:hAnsi="Times New Roman" w:cs="Times New Roman"/>
          <w:color w:val="000000"/>
          <w:sz w:val="24"/>
          <w:szCs w:val="24"/>
        </w:rPr>
        <w:t>13-</w:t>
      </w:r>
      <w:r w:rsidRPr="001B477C">
        <w:rPr>
          <w:rFonts w:ascii="Times New Roman" w:eastAsia="Calibri" w:hAnsi="Times New Roman" w:cs="Times New Roman"/>
          <w:color w:val="000000"/>
          <w:sz w:val="24"/>
          <w:szCs w:val="24"/>
        </w:rPr>
        <w:tab/>
        <w:t xml:space="preserve"> What is the preferred steroid sparing drugs in FR&amp;SD?</w:t>
      </w:r>
    </w:p>
    <w:p w:rsidR="00F10B0D" w:rsidRPr="001B477C" w:rsidRDefault="00F10B0D" w:rsidP="00F10B0D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450"/>
        </w:tabs>
        <w:ind w:right="5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B477C">
        <w:rPr>
          <w:rFonts w:ascii="Times New Roman" w:eastAsia="Calibri" w:hAnsi="Times New Roman" w:cs="Times New Roman"/>
          <w:color w:val="000000"/>
          <w:sz w:val="24"/>
          <w:szCs w:val="24"/>
        </w:rPr>
        <w:t>14-</w:t>
      </w:r>
      <w:r w:rsidRPr="001B477C">
        <w:rPr>
          <w:rFonts w:ascii="Times New Roman" w:eastAsia="Calibri" w:hAnsi="Times New Roman" w:cs="Times New Roman"/>
          <w:color w:val="000000"/>
          <w:sz w:val="24"/>
          <w:szCs w:val="24"/>
        </w:rPr>
        <w:tab/>
        <w:t xml:space="preserve">What are recommended doses &amp; duration and monitoring of these drugs? </w:t>
      </w:r>
    </w:p>
    <w:p w:rsidR="00F10B0D" w:rsidRPr="001B477C" w:rsidRDefault="00F10B0D" w:rsidP="00F10B0D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450"/>
        </w:tabs>
        <w:ind w:right="5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10B0D" w:rsidRPr="001B477C" w:rsidRDefault="00F10B0D" w:rsidP="00F10B0D">
      <w:pPr>
        <w:pBdr>
          <w:top w:val="nil"/>
          <w:left w:val="nil"/>
          <w:bottom w:val="nil"/>
          <w:right w:val="nil"/>
          <w:between w:val="nil"/>
        </w:pBdr>
        <w:shd w:val="clear" w:color="auto" w:fill="F2F2F2" w:themeFill="background1" w:themeFillShade="F2"/>
        <w:tabs>
          <w:tab w:val="left" w:pos="180"/>
          <w:tab w:val="left" w:pos="270"/>
          <w:tab w:val="left" w:pos="360"/>
          <w:tab w:val="left" w:pos="1080"/>
        </w:tabs>
        <w:ind w:right="140" w:firstLine="0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1B477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6-   </w:t>
      </w:r>
      <w:r w:rsidRPr="001B477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PIPOH Adaptation Model </w:t>
      </w:r>
    </w:p>
    <w:p w:rsidR="00F10B0D" w:rsidRPr="001B477C" w:rsidRDefault="00F10B0D" w:rsidP="00F10B0D">
      <w:pPr>
        <w:pBdr>
          <w:top w:val="nil"/>
          <w:left w:val="nil"/>
          <w:bottom w:val="nil"/>
          <w:right w:val="nil"/>
          <w:between w:val="nil"/>
        </w:pBdr>
        <w:tabs>
          <w:tab w:val="left" w:pos="90"/>
        </w:tabs>
        <w:ind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B477C">
        <w:rPr>
          <w:rFonts w:ascii="Calibri" w:eastAsia="Calibri" w:hAnsi="Calibri" w:cs="Arial"/>
          <w:color w:val="000000"/>
        </w:rPr>
        <w:t xml:space="preserve">• </w:t>
      </w:r>
      <w:r w:rsidRPr="001B477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P</w:t>
      </w:r>
      <w:r w:rsidRPr="001B477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(</w:t>
      </w:r>
      <w:r w:rsidRPr="001B477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Patients, target population):</w:t>
      </w:r>
      <w:r w:rsidRPr="001B477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children aged 1–12 years with non- congenital, SSNS</w:t>
      </w:r>
    </w:p>
    <w:p w:rsidR="00F10B0D" w:rsidRPr="001B477C" w:rsidRDefault="00F10B0D" w:rsidP="00F10B0D">
      <w:p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ind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B477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• </w:t>
      </w:r>
      <w:r w:rsidRPr="001B477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I</w:t>
      </w:r>
      <w:r w:rsidRPr="001B477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B477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(Interventions and practices considered/ guideline category):</w:t>
      </w:r>
    </w:p>
    <w:p w:rsidR="00F10B0D" w:rsidRPr="001B477C" w:rsidRDefault="00F10B0D" w:rsidP="00F10B0D">
      <w:pPr>
        <w:pBdr>
          <w:top w:val="nil"/>
          <w:left w:val="nil"/>
          <w:bottom w:val="nil"/>
          <w:right w:val="nil"/>
          <w:between w:val="nil"/>
        </w:pBdr>
        <w:tabs>
          <w:tab w:val="left" w:pos="180"/>
          <w:tab w:val="left" w:pos="360"/>
        </w:tabs>
        <w:ind w:left="810" w:right="630" w:hanging="54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B477C">
        <w:rPr>
          <w:rFonts w:ascii="Times New Roman" w:eastAsia="Calibri" w:hAnsi="Times New Roman" w:cs="Times New Roman"/>
          <w:color w:val="000000"/>
          <w:sz w:val="24"/>
          <w:szCs w:val="24"/>
        </w:rPr>
        <w:t>Life saving measures. /Pharmacological treatment. /Non- pharmacological treatment.</w:t>
      </w:r>
    </w:p>
    <w:p w:rsidR="00F10B0D" w:rsidRPr="001B477C" w:rsidRDefault="00F10B0D" w:rsidP="00F10B0D">
      <w:p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ind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B477C">
        <w:rPr>
          <w:rFonts w:ascii="Times New Roman" w:eastAsia="Calibri" w:hAnsi="Times New Roman" w:cs="Times New Roman"/>
          <w:color w:val="000000"/>
          <w:sz w:val="24"/>
          <w:szCs w:val="24"/>
        </w:rPr>
        <w:t>•</w:t>
      </w:r>
      <w:r w:rsidRPr="001B477C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1B477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P</w:t>
      </w:r>
      <w:r w:rsidRPr="001B477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(Professionals / intended or target users and clinical specialties):</w:t>
      </w:r>
    </w:p>
    <w:p w:rsidR="00F10B0D" w:rsidRPr="001B477C" w:rsidRDefault="00F10B0D" w:rsidP="00F10B0D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ind w:left="180" w:right="630" w:hanging="9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B477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Primary health care physicians at Ministry of Health (MOH)/General practitioners/Family medicine specialists/Pediatricians /Nephrologists.</w:t>
      </w:r>
    </w:p>
    <w:p w:rsidR="00F10B0D" w:rsidRPr="001B477C" w:rsidRDefault="00F10B0D" w:rsidP="00F10B0D">
      <w:pPr>
        <w:pBdr>
          <w:top w:val="nil"/>
          <w:left w:val="nil"/>
          <w:bottom w:val="nil"/>
          <w:right w:val="nil"/>
          <w:between w:val="nil"/>
        </w:pBdr>
        <w:tabs>
          <w:tab w:val="left" w:pos="180"/>
          <w:tab w:val="left" w:pos="360"/>
        </w:tabs>
        <w:ind w:left="9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B477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• </w:t>
      </w:r>
      <w:r w:rsidRPr="001B477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O</w:t>
      </w:r>
      <w:r w:rsidRPr="001B477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B477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(Major outcomes considered):</w:t>
      </w:r>
      <w:r w:rsidRPr="001B477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Primary Outcome: decrease the morbidity and mortality</w:t>
      </w:r>
    </w:p>
    <w:p w:rsidR="00F10B0D" w:rsidRPr="001B477C" w:rsidRDefault="00F10B0D" w:rsidP="00F10B0D">
      <w:p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ind w:left="180" w:right="63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B477C">
        <w:rPr>
          <w:rFonts w:ascii="Times New Roman" w:eastAsia="Calibri" w:hAnsi="Times New Roman" w:cs="Times New Roman"/>
          <w:color w:val="000000"/>
          <w:sz w:val="24"/>
          <w:szCs w:val="24"/>
        </w:rPr>
        <w:t>Secondary Outcome: proper treatment</w:t>
      </w:r>
    </w:p>
    <w:p w:rsidR="00F10B0D" w:rsidRPr="001B477C" w:rsidRDefault="00F10B0D" w:rsidP="00F10B0D">
      <w:p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ind w:left="180" w:hanging="9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B477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• </w:t>
      </w:r>
      <w:r w:rsidRPr="001B477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H</w:t>
      </w:r>
      <w:r w:rsidRPr="001B477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B477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(Healthcare settings) Primary</w:t>
      </w:r>
      <w:r w:rsidR="008050B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&amp; </w:t>
      </w:r>
      <w:r w:rsidRPr="001B477C">
        <w:rPr>
          <w:rFonts w:ascii="Times New Roman" w:eastAsia="Calibri" w:hAnsi="Times New Roman" w:cs="Times New Roman"/>
          <w:color w:val="000000"/>
          <w:sz w:val="24"/>
          <w:szCs w:val="24"/>
        </w:rPr>
        <w:t>secondary health care setting Outpatient clinic,             emergency room.</w:t>
      </w:r>
    </w:p>
    <w:p w:rsidR="00F10B0D" w:rsidRPr="001B477C" w:rsidRDefault="004E34D7" w:rsidP="00001408">
      <w:pPr>
        <w:ind w:left="90" w:firstLine="0"/>
        <w:jc w:val="left"/>
        <w:rPr>
          <w:rFonts w:ascii="Calibri" w:eastAsia="Calibri" w:hAnsi="Calibri" w:cs="Arial"/>
        </w:rPr>
      </w:pPr>
      <w:r w:rsidRPr="004E34D7">
        <w:rPr>
          <w:rFonts w:ascii="Calibri" w:eastAsia="Calibri" w:hAnsi="Calibri" w:cs="Arial"/>
        </w:rPr>
        <w:drawing>
          <wp:inline distT="0" distB="0" distL="0" distR="0" wp14:anchorId="01B1C44A" wp14:editId="79BFBF1C">
            <wp:extent cx="5943600" cy="4076700"/>
            <wp:effectExtent l="19050" t="19050" r="19050" b="1905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767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001408" w:rsidRPr="001B477C" w:rsidRDefault="00001408" w:rsidP="00E32C13">
      <w:pPr>
        <w:bidi/>
        <w:ind w:right="180" w:firstLine="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(Fig</w:t>
      </w:r>
      <w:r w:rsidR="00E32C1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7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Methodology)</w:t>
      </w:r>
    </w:p>
    <w:p w:rsidR="00001408" w:rsidRDefault="00001408" w:rsidP="00001408">
      <w:pPr>
        <w:shd w:val="clear" w:color="auto" w:fill="FFFFFF" w:themeFill="background1"/>
        <w:ind w:firstLine="0"/>
        <w:jc w:val="left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4E34D7" w:rsidRDefault="004E34D7" w:rsidP="00001408">
      <w:pPr>
        <w:shd w:val="clear" w:color="auto" w:fill="FFFFFF" w:themeFill="background1"/>
        <w:ind w:firstLine="0"/>
        <w:jc w:val="left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4E34D7" w:rsidRDefault="004E34D7" w:rsidP="00001408">
      <w:pPr>
        <w:shd w:val="clear" w:color="auto" w:fill="FFFFFF" w:themeFill="background1"/>
        <w:ind w:firstLine="0"/>
        <w:jc w:val="left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4E34D7" w:rsidRDefault="004E34D7" w:rsidP="00001408">
      <w:pPr>
        <w:shd w:val="clear" w:color="auto" w:fill="FFFFFF" w:themeFill="background1"/>
        <w:ind w:firstLine="0"/>
        <w:jc w:val="left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10B0D" w:rsidRPr="001B477C" w:rsidRDefault="00F10B0D" w:rsidP="00001408">
      <w:pPr>
        <w:shd w:val="clear" w:color="auto" w:fill="F2F2F2" w:themeFill="background1" w:themeFillShade="F2"/>
        <w:ind w:firstLine="0"/>
        <w:jc w:val="lef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B477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7-Development of Recommendations: </w:t>
      </w:r>
    </w:p>
    <w:p w:rsidR="00F10B0D" w:rsidRPr="001B477C" w:rsidRDefault="00F10B0D" w:rsidP="00F10B0D">
      <w:pPr>
        <w:shd w:val="clear" w:color="auto" w:fill="FFFFFF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1B477C">
        <w:rPr>
          <w:rFonts w:ascii="Times New Roman" w:eastAsia="Calibri" w:hAnsi="Times New Roman" w:cs="Times New Roman"/>
          <w:sz w:val="24"/>
          <w:szCs w:val="24"/>
        </w:rPr>
        <w:t>Search and rating for EB answers, formulation of recommendations, editing, peer reviewing, validation, approval, implementation and dissemination, review/update.</w:t>
      </w:r>
    </w:p>
    <w:p w:rsidR="00F10B0D" w:rsidRPr="001B477C" w:rsidRDefault="004E34D7" w:rsidP="00E32C13">
      <w:pPr>
        <w:ind w:firstLine="0"/>
        <w:jc w:val="left"/>
        <w:rPr>
          <w:rFonts w:ascii="Calibri" w:eastAsia="Calibri" w:hAnsi="Calibri" w:cs="Arial"/>
        </w:rPr>
      </w:pPr>
      <w:r w:rsidRPr="004E34D7">
        <w:rPr>
          <w:rFonts w:ascii="Calibri" w:eastAsia="Calibri" w:hAnsi="Calibri" w:cs="Arial"/>
        </w:rPr>
        <w:drawing>
          <wp:inline distT="0" distB="0" distL="0" distR="0" wp14:anchorId="146A870E" wp14:editId="5924C7F5">
            <wp:extent cx="5943600" cy="3342640"/>
            <wp:effectExtent l="19050" t="19050" r="19050" b="1016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26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001408" w:rsidRPr="001B477C" w:rsidRDefault="00001408" w:rsidP="00E32C13">
      <w:pPr>
        <w:bidi/>
        <w:ind w:right="180" w:firstLine="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(Fig</w:t>
      </w:r>
      <w:r w:rsidR="00E32C1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8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Methodology)</w:t>
      </w:r>
    </w:p>
    <w:p w:rsidR="00F10B0D" w:rsidRPr="001B477C" w:rsidRDefault="00F10B0D" w:rsidP="00F10B0D">
      <w:pPr>
        <w:spacing w:after="160" w:line="259" w:lineRule="auto"/>
        <w:ind w:firstLine="0"/>
        <w:jc w:val="left"/>
        <w:rPr>
          <w:rFonts w:ascii="Calibri" w:eastAsia="Calibri" w:hAnsi="Calibri" w:cs="Arial"/>
        </w:rPr>
      </w:pPr>
    </w:p>
    <w:p w:rsidR="00F10B0D" w:rsidRPr="001B477C" w:rsidRDefault="00F10B0D" w:rsidP="00F10B0D">
      <w:pPr>
        <w:shd w:val="clear" w:color="auto" w:fill="F2F2F2" w:themeFill="background1" w:themeFillShade="F2"/>
        <w:ind w:firstLine="0"/>
        <w:jc w:val="lef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B477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8-Adaptation steps </w:t>
      </w:r>
    </w:p>
    <w:p w:rsidR="00F10B0D" w:rsidRPr="001B477C" w:rsidRDefault="0016758C" w:rsidP="00E32C13">
      <w:pPr>
        <w:ind w:firstLine="0"/>
        <w:jc w:val="left"/>
        <w:rPr>
          <w:rFonts w:ascii="Calibri" w:eastAsia="Calibri" w:hAnsi="Calibri" w:cs="Arial"/>
        </w:rPr>
      </w:pPr>
      <w:r w:rsidRPr="0016758C">
        <w:rPr>
          <w:rFonts w:ascii="Calibri" w:eastAsia="Calibri" w:hAnsi="Calibri" w:cs="Arial"/>
        </w:rPr>
        <w:drawing>
          <wp:inline distT="0" distB="0" distL="0" distR="0" wp14:anchorId="3A2C3A2E" wp14:editId="0690B28A">
            <wp:extent cx="5943600" cy="3342640"/>
            <wp:effectExtent l="19050" t="19050" r="19050" b="1016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26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32C13" w:rsidRPr="001B477C" w:rsidRDefault="00E32C13" w:rsidP="00E32C13">
      <w:pPr>
        <w:bidi/>
        <w:ind w:right="180" w:firstLine="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(Fig 9 Methodology)</w:t>
      </w:r>
    </w:p>
    <w:p w:rsidR="00E32C13" w:rsidRDefault="00E32C13" w:rsidP="00F10B0D">
      <w:pPr>
        <w:ind w:firstLine="0"/>
        <w:jc w:val="center"/>
        <w:rPr>
          <w:rFonts w:ascii="Times New Roman" w:eastAsia="Times New Roman" w:hAnsi="Times New Roman" w:cs="Times New Roman"/>
          <w:b/>
          <w:bCs/>
          <w:color w:val="007170"/>
          <w:sz w:val="24"/>
          <w:szCs w:val="24"/>
        </w:rPr>
      </w:pPr>
    </w:p>
    <w:p w:rsidR="00E32C13" w:rsidRDefault="00E32C13" w:rsidP="00F10B0D">
      <w:pPr>
        <w:ind w:firstLine="0"/>
        <w:jc w:val="center"/>
        <w:rPr>
          <w:rFonts w:ascii="Times New Roman" w:eastAsia="Times New Roman" w:hAnsi="Times New Roman" w:cs="Times New Roman"/>
          <w:b/>
          <w:bCs/>
          <w:color w:val="007170"/>
          <w:sz w:val="24"/>
          <w:szCs w:val="24"/>
        </w:rPr>
      </w:pPr>
    </w:p>
    <w:p w:rsidR="00E32C13" w:rsidRDefault="00E32C13" w:rsidP="00F10B0D">
      <w:pPr>
        <w:ind w:firstLine="0"/>
        <w:jc w:val="center"/>
        <w:rPr>
          <w:rFonts w:ascii="Times New Roman" w:eastAsia="Times New Roman" w:hAnsi="Times New Roman" w:cs="Times New Roman"/>
          <w:b/>
          <w:bCs/>
          <w:color w:val="007170"/>
          <w:sz w:val="24"/>
          <w:szCs w:val="24"/>
        </w:rPr>
      </w:pPr>
    </w:p>
    <w:p w:rsidR="00F10B0D" w:rsidRPr="001B477C" w:rsidRDefault="006706DD" w:rsidP="00F10B0D">
      <w:pPr>
        <w:ind w:firstLine="0"/>
        <w:jc w:val="center"/>
        <w:rPr>
          <w:rFonts w:ascii="Times New Roman" w:eastAsia="Times New Roman" w:hAnsi="Times New Roman" w:cs="Times New Roman"/>
          <w:b/>
          <w:bCs/>
          <w:color w:val="181717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7170"/>
          <w:sz w:val="24"/>
          <w:szCs w:val="24"/>
        </w:rPr>
        <w:lastRenderedPageBreak/>
        <w:t xml:space="preserve">9- </w:t>
      </w:r>
      <w:r w:rsidR="00F10B0D" w:rsidRPr="001B477C">
        <w:rPr>
          <w:rFonts w:ascii="Times New Roman" w:eastAsia="Times New Roman" w:hAnsi="Times New Roman" w:cs="Times New Roman"/>
          <w:b/>
          <w:bCs/>
          <w:color w:val="007170"/>
          <w:sz w:val="24"/>
          <w:szCs w:val="24"/>
        </w:rPr>
        <w:t>RESEARCH AND REPORTING METHODS</w:t>
      </w:r>
    </w:p>
    <w:p w:rsidR="00F10B0D" w:rsidRPr="001B477C" w:rsidRDefault="00F10B0D" w:rsidP="00F10B0D">
      <w:pPr>
        <w:ind w:firstLine="0"/>
        <w:jc w:val="left"/>
        <w:rPr>
          <w:rFonts w:ascii="Times New Roman" w:eastAsia="Times New Roman" w:hAnsi="Times New Roman" w:cs="Times New Roman"/>
          <w:b/>
          <w:bCs/>
          <w:color w:val="181717"/>
          <w:sz w:val="24"/>
          <w:szCs w:val="24"/>
        </w:rPr>
      </w:pPr>
      <w:r w:rsidRPr="001B477C">
        <w:rPr>
          <w:rFonts w:ascii="Times New Roman" w:eastAsia="Times New Roman" w:hAnsi="Times New Roman" w:cs="Times New Roman"/>
          <w:b/>
          <w:bCs/>
          <w:color w:val="181717"/>
          <w:sz w:val="24"/>
          <w:szCs w:val="24"/>
        </w:rPr>
        <w:t xml:space="preserve">    Reporting Tool for Adapted Guidelines in Health Care: </w:t>
      </w:r>
      <w:proofErr w:type="spellStart"/>
      <w:r w:rsidRPr="001B477C">
        <w:rPr>
          <w:rFonts w:ascii="Times New Roman" w:eastAsia="Times New Roman" w:hAnsi="Times New Roman" w:cs="Times New Roman"/>
          <w:b/>
          <w:bCs/>
          <w:color w:val="181717"/>
          <w:sz w:val="24"/>
          <w:szCs w:val="24"/>
        </w:rPr>
        <w:t>RIGHT-Ad@pt</w:t>
      </w:r>
      <w:proofErr w:type="spellEnd"/>
      <w:r w:rsidRPr="001B477C">
        <w:rPr>
          <w:rFonts w:ascii="Times New Roman" w:eastAsia="Times New Roman" w:hAnsi="Times New Roman" w:cs="Times New Roman"/>
          <w:b/>
          <w:bCs/>
          <w:color w:val="181717"/>
          <w:sz w:val="24"/>
          <w:szCs w:val="24"/>
        </w:rPr>
        <w:t xml:space="preserve"> Checklist</w:t>
      </w:r>
    </w:p>
    <w:p w:rsidR="00F10B0D" w:rsidRPr="001B477C" w:rsidRDefault="00F10B0D" w:rsidP="00F10B0D">
      <w:pPr>
        <w:ind w:firstLine="0"/>
        <w:jc w:val="left"/>
        <w:rPr>
          <w:rFonts w:ascii="Times New Roman" w:eastAsia="Times New Roman" w:hAnsi="Times New Roman" w:cs="Times New Roman"/>
          <w:b/>
          <w:bCs/>
          <w:color w:val="007170"/>
          <w:sz w:val="24"/>
          <w:szCs w:val="24"/>
        </w:rPr>
      </w:pPr>
      <w:r w:rsidRPr="001B477C">
        <w:rPr>
          <w:rFonts w:ascii="Times New Roman" w:eastAsia="Times New Roman" w:hAnsi="Times New Roman" w:cs="Times New Roman"/>
          <w:b/>
          <w:bCs/>
          <w:color w:val="181717"/>
          <w:sz w:val="24"/>
          <w:szCs w:val="24"/>
        </w:rPr>
        <w:t xml:space="preserve">                                                                                        </w:t>
      </w:r>
    </w:p>
    <w:p w:rsidR="00F10B0D" w:rsidRPr="001B477C" w:rsidRDefault="00E32C13" w:rsidP="002C1FB9">
      <w:pPr>
        <w:ind w:firstLine="0"/>
        <w:jc w:val="left"/>
        <w:rPr>
          <w:rFonts w:ascii="Times New Roman" w:eastAsia="Calibri" w:hAnsi="Times New Roman" w:cs="Times New Roman"/>
          <w:b/>
          <w:bCs/>
          <w:color w:val="181717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181717"/>
          <w:sz w:val="24"/>
          <w:szCs w:val="24"/>
        </w:rPr>
        <w:t xml:space="preserve">   Table </w:t>
      </w:r>
      <w:r w:rsidR="002C1FB9">
        <w:rPr>
          <w:rFonts w:ascii="Times New Roman" w:eastAsia="Calibri" w:hAnsi="Times New Roman" w:cs="Times New Roman"/>
          <w:b/>
          <w:bCs/>
          <w:color w:val="181717"/>
          <w:sz w:val="24"/>
          <w:szCs w:val="24"/>
        </w:rPr>
        <w:t>A</w:t>
      </w:r>
      <w:r>
        <w:rPr>
          <w:rFonts w:ascii="Times New Roman" w:eastAsia="Calibri" w:hAnsi="Times New Roman" w:cs="Times New Roman"/>
          <w:b/>
          <w:bCs/>
          <w:color w:val="181717"/>
          <w:sz w:val="24"/>
          <w:szCs w:val="24"/>
        </w:rPr>
        <w:t xml:space="preserve"> </w:t>
      </w:r>
      <w:proofErr w:type="gramStart"/>
      <w:r w:rsidR="001D4ADA">
        <w:rPr>
          <w:rFonts w:ascii="Times New Roman" w:eastAsia="Calibri" w:hAnsi="Times New Roman" w:cs="Times New Roman"/>
          <w:b/>
          <w:bCs/>
          <w:color w:val="181717"/>
          <w:sz w:val="24"/>
          <w:szCs w:val="24"/>
        </w:rPr>
        <w:t>Methodology</w:t>
      </w:r>
      <w:r w:rsidR="00F10B0D" w:rsidRPr="001B477C">
        <w:rPr>
          <w:rFonts w:ascii="Times New Roman" w:eastAsia="Calibri" w:hAnsi="Times New Roman" w:cs="Times New Roman"/>
          <w:b/>
          <w:bCs/>
          <w:color w:val="181717"/>
          <w:sz w:val="24"/>
          <w:szCs w:val="24"/>
        </w:rPr>
        <w:t xml:space="preserve">  :</w:t>
      </w:r>
      <w:proofErr w:type="gramEnd"/>
      <w:r w:rsidR="00F10B0D" w:rsidRPr="001B477C">
        <w:rPr>
          <w:rFonts w:ascii="Times New Roman" w:eastAsia="Calibri" w:hAnsi="Times New Roman" w:cs="Times New Roman"/>
          <w:b/>
          <w:bCs/>
          <w:color w:val="181717"/>
          <w:sz w:val="24"/>
          <w:szCs w:val="24"/>
        </w:rPr>
        <w:t xml:space="preserve"> The </w:t>
      </w:r>
      <w:proofErr w:type="spellStart"/>
      <w:r w:rsidR="00F10B0D" w:rsidRPr="001B477C">
        <w:rPr>
          <w:rFonts w:ascii="Times New Roman" w:eastAsia="Calibri" w:hAnsi="Times New Roman" w:cs="Times New Roman"/>
          <w:b/>
          <w:bCs/>
          <w:color w:val="181717"/>
          <w:sz w:val="24"/>
          <w:szCs w:val="24"/>
        </w:rPr>
        <w:t>RIGHT-Ad@pt</w:t>
      </w:r>
      <w:proofErr w:type="spellEnd"/>
      <w:r w:rsidR="00F10B0D" w:rsidRPr="001B477C">
        <w:rPr>
          <w:rFonts w:ascii="Times New Roman" w:eastAsia="Calibri" w:hAnsi="Times New Roman" w:cs="Times New Roman"/>
          <w:b/>
          <w:bCs/>
          <w:color w:val="181717"/>
          <w:sz w:val="24"/>
          <w:szCs w:val="24"/>
        </w:rPr>
        <w:t xml:space="preserve"> checklist. RIGHT = </w:t>
      </w:r>
    </w:p>
    <w:p w:rsidR="00F10B0D" w:rsidRPr="001B477C" w:rsidRDefault="00F10B0D" w:rsidP="00E32C13">
      <w:pPr>
        <w:ind w:firstLine="0"/>
        <w:jc w:val="left"/>
        <w:rPr>
          <w:rFonts w:ascii="Times New Roman" w:eastAsia="Calibri" w:hAnsi="Times New Roman" w:cs="Times New Roman"/>
          <w:b/>
          <w:bCs/>
          <w:color w:val="181717"/>
          <w:sz w:val="24"/>
          <w:szCs w:val="24"/>
        </w:rPr>
      </w:pPr>
      <w:r w:rsidRPr="001B477C">
        <w:rPr>
          <w:rFonts w:ascii="Times New Roman" w:eastAsia="Calibri" w:hAnsi="Times New Roman" w:cs="Times New Roman"/>
          <w:b/>
          <w:bCs/>
          <w:color w:val="181717"/>
          <w:sz w:val="24"/>
          <w:szCs w:val="24"/>
        </w:rPr>
        <w:t xml:space="preserve">  </w:t>
      </w:r>
      <w:r w:rsidR="00E32C13">
        <w:rPr>
          <w:rFonts w:ascii="Times New Roman" w:eastAsia="Calibri" w:hAnsi="Times New Roman" w:cs="Times New Roman"/>
          <w:b/>
          <w:bCs/>
          <w:color w:val="181717"/>
          <w:sz w:val="24"/>
          <w:szCs w:val="24"/>
        </w:rPr>
        <w:t xml:space="preserve">               </w:t>
      </w:r>
      <w:r w:rsidRPr="001B477C">
        <w:rPr>
          <w:rFonts w:ascii="Times New Roman" w:eastAsia="Calibri" w:hAnsi="Times New Roman" w:cs="Times New Roman"/>
          <w:b/>
          <w:bCs/>
          <w:color w:val="181717"/>
          <w:sz w:val="24"/>
          <w:szCs w:val="24"/>
        </w:rPr>
        <w:t>Reporting Items for practice Guidelines in Health care.</w:t>
      </w:r>
    </w:p>
    <w:tbl>
      <w:tblPr>
        <w:tblStyle w:val="TableGrid6"/>
        <w:tblW w:w="9990" w:type="dxa"/>
        <w:tblInd w:w="175" w:type="dxa"/>
        <w:tblLayout w:type="fixed"/>
        <w:tblLook w:val="04A0" w:firstRow="1" w:lastRow="0" w:firstColumn="1" w:lastColumn="0" w:noHBand="0" w:noVBand="1"/>
      </w:tblPr>
      <w:tblGrid>
        <w:gridCol w:w="360"/>
        <w:gridCol w:w="4860"/>
        <w:gridCol w:w="1080"/>
        <w:gridCol w:w="1710"/>
        <w:gridCol w:w="1980"/>
      </w:tblGrid>
      <w:tr w:rsidR="00F10B0D" w:rsidRPr="001B477C" w:rsidTr="00F10B0D">
        <w:trPr>
          <w:trHeight w:val="242"/>
        </w:trPr>
        <w:tc>
          <w:tcPr>
            <w:tcW w:w="9990" w:type="dxa"/>
            <w:gridSpan w:val="5"/>
            <w:shd w:val="clear" w:color="auto" w:fill="auto"/>
          </w:tcPr>
          <w:p w:rsidR="00F10B0D" w:rsidRPr="001B477C" w:rsidRDefault="00F10B0D" w:rsidP="00F10B0D">
            <w:pPr>
              <w:contextualSpacing/>
              <w:jc w:val="center"/>
              <w:rPr>
                <w:rFonts w:ascii="Times New Roman" w:eastAsia="Calibri" w:hAnsi="Times New Roman"/>
                <w:color w:val="181717"/>
              </w:rPr>
            </w:pPr>
            <w:r w:rsidRPr="001B477C">
              <w:rPr>
                <w:rFonts w:ascii="Times New Roman" w:eastAsia="Calibri" w:hAnsi="Times New Roman"/>
                <w:color w:val="181717"/>
              </w:rPr>
              <w:t xml:space="preserve">7 sections, 27 topics and 34 items    </w:t>
            </w:r>
            <w:r w:rsidRPr="001B477C">
              <w:rPr>
                <w:rFonts w:ascii="Times New Roman" w:eastAsia="Calibri" w:hAnsi="Times New Roman"/>
                <w:color w:val="181717"/>
                <w:highlight w:val="yellow"/>
              </w:rPr>
              <w:t>SSNS</w:t>
            </w:r>
          </w:p>
        </w:tc>
      </w:tr>
      <w:tr w:rsidR="00F10B0D" w:rsidRPr="001B477C" w:rsidTr="00F10B0D">
        <w:trPr>
          <w:trHeight w:val="170"/>
        </w:trPr>
        <w:tc>
          <w:tcPr>
            <w:tcW w:w="360" w:type="dxa"/>
            <w:shd w:val="clear" w:color="auto" w:fill="BFBFBF" w:themeFill="background1" w:themeFillShade="BF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</w:p>
        </w:tc>
        <w:tc>
          <w:tcPr>
            <w:tcW w:w="4860" w:type="dxa"/>
            <w:shd w:val="clear" w:color="auto" w:fill="BFBFBF" w:themeFill="background1" w:themeFillShade="BF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Basic information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6"/>
                <w:szCs w:val="16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6"/>
                <w:szCs w:val="16"/>
              </w:rPr>
              <w:t xml:space="preserve">Assessment 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Pages 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Notes</w:t>
            </w:r>
          </w:p>
        </w:tc>
      </w:tr>
      <w:tr w:rsidR="00F10B0D" w:rsidRPr="001B477C" w:rsidTr="00F10B0D">
        <w:tc>
          <w:tcPr>
            <w:tcW w:w="360" w:type="dxa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1</w:t>
            </w:r>
          </w:p>
        </w:tc>
        <w:tc>
          <w:tcPr>
            <w:tcW w:w="4860" w:type="dxa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Identify the report as an adaptation of practice guideline(s), that is include "guideline adaptation", "adapting",</w:t>
            </w:r>
          </w:p>
          <w:p w:rsidR="00F10B0D" w:rsidRPr="001B477C" w:rsidRDefault="00F10B0D" w:rsidP="000118CF">
            <w:pPr>
              <w:tabs>
                <w:tab w:val="left" w:pos="4572"/>
              </w:tabs>
              <w:ind w:left="72" w:right="162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 "adapted guideline/recommendation(s)", or </w:t>
            </w:r>
          </w:p>
          <w:p w:rsidR="00F10B0D" w:rsidRPr="001B477C" w:rsidRDefault="00F10B0D" w:rsidP="000118CF">
            <w:pPr>
              <w:tabs>
                <w:tab w:val="left" w:pos="4572"/>
              </w:tabs>
              <w:ind w:left="72" w:right="162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proofErr w:type="gramStart"/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similar</w:t>
            </w:r>
            <w:proofErr w:type="gramEnd"/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 terminology in the title/subtitle.</w:t>
            </w:r>
          </w:p>
        </w:tc>
        <w:tc>
          <w:tcPr>
            <w:tcW w:w="1080" w:type="dxa"/>
          </w:tcPr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  <w:highlight w:val="yellow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  <w:highlight w:val="yellow"/>
              </w:rPr>
              <w:t>Yes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No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Unclear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spacing w:after="30"/>
              <w:ind w:right="-108" w:hanging="10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1 cover page </w:t>
            </w:r>
          </w:p>
          <w:p w:rsidR="00F10B0D" w:rsidRPr="001B477C" w:rsidRDefault="00F10B0D" w:rsidP="00F10B0D">
            <w:pPr>
              <w:spacing w:after="28"/>
              <w:ind w:right="-108" w:hanging="10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9 (Guideline Status)   </w:t>
            </w:r>
          </w:p>
          <w:p w:rsidR="00F10B0D" w:rsidRPr="001B477C" w:rsidRDefault="00F10B0D" w:rsidP="00F10B0D">
            <w:pPr>
              <w:spacing w:after="30"/>
              <w:ind w:right="-108" w:hanging="10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74 (Methodology)  </w:t>
            </w:r>
          </w:p>
        </w:tc>
        <w:tc>
          <w:tcPr>
            <w:tcW w:w="1980" w:type="dxa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</w:tr>
      <w:tr w:rsidR="00F10B0D" w:rsidRPr="001B477C" w:rsidTr="00F10B0D">
        <w:tc>
          <w:tcPr>
            <w:tcW w:w="360" w:type="dxa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2</w:t>
            </w:r>
          </w:p>
        </w:tc>
        <w:tc>
          <w:tcPr>
            <w:tcW w:w="4860" w:type="dxa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Describe the topic/focus/scope of the adapted guideline.</w:t>
            </w:r>
          </w:p>
        </w:tc>
        <w:tc>
          <w:tcPr>
            <w:tcW w:w="1080" w:type="dxa"/>
          </w:tcPr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  <w:highlight w:val="yellow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  <w:highlight w:val="yellow"/>
              </w:rPr>
              <w:t>Yes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No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Unclear</w:t>
            </w:r>
          </w:p>
        </w:tc>
        <w:tc>
          <w:tcPr>
            <w:tcW w:w="1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spacing w:after="72"/>
              <w:ind w:right="-108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1 Cover page 21 (Scope and purpose, PIPOH)</w:t>
            </w:r>
          </w:p>
        </w:tc>
        <w:tc>
          <w:tcPr>
            <w:tcW w:w="1980" w:type="dxa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</w:tr>
      <w:tr w:rsidR="00F10B0D" w:rsidRPr="001B477C" w:rsidTr="00F10B0D">
        <w:tc>
          <w:tcPr>
            <w:tcW w:w="36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4860" w:type="dxa"/>
            <w:shd w:val="clear" w:color="auto" w:fill="F2F2F2" w:themeFill="background1" w:themeFillShade="F2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Cover/first page</w:t>
            </w:r>
          </w:p>
        </w:tc>
        <w:tc>
          <w:tcPr>
            <w:tcW w:w="1080" w:type="dxa"/>
            <w:shd w:val="clear" w:color="auto" w:fill="F2F2F2" w:themeFill="background1" w:themeFillShade="F2"/>
          </w:tcPr>
          <w:p w:rsidR="00F10B0D" w:rsidRPr="001B477C" w:rsidRDefault="00F10B0D" w:rsidP="000118CF">
            <w:pPr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198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</w:tr>
      <w:tr w:rsidR="00F10B0D" w:rsidRPr="001B477C" w:rsidTr="00F10B0D">
        <w:tc>
          <w:tcPr>
            <w:tcW w:w="360" w:type="dxa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3</w:t>
            </w:r>
          </w:p>
        </w:tc>
        <w:tc>
          <w:tcPr>
            <w:tcW w:w="4860" w:type="dxa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Report the respective dates of publication and the literature search of the adapted guideline.</w:t>
            </w:r>
          </w:p>
        </w:tc>
        <w:tc>
          <w:tcPr>
            <w:tcW w:w="1080" w:type="dxa"/>
          </w:tcPr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  <w:highlight w:val="yellow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  <w:highlight w:val="yellow"/>
              </w:rPr>
              <w:t>Yes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No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Unclear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spacing w:after="30"/>
              <w:ind w:right="-15" w:hanging="10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1(Cover page) </w:t>
            </w:r>
          </w:p>
          <w:p w:rsidR="00F10B0D" w:rsidRPr="001B477C" w:rsidRDefault="00F10B0D" w:rsidP="00F10B0D">
            <w:pPr>
              <w:spacing w:after="28"/>
              <w:ind w:right="-15" w:hanging="10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5(Acknowledgment) </w:t>
            </w:r>
          </w:p>
          <w:p w:rsidR="00F10B0D" w:rsidRPr="001B477C" w:rsidRDefault="00F10B0D" w:rsidP="00F10B0D">
            <w:pPr>
              <w:spacing w:after="72"/>
              <w:ind w:right="-15" w:hanging="10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 103 (Documents) </w:t>
            </w:r>
          </w:p>
        </w:tc>
        <w:tc>
          <w:tcPr>
            <w:tcW w:w="1980" w:type="dxa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</w:tr>
      <w:tr w:rsidR="00F10B0D" w:rsidRPr="001B477C" w:rsidTr="00F10B0D">
        <w:tc>
          <w:tcPr>
            <w:tcW w:w="360" w:type="dxa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4</w:t>
            </w:r>
          </w:p>
        </w:tc>
        <w:tc>
          <w:tcPr>
            <w:tcW w:w="4860" w:type="dxa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Describe the developer and country/region of the adapted guideline.</w:t>
            </w:r>
          </w:p>
        </w:tc>
        <w:tc>
          <w:tcPr>
            <w:tcW w:w="1080" w:type="dxa"/>
          </w:tcPr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  <w:highlight w:val="yellow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  <w:highlight w:val="yellow"/>
              </w:rPr>
              <w:t>Yes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No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Unclear</w:t>
            </w:r>
          </w:p>
        </w:tc>
        <w:tc>
          <w:tcPr>
            <w:tcW w:w="1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spacing w:after="28"/>
              <w:ind w:right="-15" w:hanging="10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1(Cover page) </w:t>
            </w:r>
          </w:p>
          <w:p w:rsidR="00F10B0D" w:rsidRPr="001B477C" w:rsidRDefault="00F10B0D" w:rsidP="00F10B0D">
            <w:pPr>
              <w:spacing w:after="30"/>
              <w:ind w:right="-15" w:hanging="10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5 (Acknowledgment)</w:t>
            </w:r>
          </w:p>
          <w:p w:rsidR="00F10B0D" w:rsidRPr="001B477C" w:rsidRDefault="00F10B0D" w:rsidP="00F10B0D">
            <w:pPr>
              <w:spacing w:after="72"/>
              <w:ind w:right="-15" w:hanging="10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103 (Documents)</w:t>
            </w:r>
          </w:p>
        </w:tc>
        <w:tc>
          <w:tcPr>
            <w:tcW w:w="1980" w:type="dxa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</w:tr>
      <w:tr w:rsidR="00F10B0D" w:rsidRPr="001B477C" w:rsidTr="00F10B0D">
        <w:tc>
          <w:tcPr>
            <w:tcW w:w="36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4860" w:type="dxa"/>
            <w:shd w:val="clear" w:color="auto" w:fill="F2F2F2" w:themeFill="background1" w:themeFillShade="F2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Executive summary/abstract</w:t>
            </w:r>
          </w:p>
        </w:tc>
        <w:tc>
          <w:tcPr>
            <w:tcW w:w="1080" w:type="dxa"/>
            <w:shd w:val="clear" w:color="auto" w:fill="F2F2F2" w:themeFill="background1" w:themeFillShade="F2"/>
          </w:tcPr>
          <w:p w:rsidR="00F10B0D" w:rsidRPr="001B477C" w:rsidRDefault="00F10B0D" w:rsidP="000118CF">
            <w:pPr>
              <w:ind w:left="72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F10B0D" w:rsidRPr="001B477C" w:rsidRDefault="00F10B0D" w:rsidP="00F10B0D">
            <w:pPr>
              <w:spacing w:after="72"/>
              <w:ind w:left="108" w:right="-15" w:hanging="10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 </w:t>
            </w:r>
          </w:p>
        </w:tc>
        <w:tc>
          <w:tcPr>
            <w:tcW w:w="198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</w:tr>
      <w:tr w:rsidR="00F10B0D" w:rsidRPr="001B477C" w:rsidTr="00F10B0D">
        <w:tc>
          <w:tcPr>
            <w:tcW w:w="360" w:type="dxa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5</w:t>
            </w:r>
          </w:p>
        </w:tc>
        <w:tc>
          <w:tcPr>
            <w:tcW w:w="4860" w:type="dxa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Provide a summary of the recommendations contained in the adapted guideline.</w:t>
            </w:r>
          </w:p>
        </w:tc>
        <w:tc>
          <w:tcPr>
            <w:tcW w:w="1080" w:type="dxa"/>
          </w:tcPr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  <w:highlight w:val="yellow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  <w:highlight w:val="yellow"/>
              </w:rPr>
              <w:t>Yes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No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Unclear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spacing w:after="30" w:line="247" w:lineRule="auto"/>
              <w:ind w:left="108" w:right="-15" w:hanging="10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66-( Summary</w:t>
            </w:r>
          </w:p>
          <w:p w:rsidR="00F10B0D" w:rsidRPr="001B477C" w:rsidRDefault="00F10B0D" w:rsidP="00F10B0D">
            <w:pPr>
              <w:spacing w:after="30" w:line="247" w:lineRule="auto"/>
              <w:ind w:left="108" w:right="-15" w:hanging="10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recommendations)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spacing w:after="72"/>
              <w:ind w:left="108" w:right="-15" w:hanging="10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 </w:t>
            </w:r>
          </w:p>
        </w:tc>
      </w:tr>
      <w:tr w:rsidR="00F10B0D" w:rsidRPr="001B477C" w:rsidTr="00F10B0D">
        <w:tc>
          <w:tcPr>
            <w:tcW w:w="36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4860" w:type="dxa"/>
            <w:shd w:val="clear" w:color="auto" w:fill="F2F2F2" w:themeFill="background1" w:themeFillShade="F2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Abbreviations and acronyms</w:t>
            </w:r>
          </w:p>
        </w:tc>
        <w:tc>
          <w:tcPr>
            <w:tcW w:w="1080" w:type="dxa"/>
            <w:shd w:val="clear" w:color="auto" w:fill="F2F2F2" w:themeFill="background1" w:themeFillShade="F2"/>
          </w:tcPr>
          <w:p w:rsidR="00F10B0D" w:rsidRPr="001B477C" w:rsidRDefault="00F10B0D" w:rsidP="000118CF">
            <w:pPr>
              <w:ind w:left="72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spacing w:after="72"/>
              <w:ind w:left="232" w:right="-15" w:hanging="10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spacing w:after="72"/>
              <w:ind w:left="232" w:right="-15" w:hanging="10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</w:tr>
      <w:tr w:rsidR="00F10B0D" w:rsidRPr="001B477C" w:rsidTr="00F10B0D">
        <w:tc>
          <w:tcPr>
            <w:tcW w:w="360" w:type="dxa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6</w:t>
            </w:r>
          </w:p>
        </w:tc>
        <w:tc>
          <w:tcPr>
            <w:tcW w:w="4860" w:type="dxa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Define key terms and provide a list of abbreviations and acronyms (if applicable).</w:t>
            </w:r>
          </w:p>
        </w:tc>
        <w:tc>
          <w:tcPr>
            <w:tcW w:w="1080" w:type="dxa"/>
          </w:tcPr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Yes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No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Unclear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10B0D" w:rsidRPr="001B477C" w:rsidRDefault="00F10B0D" w:rsidP="00F10B0D">
            <w:pPr>
              <w:spacing w:after="30"/>
              <w:ind w:right="-15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 5- (Abbreviations)</w:t>
            </w:r>
          </w:p>
        </w:tc>
        <w:tc>
          <w:tcPr>
            <w:tcW w:w="1980" w:type="dxa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</w:tr>
      <w:tr w:rsidR="00F10B0D" w:rsidRPr="001B477C" w:rsidTr="00F10B0D">
        <w:tc>
          <w:tcPr>
            <w:tcW w:w="36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4860" w:type="dxa"/>
            <w:shd w:val="clear" w:color="auto" w:fill="F2F2F2" w:themeFill="background1" w:themeFillShade="F2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Contact information of the guideline adaptation group</w:t>
            </w:r>
          </w:p>
        </w:tc>
        <w:tc>
          <w:tcPr>
            <w:tcW w:w="1080" w:type="dxa"/>
            <w:shd w:val="clear" w:color="auto" w:fill="F2F2F2" w:themeFill="background1" w:themeFillShade="F2"/>
          </w:tcPr>
          <w:p w:rsidR="00F10B0D" w:rsidRPr="001B477C" w:rsidRDefault="00F10B0D" w:rsidP="000118CF">
            <w:pPr>
              <w:ind w:left="72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spacing w:after="72"/>
              <w:ind w:left="108" w:right="-15" w:hanging="10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 </w:t>
            </w:r>
          </w:p>
        </w:tc>
        <w:tc>
          <w:tcPr>
            <w:tcW w:w="198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</w:tr>
      <w:tr w:rsidR="00F10B0D" w:rsidRPr="001B477C" w:rsidTr="00F10B0D">
        <w:tc>
          <w:tcPr>
            <w:tcW w:w="360" w:type="dxa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7</w:t>
            </w:r>
          </w:p>
        </w:tc>
        <w:tc>
          <w:tcPr>
            <w:tcW w:w="4860" w:type="dxa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Report the contact information of the developer of the adapted guideline.</w:t>
            </w:r>
          </w:p>
        </w:tc>
        <w:tc>
          <w:tcPr>
            <w:tcW w:w="1080" w:type="dxa"/>
          </w:tcPr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  <w:highlight w:val="yellow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  <w:highlight w:val="yellow"/>
              </w:rPr>
              <w:t>Yes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No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Unclear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spacing w:after="30"/>
              <w:ind w:left="72" w:right="-15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2-4 pages  </w:t>
            </w:r>
          </w:p>
          <w:p w:rsidR="00F10B0D" w:rsidRPr="001B477C" w:rsidRDefault="00F10B0D" w:rsidP="00F10B0D">
            <w:pPr>
              <w:spacing w:after="30"/>
              <w:ind w:left="72" w:right="-15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(Authorship list)  </w:t>
            </w:r>
          </w:p>
          <w:p w:rsidR="00F10B0D" w:rsidRPr="001B477C" w:rsidRDefault="00F10B0D" w:rsidP="00F10B0D">
            <w:pPr>
              <w:spacing w:after="28"/>
              <w:ind w:left="72" w:right="-15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 </w:t>
            </w:r>
          </w:p>
          <w:p w:rsidR="00F10B0D" w:rsidRPr="001B477C" w:rsidRDefault="00F10B0D" w:rsidP="00F10B0D">
            <w:pPr>
              <w:spacing w:after="30"/>
              <w:ind w:left="72" w:right="-15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1--Head Of EPG  </w:t>
            </w:r>
          </w:p>
          <w:p w:rsidR="00F10B0D" w:rsidRPr="001B477C" w:rsidRDefault="00F10B0D" w:rsidP="00F10B0D">
            <w:pPr>
              <w:spacing w:after="30"/>
              <w:ind w:left="72" w:right="-15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 </w:t>
            </w:r>
          </w:p>
          <w:p w:rsidR="00F10B0D" w:rsidRPr="001B477C" w:rsidRDefault="00F10B0D" w:rsidP="00F10B0D">
            <w:pPr>
              <w:spacing w:after="30"/>
              <w:ind w:left="72" w:right="-15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2-Adaptation </w:t>
            </w:r>
          </w:p>
          <w:p w:rsidR="00F10B0D" w:rsidRPr="001B477C" w:rsidRDefault="00F10B0D" w:rsidP="00F10B0D">
            <w:pPr>
              <w:spacing w:after="28"/>
              <w:ind w:left="72" w:right="-15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Clinical </w:t>
            </w:r>
          </w:p>
          <w:p w:rsidR="00F10B0D" w:rsidRPr="001B477C" w:rsidRDefault="00F10B0D" w:rsidP="00F10B0D">
            <w:pPr>
              <w:spacing w:after="30" w:line="250" w:lineRule="auto"/>
              <w:ind w:left="72" w:right="-15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&amp;Methodology Work Group. </w:t>
            </w:r>
          </w:p>
          <w:p w:rsidR="00F10B0D" w:rsidRPr="001B477C" w:rsidRDefault="00F10B0D" w:rsidP="00F10B0D">
            <w:pPr>
              <w:spacing w:after="28"/>
              <w:ind w:left="72" w:right="-15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 </w:t>
            </w:r>
          </w:p>
          <w:p w:rsidR="00F10B0D" w:rsidRPr="001B477C" w:rsidRDefault="00F10B0D" w:rsidP="00F10B0D">
            <w:pPr>
              <w:spacing w:after="30"/>
              <w:ind w:left="72" w:right="-15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3--External </w:t>
            </w:r>
          </w:p>
          <w:p w:rsidR="00F10B0D" w:rsidRPr="001B477C" w:rsidRDefault="00F10B0D" w:rsidP="00F10B0D">
            <w:pPr>
              <w:spacing w:after="72"/>
              <w:ind w:left="72" w:right="72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(Reviewers for Validation Group. 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spacing w:after="29" w:line="250" w:lineRule="auto"/>
              <w:ind w:left="72" w:right="-15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Title Page of submission article includes Full information about  </w:t>
            </w:r>
          </w:p>
          <w:p w:rsidR="00F10B0D" w:rsidRPr="001B477C" w:rsidRDefault="00F10B0D" w:rsidP="00F10B0D">
            <w:pPr>
              <w:tabs>
                <w:tab w:val="left" w:pos="1597"/>
              </w:tabs>
              <w:spacing w:after="30"/>
              <w:ind w:right="-15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- Head of National </w:t>
            </w:r>
          </w:p>
          <w:p w:rsidR="00F10B0D" w:rsidRPr="001B477C" w:rsidRDefault="00F10B0D" w:rsidP="00F10B0D">
            <w:pPr>
              <w:tabs>
                <w:tab w:val="left" w:pos="1597"/>
              </w:tabs>
              <w:spacing w:after="28"/>
              <w:ind w:right="-15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Egyptian Guideline </w:t>
            </w:r>
          </w:p>
          <w:p w:rsidR="00F10B0D" w:rsidRPr="001B477C" w:rsidRDefault="00F10B0D" w:rsidP="00F10B0D">
            <w:pPr>
              <w:tabs>
                <w:tab w:val="left" w:pos="1597"/>
              </w:tabs>
              <w:spacing w:after="31"/>
              <w:ind w:right="-15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Committee </w:t>
            </w:r>
          </w:p>
          <w:p w:rsidR="00F10B0D" w:rsidRPr="001B477C" w:rsidRDefault="00F10B0D" w:rsidP="00F10B0D">
            <w:pPr>
              <w:tabs>
                <w:tab w:val="left" w:pos="1597"/>
              </w:tabs>
              <w:spacing w:after="28"/>
              <w:ind w:right="-15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-Clinical work Group Members for </w:t>
            </w:r>
          </w:p>
          <w:p w:rsidR="00F10B0D" w:rsidRPr="001B477C" w:rsidRDefault="00F10B0D" w:rsidP="00F10B0D">
            <w:pPr>
              <w:tabs>
                <w:tab w:val="left" w:pos="1597"/>
              </w:tabs>
              <w:spacing w:after="30"/>
              <w:ind w:right="-15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 SSNS   /   SRNS </w:t>
            </w:r>
          </w:p>
          <w:p w:rsidR="00F10B0D" w:rsidRPr="001B477C" w:rsidRDefault="00F10B0D" w:rsidP="00F10B0D">
            <w:pPr>
              <w:spacing w:after="28"/>
              <w:ind w:left="72" w:right="-15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-Methodology </w:t>
            </w:r>
          </w:p>
          <w:p w:rsidR="00F10B0D" w:rsidRPr="001B477C" w:rsidRDefault="00F10B0D" w:rsidP="00F10B0D">
            <w:pPr>
              <w:spacing w:after="30"/>
              <w:ind w:left="72" w:right="-15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Group Members </w:t>
            </w:r>
          </w:p>
          <w:p w:rsidR="00F10B0D" w:rsidRPr="001B477C" w:rsidRDefault="00F10B0D" w:rsidP="00F10B0D">
            <w:pPr>
              <w:spacing w:after="72"/>
              <w:ind w:left="72" w:right="-15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-Reviewers local and international reviewers for </w:t>
            </w:r>
          </w:p>
        </w:tc>
      </w:tr>
      <w:tr w:rsidR="00F10B0D" w:rsidRPr="001B477C" w:rsidTr="00F10B0D">
        <w:tc>
          <w:tcPr>
            <w:tcW w:w="360" w:type="dxa"/>
            <w:shd w:val="clear" w:color="auto" w:fill="BFBFBF" w:themeFill="background1" w:themeFillShade="BF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</w:p>
        </w:tc>
        <w:tc>
          <w:tcPr>
            <w:tcW w:w="4860" w:type="dxa"/>
            <w:shd w:val="clear" w:color="auto" w:fill="BFBFBF" w:themeFill="background1" w:themeFillShade="BF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Scope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:rsidR="00F10B0D" w:rsidRPr="001B477C" w:rsidRDefault="00F10B0D" w:rsidP="000118CF">
            <w:pPr>
              <w:ind w:left="72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1710" w:type="dxa"/>
            <w:shd w:val="clear" w:color="auto" w:fill="BFBFBF" w:themeFill="background1" w:themeFillShade="BF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1980" w:type="dxa"/>
            <w:shd w:val="clear" w:color="auto" w:fill="BFBFBF" w:themeFill="background1" w:themeFillShade="BF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</w:tr>
      <w:tr w:rsidR="00F10B0D" w:rsidRPr="001B477C" w:rsidTr="00F10B0D">
        <w:tc>
          <w:tcPr>
            <w:tcW w:w="36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</w:p>
        </w:tc>
        <w:tc>
          <w:tcPr>
            <w:tcW w:w="4860" w:type="dxa"/>
            <w:shd w:val="clear" w:color="auto" w:fill="F2F2F2" w:themeFill="background1" w:themeFillShade="F2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Source guideline(s)</w:t>
            </w:r>
          </w:p>
        </w:tc>
        <w:tc>
          <w:tcPr>
            <w:tcW w:w="1080" w:type="dxa"/>
            <w:shd w:val="clear" w:color="auto" w:fill="F2F2F2" w:themeFill="background1" w:themeFillShade="F2"/>
          </w:tcPr>
          <w:p w:rsidR="00F10B0D" w:rsidRPr="001B477C" w:rsidRDefault="00F10B0D" w:rsidP="000118CF">
            <w:pPr>
              <w:ind w:left="72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198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</w:tr>
      <w:tr w:rsidR="00F10B0D" w:rsidRPr="001B477C" w:rsidTr="00F10B0D">
        <w:tc>
          <w:tcPr>
            <w:tcW w:w="360" w:type="dxa"/>
            <w:shd w:val="clear" w:color="auto" w:fill="FFFFFF" w:themeFill="background1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</w:p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8</w:t>
            </w:r>
          </w:p>
        </w:tc>
        <w:tc>
          <w:tcPr>
            <w:tcW w:w="4860" w:type="dxa"/>
            <w:shd w:val="clear" w:color="auto" w:fill="FFFFFF" w:themeFill="background1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Report the name and year of publication of the source guideline(s), provide the citation(s), and whether source authors were contacted.</w:t>
            </w:r>
          </w:p>
        </w:tc>
        <w:tc>
          <w:tcPr>
            <w:tcW w:w="1080" w:type="dxa"/>
          </w:tcPr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  <w:highlight w:val="yellow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  <w:highlight w:val="yellow"/>
              </w:rPr>
              <w:t>Yes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No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Unclear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spacing w:after="30"/>
              <w:ind w:left="72" w:right="-15" w:hanging="10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1(Cover Page)  </w:t>
            </w:r>
          </w:p>
          <w:p w:rsidR="00F10B0D" w:rsidRPr="001B477C" w:rsidRDefault="00F10B0D" w:rsidP="00F10B0D">
            <w:pPr>
              <w:spacing w:after="30"/>
              <w:ind w:left="72" w:right="-15" w:hanging="10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5(Acknowledge) </w:t>
            </w:r>
          </w:p>
          <w:p w:rsidR="00F10B0D" w:rsidRPr="001B477C" w:rsidRDefault="00F10B0D" w:rsidP="00F10B0D">
            <w:pPr>
              <w:spacing w:after="30"/>
              <w:ind w:left="72" w:right="-15" w:hanging="10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96-100 (Methodology)  </w:t>
            </w:r>
          </w:p>
          <w:p w:rsidR="00F10B0D" w:rsidRPr="001B477C" w:rsidRDefault="00F10B0D" w:rsidP="00F10B0D">
            <w:pPr>
              <w:spacing w:after="30"/>
              <w:ind w:left="72" w:right="-15" w:hanging="10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103(Documents) </w:t>
            </w:r>
          </w:p>
          <w:p w:rsidR="00F10B0D" w:rsidRPr="001B477C" w:rsidRDefault="00F10B0D" w:rsidP="00F10B0D">
            <w:pPr>
              <w:spacing w:after="28"/>
              <w:ind w:left="72" w:right="-15" w:hanging="10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104 (Appraisal)  </w:t>
            </w:r>
          </w:p>
          <w:p w:rsidR="00F10B0D" w:rsidRPr="001B477C" w:rsidRDefault="00F10B0D" w:rsidP="00F10B0D">
            <w:pPr>
              <w:spacing w:after="72"/>
              <w:ind w:left="72" w:right="-15" w:hanging="10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107(permissions)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ind w:left="72" w:right="85" w:hanging="72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- referred to in recommend. Statements, figures, and tables.</w:t>
            </w:r>
          </w:p>
          <w:p w:rsidR="00F10B0D" w:rsidRPr="001B477C" w:rsidRDefault="00F10B0D" w:rsidP="00F10B0D">
            <w:pPr>
              <w:ind w:hanging="14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 -Listed in </w:t>
            </w:r>
          </w:p>
          <w:p w:rsidR="00F10B0D" w:rsidRPr="001B477C" w:rsidRDefault="00F10B0D" w:rsidP="00F10B0D">
            <w:pPr>
              <w:ind w:left="115" w:right="85" w:hanging="14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methodology references p 120 </w:t>
            </w:r>
          </w:p>
          <w:p w:rsidR="00F10B0D" w:rsidRPr="001B477C" w:rsidRDefault="00F10B0D" w:rsidP="00F10B0D">
            <w:pPr>
              <w:ind w:left="115" w:right="85" w:hanging="14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-Source guidelines websites p 99, 103 </w:t>
            </w:r>
          </w:p>
        </w:tc>
      </w:tr>
      <w:tr w:rsidR="00F10B0D" w:rsidRPr="001B477C" w:rsidTr="00F10B0D">
        <w:tc>
          <w:tcPr>
            <w:tcW w:w="36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</w:p>
        </w:tc>
        <w:tc>
          <w:tcPr>
            <w:tcW w:w="4860" w:type="dxa"/>
            <w:shd w:val="clear" w:color="auto" w:fill="F2F2F2" w:themeFill="background1" w:themeFillShade="F2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Brief description of the health problem(s)</w:t>
            </w:r>
          </w:p>
        </w:tc>
        <w:tc>
          <w:tcPr>
            <w:tcW w:w="1080" w:type="dxa"/>
            <w:shd w:val="clear" w:color="auto" w:fill="F2F2F2" w:themeFill="background1" w:themeFillShade="F2"/>
          </w:tcPr>
          <w:p w:rsidR="00F10B0D" w:rsidRPr="001B477C" w:rsidRDefault="00F10B0D" w:rsidP="000118CF">
            <w:pPr>
              <w:tabs>
                <w:tab w:val="left" w:pos="252"/>
              </w:tabs>
              <w:ind w:left="72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198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</w:tr>
      <w:tr w:rsidR="00F10B0D" w:rsidRPr="001B477C" w:rsidTr="00F10B0D">
        <w:trPr>
          <w:trHeight w:val="890"/>
        </w:trPr>
        <w:tc>
          <w:tcPr>
            <w:tcW w:w="360" w:type="dxa"/>
            <w:shd w:val="clear" w:color="auto" w:fill="FFFFFF" w:themeFill="background1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</w:p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9</w:t>
            </w:r>
          </w:p>
        </w:tc>
        <w:tc>
          <w:tcPr>
            <w:tcW w:w="4860" w:type="dxa"/>
            <w:shd w:val="clear" w:color="auto" w:fill="FFFFFF" w:themeFill="background1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Provide the basic epidemiological information about the problem (including the associated burden), health systems relevant issues, and note any relevant differences compared to the source guideline(s).</w:t>
            </w:r>
          </w:p>
        </w:tc>
        <w:tc>
          <w:tcPr>
            <w:tcW w:w="1080" w:type="dxa"/>
          </w:tcPr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  <w:highlight w:val="yellow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  <w:highlight w:val="yellow"/>
              </w:rPr>
              <w:t>Yes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No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Unclear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spacing w:after="28"/>
              <w:ind w:left="108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9-20 </w:t>
            </w:r>
          </w:p>
          <w:p w:rsidR="00F10B0D" w:rsidRPr="001B477C" w:rsidRDefault="00F10B0D" w:rsidP="00F10B0D">
            <w:pPr>
              <w:spacing w:after="30"/>
              <w:ind w:left="108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(introduction </w:t>
            </w:r>
          </w:p>
          <w:p w:rsidR="00F10B0D" w:rsidRPr="001B477C" w:rsidRDefault="00F10B0D" w:rsidP="00F10B0D">
            <w:pPr>
              <w:spacing w:after="72"/>
              <w:ind w:left="108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&amp;background)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spacing w:after="28"/>
              <w:ind w:left="108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Included in  </w:t>
            </w:r>
          </w:p>
          <w:p w:rsidR="00F10B0D" w:rsidRPr="001B477C" w:rsidRDefault="00F10B0D" w:rsidP="00F10B0D">
            <w:pPr>
              <w:spacing w:after="29" w:line="250" w:lineRule="auto"/>
              <w:ind w:left="108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- Rationale of recommendations  </w:t>
            </w:r>
          </w:p>
          <w:p w:rsidR="00F10B0D" w:rsidRPr="001B477C" w:rsidRDefault="00F10B0D" w:rsidP="00F10B0D">
            <w:pPr>
              <w:spacing w:after="29" w:line="249" w:lineRule="auto"/>
              <w:ind w:left="108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proofErr w:type="gramStart"/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Specially</w:t>
            </w:r>
            <w:proofErr w:type="gramEnd"/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 for adapted or added recommendations or </w:t>
            </w: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lastRenderedPageBreak/>
              <w:t xml:space="preserve">practice points. </w:t>
            </w:r>
            <w:proofErr w:type="spellStart"/>
            <w:proofErr w:type="gramStart"/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eg</w:t>
            </w:r>
            <w:proofErr w:type="spellEnd"/>
            <w:proofErr w:type="gramEnd"/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 *steroids </w:t>
            </w:r>
            <w:proofErr w:type="spellStart"/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vs</w:t>
            </w:r>
            <w:proofErr w:type="spellEnd"/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 steroid sparing in FR/SD. </w:t>
            </w:r>
          </w:p>
          <w:p w:rsidR="00F10B0D" w:rsidRPr="001B477C" w:rsidRDefault="00F10B0D" w:rsidP="00F10B0D">
            <w:pPr>
              <w:spacing w:after="29" w:line="249" w:lineRule="auto"/>
              <w:ind w:left="108" w:right="29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*Daily VS alt day  steroid in FR</w:t>
            </w:r>
          </w:p>
          <w:p w:rsidR="00F10B0D" w:rsidRPr="001B477C" w:rsidRDefault="00F10B0D" w:rsidP="00F10B0D">
            <w:pPr>
              <w:spacing w:after="29" w:line="249" w:lineRule="auto"/>
              <w:ind w:left="98" w:right="29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 -Special focus on this area is handled with examples inside discussion of the submitted article.  </w:t>
            </w:r>
          </w:p>
        </w:tc>
      </w:tr>
      <w:tr w:rsidR="00F10B0D" w:rsidRPr="001B477C" w:rsidTr="00F10B0D">
        <w:tc>
          <w:tcPr>
            <w:tcW w:w="36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</w:p>
        </w:tc>
        <w:tc>
          <w:tcPr>
            <w:tcW w:w="4860" w:type="dxa"/>
            <w:shd w:val="clear" w:color="auto" w:fill="F2F2F2" w:themeFill="background1" w:themeFillShade="F2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Aim(s) and specific objectives</w:t>
            </w:r>
          </w:p>
        </w:tc>
        <w:tc>
          <w:tcPr>
            <w:tcW w:w="1080" w:type="dxa"/>
            <w:shd w:val="clear" w:color="auto" w:fill="F2F2F2" w:themeFill="background1" w:themeFillShade="F2"/>
          </w:tcPr>
          <w:p w:rsidR="00F10B0D" w:rsidRPr="001B477C" w:rsidRDefault="00F10B0D" w:rsidP="000118CF">
            <w:pPr>
              <w:tabs>
                <w:tab w:val="left" w:pos="252"/>
              </w:tabs>
              <w:ind w:left="72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198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</w:tr>
      <w:tr w:rsidR="00F10B0D" w:rsidRPr="001B477C" w:rsidTr="00F10B0D">
        <w:trPr>
          <w:trHeight w:val="2501"/>
        </w:trPr>
        <w:tc>
          <w:tcPr>
            <w:tcW w:w="360" w:type="dxa"/>
            <w:shd w:val="clear" w:color="auto" w:fill="FFFFFF" w:themeFill="background1"/>
          </w:tcPr>
          <w:p w:rsidR="00F10B0D" w:rsidRPr="001B477C" w:rsidRDefault="00F10B0D" w:rsidP="00F10B0D">
            <w:pPr>
              <w:ind w:left="-108" w:right="-108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 </w:t>
            </w:r>
          </w:p>
          <w:p w:rsidR="00F10B0D" w:rsidRPr="001B477C" w:rsidRDefault="00F10B0D" w:rsidP="00F10B0D">
            <w:pPr>
              <w:ind w:left="-108" w:right="-108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 10</w:t>
            </w:r>
          </w:p>
        </w:tc>
        <w:tc>
          <w:tcPr>
            <w:tcW w:w="4860" w:type="dxa"/>
            <w:shd w:val="clear" w:color="auto" w:fill="FFFFFF" w:themeFill="background1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Describe the aim(s) of the adapted guideline and specific objectives, and note any relevant differences compared to the source guideline(s).</w:t>
            </w:r>
          </w:p>
        </w:tc>
        <w:tc>
          <w:tcPr>
            <w:tcW w:w="1080" w:type="dxa"/>
          </w:tcPr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  <w:highlight w:val="yellow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  <w:highlight w:val="yellow"/>
              </w:rPr>
              <w:t>Yes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No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Unclear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spacing w:after="72"/>
              <w:ind w:left="108" w:right="-15" w:hanging="10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sz w:val="18"/>
                <w:szCs w:val="18"/>
              </w:rPr>
              <w:t xml:space="preserve">-22 ( objectives)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spacing w:after="29" w:line="249" w:lineRule="auto"/>
              <w:ind w:right="-5" w:hanging="10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-Proper initial diagnosis of NS in children </w:t>
            </w:r>
          </w:p>
          <w:p w:rsidR="00F10B0D" w:rsidRPr="001B477C" w:rsidRDefault="00F10B0D" w:rsidP="00F10B0D">
            <w:pPr>
              <w:spacing w:after="29" w:line="249" w:lineRule="auto"/>
              <w:ind w:right="-5" w:hanging="10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 -Referral to pediatric </w:t>
            </w:r>
          </w:p>
          <w:p w:rsidR="00F10B0D" w:rsidRPr="001B477C" w:rsidRDefault="00F10B0D" w:rsidP="00F10B0D">
            <w:pPr>
              <w:spacing w:after="72"/>
              <w:ind w:right="-5" w:hanging="10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Nephrologist for extended investigations as needed. </w:t>
            </w:r>
          </w:p>
          <w:p w:rsidR="00F10B0D" w:rsidRPr="001B477C" w:rsidRDefault="00F10B0D" w:rsidP="00F10B0D">
            <w:pPr>
              <w:spacing w:after="72"/>
              <w:ind w:right="-5" w:hanging="10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- Proper treatment of initial episode and relapses. </w:t>
            </w:r>
          </w:p>
          <w:p w:rsidR="00F10B0D" w:rsidRPr="001B477C" w:rsidRDefault="00F10B0D" w:rsidP="00F10B0D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b/>
                <w:color w:val="171616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 -Maintain long remission for frequently relapsing and </w:t>
            </w:r>
            <w:r w:rsidRPr="001B477C">
              <w:rPr>
                <w:rFonts w:ascii="Times New Roman" w:hAnsi="Times New Roman"/>
                <w:color w:val="171616"/>
                <w:sz w:val="18"/>
                <w:szCs w:val="18"/>
              </w:rPr>
              <w:t xml:space="preserve">steroid dependent </w:t>
            </w:r>
          </w:p>
          <w:p w:rsidR="00F10B0D" w:rsidRPr="001B477C" w:rsidRDefault="00F10B0D" w:rsidP="00F10B0D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1B477C">
              <w:rPr>
                <w:rFonts w:ascii="Times New Roman" w:hAnsi="Times New Roman"/>
                <w:color w:val="171616"/>
                <w:sz w:val="18"/>
                <w:szCs w:val="18"/>
              </w:rPr>
              <w:t xml:space="preserve">--management of complications of disease or therapy </w:t>
            </w:r>
          </w:p>
          <w:p w:rsidR="00F10B0D" w:rsidRPr="001B477C" w:rsidRDefault="00F10B0D" w:rsidP="00F10B0D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1B477C">
              <w:rPr>
                <w:rFonts w:ascii="Times New Roman" w:hAnsi="Times New Roman"/>
                <w:color w:val="171616"/>
                <w:sz w:val="18"/>
                <w:szCs w:val="18"/>
              </w:rPr>
              <w:t xml:space="preserve">-Follow-up of </w:t>
            </w:r>
            <w:proofErr w:type="spellStart"/>
            <w:r w:rsidRPr="001B477C">
              <w:rPr>
                <w:rFonts w:ascii="Times New Roman" w:hAnsi="Times New Roman"/>
                <w:color w:val="171616"/>
                <w:sz w:val="18"/>
                <w:szCs w:val="18"/>
              </w:rPr>
              <w:t>pts</w:t>
            </w:r>
            <w:proofErr w:type="spellEnd"/>
            <w:r w:rsidRPr="001B477C">
              <w:rPr>
                <w:rFonts w:ascii="Times New Roman" w:hAnsi="Times New Roman"/>
                <w:color w:val="171616"/>
                <w:sz w:val="18"/>
                <w:szCs w:val="18"/>
              </w:rPr>
              <w:t xml:space="preserve"> for clinical and lab monitoring. </w:t>
            </w:r>
          </w:p>
          <w:p w:rsidR="00F10B0D" w:rsidRPr="001B477C" w:rsidRDefault="00F10B0D" w:rsidP="00F10B0D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1B477C">
              <w:rPr>
                <w:rFonts w:ascii="Times New Roman" w:hAnsi="Times New Roman"/>
                <w:color w:val="171616"/>
                <w:sz w:val="18"/>
                <w:szCs w:val="18"/>
              </w:rPr>
              <w:t xml:space="preserve">-family orientation with diet and activity, home assessment of proteinuria. </w:t>
            </w:r>
          </w:p>
          <w:p w:rsidR="00F10B0D" w:rsidRPr="001B477C" w:rsidRDefault="00F10B0D" w:rsidP="00F10B0D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1B477C">
              <w:rPr>
                <w:rFonts w:ascii="Times New Roman" w:hAnsi="Times New Roman"/>
                <w:color w:val="171616"/>
                <w:sz w:val="18"/>
                <w:szCs w:val="18"/>
              </w:rPr>
              <w:t xml:space="preserve">-Vaccination, what to do on contact with infected cases while on immunosuppressive drugs? </w:t>
            </w:r>
          </w:p>
          <w:p w:rsidR="00F10B0D" w:rsidRPr="001B477C" w:rsidRDefault="00F10B0D" w:rsidP="00F10B0D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bCs/>
                <w:sz w:val="18"/>
                <w:szCs w:val="18"/>
              </w:rPr>
            </w:pPr>
            <w:r w:rsidRPr="001B477C">
              <w:rPr>
                <w:rFonts w:ascii="Times New Roman" w:hAnsi="Times New Roman"/>
                <w:color w:val="171616"/>
                <w:sz w:val="18"/>
                <w:szCs w:val="18"/>
              </w:rPr>
              <w:t xml:space="preserve">All previous objectives are fully discussed in our source guidelines, </w:t>
            </w:r>
            <w:r w:rsidRPr="001B477C">
              <w:rPr>
                <w:rFonts w:ascii="Times New Roman" w:hAnsi="Times New Roman"/>
                <w:bCs/>
                <w:sz w:val="18"/>
                <w:szCs w:val="18"/>
              </w:rPr>
              <w:t xml:space="preserve">However in our area we need to add: </w:t>
            </w:r>
          </w:p>
          <w:p w:rsidR="00F10B0D" w:rsidRPr="001B477C" w:rsidRDefault="00F10B0D" w:rsidP="00F10B0D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1B477C">
              <w:rPr>
                <w:rFonts w:ascii="Times New Roman" w:hAnsi="Times New Roman"/>
                <w:color w:val="171616"/>
                <w:sz w:val="18"/>
                <w:szCs w:val="18"/>
              </w:rPr>
              <w:t xml:space="preserve">-Support referral to pediatric nephrologist </w:t>
            </w:r>
          </w:p>
          <w:p w:rsidR="00F10B0D" w:rsidRPr="001B477C" w:rsidRDefault="00F10B0D" w:rsidP="00F10B0D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1B477C">
              <w:rPr>
                <w:rFonts w:ascii="Times New Roman" w:hAnsi="Times New Roman"/>
                <w:color w:val="171616"/>
                <w:sz w:val="18"/>
                <w:szCs w:val="18"/>
              </w:rPr>
              <w:t xml:space="preserve">-Define red flags for referral </w:t>
            </w:r>
          </w:p>
          <w:p w:rsidR="00F10B0D" w:rsidRPr="001B477C" w:rsidRDefault="00F10B0D" w:rsidP="00F10B0D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1B477C">
              <w:rPr>
                <w:rFonts w:ascii="Times New Roman" w:hAnsi="Times New Roman"/>
                <w:color w:val="171616"/>
                <w:sz w:val="18"/>
                <w:szCs w:val="18"/>
              </w:rPr>
              <w:t xml:space="preserve">-Diagnosis workup to include infections especially of local epidemiology profile </w:t>
            </w:r>
            <w:proofErr w:type="spellStart"/>
            <w:r w:rsidRPr="001B477C">
              <w:rPr>
                <w:rFonts w:ascii="Times New Roman" w:hAnsi="Times New Roman"/>
                <w:color w:val="171616"/>
                <w:sz w:val="18"/>
                <w:szCs w:val="18"/>
              </w:rPr>
              <w:t>eg</w:t>
            </w:r>
            <w:proofErr w:type="spellEnd"/>
            <w:r w:rsidRPr="001B477C">
              <w:rPr>
                <w:rFonts w:ascii="Times New Roman" w:hAnsi="Times New Roman"/>
                <w:color w:val="171616"/>
                <w:sz w:val="18"/>
                <w:szCs w:val="18"/>
              </w:rPr>
              <w:t xml:space="preserve"> HBV, HCV, COVID, TB, </w:t>
            </w:r>
          </w:p>
          <w:p w:rsidR="00F10B0D" w:rsidRPr="001B477C" w:rsidRDefault="00F10B0D" w:rsidP="00F10B0D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1B477C">
              <w:rPr>
                <w:rFonts w:ascii="Times New Roman" w:hAnsi="Times New Roman"/>
                <w:color w:val="171616"/>
                <w:sz w:val="18"/>
                <w:szCs w:val="18"/>
              </w:rPr>
              <w:t xml:space="preserve">-Early Genetic testing in infantile, familial, </w:t>
            </w:r>
            <w:proofErr w:type="spellStart"/>
            <w:r w:rsidRPr="001B477C">
              <w:rPr>
                <w:rFonts w:ascii="Times New Roman" w:hAnsi="Times New Roman"/>
                <w:color w:val="171616"/>
                <w:sz w:val="18"/>
                <w:szCs w:val="18"/>
              </w:rPr>
              <w:t>syndromic</w:t>
            </w:r>
            <w:proofErr w:type="spellEnd"/>
            <w:r w:rsidRPr="001B477C">
              <w:rPr>
                <w:rFonts w:ascii="Times New Roman" w:hAnsi="Times New Roman"/>
                <w:color w:val="171616"/>
                <w:sz w:val="18"/>
                <w:szCs w:val="18"/>
              </w:rPr>
              <w:t xml:space="preserve"> </w:t>
            </w:r>
          </w:p>
          <w:p w:rsidR="00F10B0D" w:rsidRPr="001B477C" w:rsidRDefault="00F10B0D" w:rsidP="00F10B0D">
            <w:pPr>
              <w:spacing w:after="72"/>
              <w:ind w:right="-5" w:hanging="10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hAnsi="Times New Roman"/>
                <w:color w:val="171616"/>
                <w:sz w:val="18"/>
                <w:szCs w:val="18"/>
              </w:rPr>
              <w:t xml:space="preserve">-Consider dug costs, availability, </w:t>
            </w:r>
            <w:proofErr w:type="gramStart"/>
            <w:r w:rsidRPr="001B477C">
              <w:rPr>
                <w:rFonts w:ascii="Times New Roman" w:hAnsi="Times New Roman"/>
                <w:color w:val="171616"/>
                <w:sz w:val="18"/>
                <w:szCs w:val="18"/>
              </w:rPr>
              <w:t>degree</w:t>
            </w:r>
            <w:proofErr w:type="gramEnd"/>
            <w:r w:rsidRPr="001B477C">
              <w:rPr>
                <w:rFonts w:ascii="Times New Roman" w:hAnsi="Times New Roman"/>
                <w:color w:val="171616"/>
                <w:sz w:val="18"/>
                <w:szCs w:val="18"/>
              </w:rPr>
              <w:t xml:space="preserve"> </w:t>
            </w:r>
            <w:proofErr w:type="spellStart"/>
            <w:r w:rsidRPr="001B477C">
              <w:rPr>
                <w:rFonts w:ascii="Times New Roman" w:hAnsi="Times New Roman"/>
                <w:color w:val="171616"/>
                <w:sz w:val="18"/>
                <w:szCs w:val="18"/>
              </w:rPr>
              <w:t>paeientt</w:t>
            </w:r>
            <w:proofErr w:type="spellEnd"/>
            <w:r w:rsidRPr="001B477C">
              <w:rPr>
                <w:rFonts w:ascii="Times New Roman" w:hAnsi="Times New Roman"/>
                <w:color w:val="171616"/>
                <w:sz w:val="18"/>
                <w:szCs w:val="18"/>
              </w:rPr>
              <w:t xml:space="preserve"> response in our area with reported local studies. [ see article discussion]</w:t>
            </w:r>
          </w:p>
        </w:tc>
      </w:tr>
      <w:tr w:rsidR="00F10B0D" w:rsidRPr="001B477C" w:rsidTr="00F10B0D">
        <w:tc>
          <w:tcPr>
            <w:tcW w:w="36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ind w:left="-108" w:right="-108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4860" w:type="dxa"/>
            <w:shd w:val="clear" w:color="auto" w:fill="F2F2F2" w:themeFill="background1" w:themeFillShade="F2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 w:hanging="10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Target population(s)</w:t>
            </w:r>
          </w:p>
        </w:tc>
        <w:tc>
          <w:tcPr>
            <w:tcW w:w="1080" w:type="dxa"/>
            <w:shd w:val="clear" w:color="auto" w:fill="F2F2F2" w:themeFill="background1" w:themeFillShade="F2"/>
          </w:tcPr>
          <w:p w:rsidR="00F10B0D" w:rsidRPr="001B477C" w:rsidRDefault="00F10B0D" w:rsidP="000118CF">
            <w:pPr>
              <w:tabs>
                <w:tab w:val="left" w:pos="252"/>
              </w:tabs>
              <w:ind w:left="72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198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</w:tr>
      <w:tr w:rsidR="00F10B0D" w:rsidRPr="001B477C" w:rsidTr="00F10B0D">
        <w:trPr>
          <w:trHeight w:val="980"/>
        </w:trPr>
        <w:tc>
          <w:tcPr>
            <w:tcW w:w="360" w:type="dxa"/>
            <w:shd w:val="clear" w:color="auto" w:fill="FFFFFF" w:themeFill="background1"/>
          </w:tcPr>
          <w:p w:rsidR="00F10B0D" w:rsidRPr="001B477C" w:rsidRDefault="00F10B0D" w:rsidP="00F10B0D">
            <w:pPr>
              <w:ind w:left="-108" w:right="-108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  <w:p w:rsidR="00F10B0D" w:rsidRPr="001B477C" w:rsidRDefault="00F10B0D" w:rsidP="00F10B0D">
            <w:pPr>
              <w:ind w:left="-108" w:right="-108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 11</w:t>
            </w:r>
          </w:p>
        </w:tc>
        <w:tc>
          <w:tcPr>
            <w:tcW w:w="4860" w:type="dxa"/>
            <w:shd w:val="clear" w:color="auto" w:fill="FFFFFF" w:themeFill="background1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 w:hanging="10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Describe the target population(s) and subgroup(s) (if applicable) to which the recommendation(s) is addressed in the adapted guideline, and note any relevant differences compared to the source guideline(s).</w:t>
            </w:r>
          </w:p>
        </w:tc>
        <w:tc>
          <w:tcPr>
            <w:tcW w:w="1080" w:type="dxa"/>
          </w:tcPr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  <w:highlight w:val="yellow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  <w:highlight w:val="yellow"/>
              </w:rPr>
              <w:t>Yes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No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Unclear</w:t>
            </w:r>
          </w:p>
        </w:tc>
        <w:tc>
          <w:tcPr>
            <w:tcW w:w="1710" w:type="dxa"/>
            <w:shd w:val="clear" w:color="auto" w:fill="FFFFFF" w:themeFill="background1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22 (PIPOH) </w:t>
            </w:r>
          </w:p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Model</w:t>
            </w:r>
          </w:p>
        </w:tc>
        <w:tc>
          <w:tcPr>
            <w:tcW w:w="1980" w:type="dxa"/>
            <w:shd w:val="clear" w:color="auto" w:fill="FFFFFF" w:themeFill="background1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</w:tr>
      <w:tr w:rsidR="00F10B0D" w:rsidRPr="001B477C" w:rsidTr="00F10B0D">
        <w:tc>
          <w:tcPr>
            <w:tcW w:w="36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ind w:left="-108" w:right="-108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4860" w:type="dxa"/>
            <w:shd w:val="clear" w:color="auto" w:fill="F2F2F2" w:themeFill="background1" w:themeFillShade="F2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End-users and settings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:rsidR="00F10B0D" w:rsidRPr="001B477C" w:rsidRDefault="00F10B0D" w:rsidP="000118CF">
            <w:pPr>
              <w:ind w:left="72"/>
              <w:contextualSpacing/>
              <w:rPr>
                <w:rFonts w:ascii="Times New Roman" w:eastAsia="Calibri" w:hAnsi="Times New Roman"/>
                <w:color w:val="181717"/>
                <w:sz w:val="16"/>
                <w:szCs w:val="16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6"/>
                <w:szCs w:val="16"/>
              </w:rPr>
              <w:t xml:space="preserve">Assessment 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Pages 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Notes</w:t>
            </w:r>
          </w:p>
        </w:tc>
      </w:tr>
      <w:tr w:rsidR="00F10B0D" w:rsidRPr="001B477C" w:rsidTr="00F10B0D">
        <w:trPr>
          <w:trHeight w:val="70"/>
        </w:trPr>
        <w:tc>
          <w:tcPr>
            <w:tcW w:w="360" w:type="dxa"/>
            <w:shd w:val="clear" w:color="auto" w:fill="FFFFFF" w:themeFill="background1"/>
          </w:tcPr>
          <w:p w:rsidR="00F10B0D" w:rsidRPr="001B477C" w:rsidRDefault="00F10B0D" w:rsidP="00F10B0D">
            <w:pPr>
              <w:ind w:right="-108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  <w:p w:rsidR="00F10B0D" w:rsidRPr="001B477C" w:rsidRDefault="00F10B0D" w:rsidP="00F10B0D">
            <w:pPr>
              <w:ind w:left="-108" w:right="-108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  12</w:t>
            </w:r>
          </w:p>
          <w:p w:rsidR="00F10B0D" w:rsidRPr="001B477C" w:rsidRDefault="00F10B0D" w:rsidP="00F10B0D">
            <w:pPr>
              <w:ind w:right="-108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4860" w:type="dxa"/>
            <w:shd w:val="clear" w:color="auto" w:fill="FFFFFF" w:themeFill="background1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Describe the intended target users of the adapted guideline, and note any relevant differences compared to the source guideline(s).</w:t>
            </w:r>
          </w:p>
        </w:tc>
        <w:tc>
          <w:tcPr>
            <w:tcW w:w="1080" w:type="dxa"/>
          </w:tcPr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  <w:highlight w:val="yellow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  <w:highlight w:val="yellow"/>
              </w:rPr>
              <w:t>Yes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No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Unclear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spacing w:after="30"/>
              <w:ind w:right="-15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22-24 (Scope </w:t>
            </w:r>
          </w:p>
          <w:p w:rsidR="00F10B0D" w:rsidRPr="001B477C" w:rsidRDefault="00F10B0D" w:rsidP="00F10B0D">
            <w:pPr>
              <w:spacing w:after="30"/>
              <w:ind w:right="-15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&amp;purpose, PIPOH)  </w:t>
            </w:r>
          </w:p>
          <w:p w:rsidR="00F10B0D" w:rsidRPr="001B477C" w:rsidRDefault="00F10B0D" w:rsidP="00F10B0D">
            <w:pPr>
              <w:spacing w:after="72"/>
              <w:ind w:left="-18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75 (implementation</w:t>
            </w:r>
          </w:p>
          <w:p w:rsidR="00F10B0D" w:rsidRPr="001B477C" w:rsidRDefault="00F10B0D" w:rsidP="00F10B0D">
            <w:pPr>
              <w:spacing w:after="72"/>
              <w:ind w:left="232" w:right="-15" w:hanging="10"/>
              <w:contextualSpacing/>
              <w:rPr>
                <w:rFonts w:ascii="Calibri" w:eastAsia="Calibri" w:hAnsi="Calibri" w:cs="Calibri"/>
                <w:b/>
                <w:bCs/>
                <w:color w:val="181717"/>
                <w:sz w:val="14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consideration)</w:t>
            </w:r>
            <w:r w:rsidRPr="001B477C">
              <w:rPr>
                <w:rFonts w:ascii="Calibri" w:eastAsia="Calibri" w:hAnsi="Calibri" w:cs="Calibri"/>
                <w:bCs/>
                <w:color w:val="181717"/>
                <w:sz w:val="20"/>
              </w:rPr>
              <w:t xml:space="preserve">  </w:t>
            </w:r>
          </w:p>
        </w:tc>
        <w:tc>
          <w:tcPr>
            <w:tcW w:w="1980" w:type="dxa"/>
            <w:shd w:val="clear" w:color="auto" w:fill="FFFFFF" w:themeFill="background1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</w:tr>
      <w:tr w:rsidR="00F10B0D" w:rsidRPr="001B477C" w:rsidTr="00F10B0D">
        <w:tc>
          <w:tcPr>
            <w:tcW w:w="360" w:type="dxa"/>
            <w:shd w:val="clear" w:color="auto" w:fill="FFFFFF" w:themeFill="background1"/>
          </w:tcPr>
          <w:p w:rsidR="00F10B0D" w:rsidRPr="001B477C" w:rsidRDefault="00F10B0D" w:rsidP="00F10B0D">
            <w:pPr>
              <w:ind w:right="-108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13</w:t>
            </w:r>
          </w:p>
        </w:tc>
        <w:tc>
          <w:tcPr>
            <w:tcW w:w="4860" w:type="dxa"/>
            <w:shd w:val="clear" w:color="auto" w:fill="FFFFFF" w:themeFill="background1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Describe the setting(s) for which the adapted guideline is intended, and note any relevant differences compared to the source guideline(s).</w:t>
            </w:r>
          </w:p>
        </w:tc>
        <w:tc>
          <w:tcPr>
            <w:tcW w:w="1080" w:type="dxa"/>
          </w:tcPr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  <w:highlight w:val="yellow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  <w:highlight w:val="yellow"/>
              </w:rPr>
              <w:t>Yes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No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Unclear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spacing w:after="30"/>
              <w:ind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22-24 (Scope &amp; purpose, PIPOH) </w:t>
            </w:r>
          </w:p>
          <w:p w:rsidR="00F10B0D" w:rsidRPr="001B477C" w:rsidRDefault="00F10B0D" w:rsidP="00F10B0D">
            <w:pPr>
              <w:spacing w:after="72"/>
              <w:ind w:right="-15" w:hanging="10"/>
              <w:contextualSpacing/>
              <w:rPr>
                <w:rFonts w:ascii="Calibri" w:eastAsia="Calibri" w:hAnsi="Calibri" w:cs="Calibri"/>
                <w:b/>
                <w:bCs/>
                <w:color w:val="181717"/>
                <w:sz w:val="14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75 (implementation consideration)</w:t>
            </w:r>
            <w:r w:rsidRPr="001B477C">
              <w:rPr>
                <w:rFonts w:ascii="Calibri" w:eastAsia="Calibri" w:hAnsi="Calibri" w:cs="Calibri"/>
                <w:bCs/>
                <w:color w:val="181717"/>
                <w:sz w:val="20"/>
              </w:rPr>
              <w:t xml:space="preserve">  </w:t>
            </w:r>
          </w:p>
        </w:tc>
        <w:tc>
          <w:tcPr>
            <w:tcW w:w="1980" w:type="dxa"/>
            <w:shd w:val="clear" w:color="auto" w:fill="FFFFFF" w:themeFill="background1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</w:tr>
      <w:tr w:rsidR="00F10B0D" w:rsidRPr="001B477C" w:rsidTr="00F10B0D">
        <w:tc>
          <w:tcPr>
            <w:tcW w:w="360" w:type="dxa"/>
            <w:shd w:val="clear" w:color="auto" w:fill="BFBFBF" w:themeFill="background1" w:themeFillShade="BF"/>
          </w:tcPr>
          <w:p w:rsidR="00F10B0D" w:rsidRPr="001B477C" w:rsidRDefault="00F10B0D" w:rsidP="00F10B0D">
            <w:pPr>
              <w:ind w:left="-108" w:right="-288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4860" w:type="dxa"/>
            <w:shd w:val="clear" w:color="auto" w:fill="BFBFBF" w:themeFill="background1" w:themeFillShade="BF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/>
              <w:contextualSpacing/>
              <w:rPr>
                <w:rFonts w:ascii="Times New Roman" w:eastAsia="Calibri" w:hAnsi="Times New Roman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sz w:val="18"/>
                <w:szCs w:val="18"/>
              </w:rPr>
              <w:t>Rigor of development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:rsidR="00F10B0D" w:rsidRPr="001B477C" w:rsidRDefault="00F10B0D" w:rsidP="000118CF">
            <w:pPr>
              <w:ind w:left="72" w:right="-288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F10B0D" w:rsidRPr="001B477C" w:rsidRDefault="00F10B0D" w:rsidP="00F10B0D">
            <w:pPr>
              <w:spacing w:after="72"/>
              <w:ind w:left="232" w:right="-15" w:hanging="10"/>
              <w:contextualSpacing/>
              <w:rPr>
                <w:rFonts w:ascii="Calibri" w:eastAsia="Calibri" w:hAnsi="Calibri" w:cs="Calibri"/>
                <w:color w:val="181717"/>
                <w:sz w:val="14"/>
              </w:rPr>
            </w:pPr>
          </w:p>
        </w:tc>
        <w:tc>
          <w:tcPr>
            <w:tcW w:w="1980" w:type="dxa"/>
            <w:shd w:val="clear" w:color="auto" w:fill="BFBFBF" w:themeFill="background1" w:themeFillShade="BF"/>
          </w:tcPr>
          <w:p w:rsidR="00F10B0D" w:rsidRPr="001B477C" w:rsidRDefault="00F10B0D" w:rsidP="00F10B0D">
            <w:pPr>
              <w:ind w:right="-288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</w:tr>
      <w:tr w:rsidR="00F10B0D" w:rsidRPr="001B477C" w:rsidTr="00F10B0D">
        <w:tc>
          <w:tcPr>
            <w:tcW w:w="36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ind w:left="-108" w:right="-288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4860" w:type="dxa"/>
            <w:shd w:val="clear" w:color="auto" w:fill="F2F2F2" w:themeFill="background1" w:themeFillShade="F2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Guideline adaptation group</w:t>
            </w:r>
          </w:p>
        </w:tc>
        <w:tc>
          <w:tcPr>
            <w:tcW w:w="1080" w:type="dxa"/>
            <w:shd w:val="clear" w:color="auto" w:fill="F2F2F2" w:themeFill="background1" w:themeFillShade="F2"/>
          </w:tcPr>
          <w:p w:rsidR="00F10B0D" w:rsidRPr="001B477C" w:rsidRDefault="00F10B0D" w:rsidP="000118CF">
            <w:pPr>
              <w:ind w:left="72" w:right="-288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F10B0D" w:rsidRPr="001B477C" w:rsidRDefault="00F10B0D" w:rsidP="00F10B0D">
            <w:pPr>
              <w:spacing w:after="72"/>
              <w:ind w:left="232" w:right="-15" w:hanging="10"/>
              <w:contextualSpacing/>
              <w:rPr>
                <w:rFonts w:ascii="Calibri" w:eastAsia="Calibri" w:hAnsi="Calibri" w:cs="Calibri"/>
                <w:color w:val="181717"/>
                <w:sz w:val="14"/>
              </w:rPr>
            </w:pPr>
            <w:r w:rsidRPr="001B477C">
              <w:rPr>
                <w:rFonts w:ascii="Calibri" w:eastAsia="Calibri" w:hAnsi="Calibri" w:cs="Calibri"/>
                <w:color w:val="181717"/>
                <w:sz w:val="20"/>
              </w:rPr>
              <w:t xml:space="preserve"> </w:t>
            </w:r>
          </w:p>
        </w:tc>
        <w:tc>
          <w:tcPr>
            <w:tcW w:w="198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ind w:right="-288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</w:tr>
      <w:tr w:rsidR="00F10B0D" w:rsidRPr="001B477C" w:rsidTr="00F10B0D">
        <w:tc>
          <w:tcPr>
            <w:tcW w:w="360" w:type="dxa"/>
            <w:shd w:val="clear" w:color="auto" w:fill="FFFFFF" w:themeFill="background1"/>
          </w:tcPr>
          <w:p w:rsidR="00F10B0D" w:rsidRPr="001B477C" w:rsidRDefault="00F10B0D" w:rsidP="00F10B0D">
            <w:pPr>
              <w:ind w:left="-108" w:right="-108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 14</w:t>
            </w:r>
          </w:p>
        </w:tc>
        <w:tc>
          <w:tcPr>
            <w:tcW w:w="4860" w:type="dxa"/>
            <w:shd w:val="clear" w:color="auto" w:fill="FFFFFF" w:themeFill="background1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/>
              <w:contextualSpacing/>
              <w:rPr>
                <w:rFonts w:ascii="Times New Roman" w:eastAsia="Calibri" w:hAnsi="Times New Roman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List all contributors to the guideline adaptation process and describe their selection process and responsibilities</w:t>
            </w: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.</w:t>
            </w:r>
          </w:p>
        </w:tc>
        <w:tc>
          <w:tcPr>
            <w:tcW w:w="1080" w:type="dxa"/>
          </w:tcPr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  <w:highlight w:val="yellow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  <w:highlight w:val="yellow"/>
              </w:rPr>
              <w:t>Yes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No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Unclear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spacing w:after="72"/>
              <w:ind w:left="72" w:right="-15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2-4 (Authorship group &amp;Editorial Board)   included GL Adaptation group &amp;external review group with eminent clinical and methodology experts and including Authors of the CPG Article /Manuscript.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spacing w:after="72"/>
              <w:ind w:left="72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Submission Title page includes contributions.  </w:t>
            </w:r>
          </w:p>
        </w:tc>
      </w:tr>
      <w:tr w:rsidR="00F10B0D" w:rsidRPr="001B477C" w:rsidTr="00F10B0D">
        <w:tc>
          <w:tcPr>
            <w:tcW w:w="360" w:type="dxa"/>
            <w:shd w:val="clear" w:color="auto" w:fill="FFFFFF" w:themeFill="background1"/>
          </w:tcPr>
          <w:p w:rsidR="00F10B0D" w:rsidRPr="001B477C" w:rsidRDefault="00F10B0D" w:rsidP="00F10B0D">
            <w:pPr>
              <w:ind w:left="-108" w:right="-108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4860" w:type="dxa"/>
            <w:shd w:val="clear" w:color="auto" w:fill="F2F2F2" w:themeFill="background1" w:themeFillShade="F2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Adaptation framework/methodology</w:t>
            </w:r>
          </w:p>
        </w:tc>
        <w:tc>
          <w:tcPr>
            <w:tcW w:w="1080" w:type="dxa"/>
            <w:shd w:val="clear" w:color="auto" w:fill="F2F2F2" w:themeFill="background1" w:themeFillShade="F2"/>
          </w:tcPr>
          <w:p w:rsidR="00F10B0D" w:rsidRPr="001B477C" w:rsidRDefault="00F10B0D" w:rsidP="000118CF">
            <w:pPr>
              <w:ind w:left="72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198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</w:tr>
      <w:tr w:rsidR="00F10B0D" w:rsidRPr="001B477C" w:rsidTr="00F10B0D">
        <w:tc>
          <w:tcPr>
            <w:tcW w:w="360" w:type="dxa"/>
            <w:shd w:val="clear" w:color="auto" w:fill="FFFFFF" w:themeFill="background1"/>
          </w:tcPr>
          <w:p w:rsidR="00F10B0D" w:rsidRPr="001B477C" w:rsidRDefault="00F10B0D" w:rsidP="00F10B0D">
            <w:pPr>
              <w:ind w:left="-108" w:right="-108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  15</w:t>
            </w:r>
          </w:p>
        </w:tc>
        <w:tc>
          <w:tcPr>
            <w:tcW w:w="4860" w:type="dxa"/>
            <w:shd w:val="clear" w:color="auto" w:fill="FFFFFF" w:themeFill="background1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Report which framework or methodology was used in the guideline adaptation process.</w:t>
            </w:r>
          </w:p>
        </w:tc>
        <w:tc>
          <w:tcPr>
            <w:tcW w:w="1080" w:type="dxa"/>
          </w:tcPr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  <w:highlight w:val="yellow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  <w:highlight w:val="yellow"/>
              </w:rPr>
              <w:t>Yes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No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Unclear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spacing w:after="30"/>
              <w:ind w:left="72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9 (Adapted </w:t>
            </w:r>
          </w:p>
          <w:p w:rsidR="00F10B0D" w:rsidRPr="001B477C" w:rsidRDefault="00F10B0D" w:rsidP="00F10B0D">
            <w:pPr>
              <w:spacing w:after="28"/>
              <w:ind w:left="72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ADAPTE Method</w:t>
            </w:r>
          </w:p>
          <w:p w:rsidR="00F10B0D" w:rsidRPr="001B477C" w:rsidRDefault="00F10B0D" w:rsidP="00F10B0D">
            <w:pPr>
              <w:spacing w:after="28"/>
              <w:ind w:left="72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9 (Guideline Status) </w:t>
            </w:r>
          </w:p>
          <w:p w:rsidR="00F10B0D" w:rsidRPr="001B477C" w:rsidRDefault="00F10B0D" w:rsidP="00F10B0D">
            <w:pPr>
              <w:spacing w:after="28"/>
              <w:ind w:left="72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74 (Adaptation </w:t>
            </w:r>
          </w:p>
          <w:p w:rsidR="00F10B0D" w:rsidRPr="001B477C" w:rsidRDefault="00F10B0D" w:rsidP="00F10B0D">
            <w:pPr>
              <w:spacing w:after="30"/>
              <w:ind w:left="72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Process) </w:t>
            </w:r>
          </w:p>
          <w:p w:rsidR="00F10B0D" w:rsidRPr="001B477C" w:rsidRDefault="00F10B0D" w:rsidP="00F10B0D">
            <w:pPr>
              <w:spacing w:after="29" w:line="249" w:lineRule="auto"/>
              <w:ind w:left="72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96-100 Figures &amp; Steps of CPG adaptation Methodology) </w:t>
            </w:r>
          </w:p>
          <w:p w:rsidR="00F10B0D" w:rsidRPr="001B477C" w:rsidRDefault="00F10B0D" w:rsidP="00F10B0D">
            <w:pPr>
              <w:spacing w:after="28"/>
              <w:ind w:left="72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120(References).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spacing w:after="29" w:line="249" w:lineRule="auto"/>
              <w:ind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Methodology of submission article in appendix of </w:t>
            </w:r>
          </w:p>
          <w:p w:rsidR="00F10B0D" w:rsidRPr="001B477C" w:rsidRDefault="00F10B0D" w:rsidP="00F10B0D">
            <w:pPr>
              <w:spacing w:after="72"/>
              <w:ind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article  </w:t>
            </w:r>
          </w:p>
          <w:p w:rsidR="00F10B0D" w:rsidRPr="001B477C" w:rsidRDefault="00F10B0D" w:rsidP="00F10B0D">
            <w:pPr>
              <w:spacing w:after="72"/>
              <w:ind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</w:p>
          <w:p w:rsidR="00F10B0D" w:rsidRPr="001B477C" w:rsidRDefault="00F10B0D" w:rsidP="00F10B0D">
            <w:pPr>
              <w:spacing w:after="72"/>
              <w:ind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</w:p>
          <w:p w:rsidR="00F10B0D" w:rsidRPr="001B477C" w:rsidRDefault="00F10B0D" w:rsidP="00F10B0D">
            <w:pPr>
              <w:spacing w:after="72"/>
              <w:ind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</w:p>
          <w:p w:rsidR="00F10B0D" w:rsidRPr="001B477C" w:rsidRDefault="00F10B0D" w:rsidP="00F10B0D">
            <w:pPr>
              <w:spacing w:after="72"/>
              <w:ind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</w:p>
          <w:p w:rsidR="00F10B0D" w:rsidRPr="001B477C" w:rsidRDefault="00F10B0D" w:rsidP="00F10B0D">
            <w:pPr>
              <w:spacing w:after="72"/>
              <w:ind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</w:p>
          <w:p w:rsidR="00F10B0D" w:rsidRPr="001B477C" w:rsidRDefault="00F10B0D" w:rsidP="00F10B0D">
            <w:pPr>
              <w:spacing w:after="72"/>
              <w:ind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</w:p>
          <w:p w:rsidR="00F10B0D" w:rsidRPr="001B477C" w:rsidRDefault="00F10B0D" w:rsidP="00F10B0D">
            <w:pPr>
              <w:spacing w:after="72"/>
              <w:ind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</w:p>
        </w:tc>
      </w:tr>
      <w:tr w:rsidR="00F10B0D" w:rsidRPr="001B477C" w:rsidTr="00F10B0D">
        <w:tc>
          <w:tcPr>
            <w:tcW w:w="36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ind w:left="-108" w:right="-108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4860" w:type="dxa"/>
            <w:shd w:val="clear" w:color="auto" w:fill="F2F2F2" w:themeFill="background1" w:themeFillShade="F2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Source guideline(s)</w:t>
            </w:r>
          </w:p>
        </w:tc>
        <w:tc>
          <w:tcPr>
            <w:tcW w:w="1080" w:type="dxa"/>
            <w:shd w:val="clear" w:color="auto" w:fill="F2F2F2" w:themeFill="background1" w:themeFillShade="F2"/>
          </w:tcPr>
          <w:p w:rsidR="00F10B0D" w:rsidRPr="001B477C" w:rsidRDefault="00F10B0D" w:rsidP="000118CF">
            <w:pPr>
              <w:ind w:left="72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198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</w:tr>
      <w:tr w:rsidR="00F10B0D" w:rsidRPr="001B477C" w:rsidTr="00F10B0D">
        <w:tc>
          <w:tcPr>
            <w:tcW w:w="360" w:type="dxa"/>
            <w:shd w:val="clear" w:color="auto" w:fill="FFFFFF" w:themeFill="background1"/>
          </w:tcPr>
          <w:p w:rsidR="00F10B0D" w:rsidRPr="001B477C" w:rsidRDefault="00F10B0D" w:rsidP="00F10B0D">
            <w:pPr>
              <w:ind w:left="-108" w:right="-108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  <w:p w:rsidR="00F10B0D" w:rsidRPr="001B477C" w:rsidRDefault="00F10B0D" w:rsidP="00F10B0D">
            <w:pPr>
              <w:ind w:left="-108" w:right="-108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 16</w:t>
            </w:r>
          </w:p>
        </w:tc>
        <w:tc>
          <w:tcPr>
            <w:tcW w:w="4860" w:type="dxa"/>
            <w:shd w:val="clear" w:color="auto" w:fill="FFFFFF" w:themeFill="background1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Describe how the specific source guideline(s) was (were) selected.</w:t>
            </w:r>
          </w:p>
        </w:tc>
        <w:tc>
          <w:tcPr>
            <w:tcW w:w="1080" w:type="dxa"/>
          </w:tcPr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  <w:highlight w:val="yellow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  <w:highlight w:val="yellow"/>
              </w:rPr>
              <w:t>Yes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No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Unclear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spacing w:after="30"/>
              <w:ind w:left="108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22 (Scope </w:t>
            </w:r>
          </w:p>
          <w:p w:rsidR="00F10B0D" w:rsidRPr="001B477C" w:rsidRDefault="00F10B0D" w:rsidP="00F10B0D">
            <w:pPr>
              <w:spacing w:after="28"/>
              <w:ind w:left="108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Purpose) </w:t>
            </w:r>
          </w:p>
          <w:p w:rsidR="00F10B0D" w:rsidRPr="001B477C" w:rsidRDefault="00F10B0D" w:rsidP="00F10B0D">
            <w:pPr>
              <w:spacing w:after="27" w:line="250" w:lineRule="auto"/>
              <w:ind w:left="108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96 (inclusion &amp; exclusion criteria) </w:t>
            </w:r>
          </w:p>
          <w:p w:rsidR="00F10B0D" w:rsidRPr="001B477C" w:rsidRDefault="00F10B0D" w:rsidP="00F10B0D">
            <w:pPr>
              <w:spacing w:after="72"/>
              <w:ind w:left="108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104(appraisal)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numPr>
                <w:ilvl w:val="0"/>
                <w:numId w:val="26"/>
              </w:numPr>
              <w:tabs>
                <w:tab w:val="left" w:pos="252"/>
              </w:tabs>
              <w:spacing w:after="29" w:line="249" w:lineRule="auto"/>
              <w:ind w:right="-15" w:hanging="18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Selection criteria in appendix (methodology documents.</w:t>
            </w:r>
          </w:p>
          <w:p w:rsidR="00F10B0D" w:rsidRPr="001B477C" w:rsidRDefault="00F10B0D" w:rsidP="00F10B0D">
            <w:pPr>
              <w:tabs>
                <w:tab w:val="left" w:pos="252"/>
              </w:tabs>
              <w:spacing w:after="29" w:line="249" w:lineRule="auto"/>
              <w:ind w:right="103" w:hanging="18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 - AGREE PLUSS </w:t>
            </w:r>
          </w:p>
          <w:p w:rsidR="00F10B0D" w:rsidRPr="001B477C" w:rsidRDefault="00F10B0D" w:rsidP="00F10B0D">
            <w:pPr>
              <w:spacing w:after="28"/>
              <w:ind w:right="-15" w:hanging="18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Critical appraisal  </w:t>
            </w:r>
          </w:p>
          <w:p w:rsidR="00F10B0D" w:rsidRPr="001B477C" w:rsidRDefault="00F10B0D" w:rsidP="00F10B0D">
            <w:pPr>
              <w:spacing w:after="27" w:line="250" w:lineRule="auto"/>
              <w:ind w:right="78" w:hanging="18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Documents in CPG &amp; article appendix. </w:t>
            </w:r>
          </w:p>
        </w:tc>
      </w:tr>
      <w:tr w:rsidR="00F10B0D" w:rsidRPr="001B477C" w:rsidTr="00F10B0D">
        <w:tc>
          <w:tcPr>
            <w:tcW w:w="36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ind w:left="-108" w:right="-108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4860" w:type="dxa"/>
            <w:shd w:val="clear" w:color="auto" w:fill="F2F2F2" w:themeFill="background1" w:themeFillShade="F2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Key questions</w:t>
            </w:r>
          </w:p>
        </w:tc>
        <w:tc>
          <w:tcPr>
            <w:tcW w:w="1080" w:type="dxa"/>
            <w:shd w:val="clear" w:color="auto" w:fill="F2F2F2" w:themeFill="background1" w:themeFillShade="F2"/>
          </w:tcPr>
          <w:p w:rsidR="00F10B0D" w:rsidRPr="001B477C" w:rsidRDefault="00F10B0D" w:rsidP="000118CF">
            <w:pPr>
              <w:ind w:left="72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198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</w:tr>
      <w:tr w:rsidR="00F10B0D" w:rsidRPr="001B477C" w:rsidTr="00F10B0D">
        <w:tc>
          <w:tcPr>
            <w:tcW w:w="360" w:type="dxa"/>
            <w:shd w:val="clear" w:color="auto" w:fill="FFFFFF" w:themeFill="background1"/>
          </w:tcPr>
          <w:p w:rsidR="00F10B0D" w:rsidRPr="001B477C" w:rsidRDefault="00F10B0D" w:rsidP="00F10B0D">
            <w:pPr>
              <w:ind w:left="-108" w:right="-108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 </w:t>
            </w:r>
          </w:p>
          <w:p w:rsidR="00F10B0D" w:rsidRPr="001B477C" w:rsidRDefault="00F10B0D" w:rsidP="00F10B0D">
            <w:pPr>
              <w:ind w:left="-108" w:right="-108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 17</w:t>
            </w:r>
          </w:p>
        </w:tc>
        <w:tc>
          <w:tcPr>
            <w:tcW w:w="4860" w:type="dxa"/>
            <w:shd w:val="clear" w:color="auto" w:fill="FFFFFF" w:themeFill="background1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State the key questions of the adapted guideline using a structured format, such as PICO (population, intervention, comparator, and outcome), or another format as appropriate</w:t>
            </w:r>
          </w:p>
        </w:tc>
        <w:tc>
          <w:tcPr>
            <w:tcW w:w="1080" w:type="dxa"/>
          </w:tcPr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  <w:highlight w:val="yellow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  <w:highlight w:val="yellow"/>
              </w:rPr>
              <w:t>Yes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No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Unclear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spacing w:after="30"/>
              <w:ind w:left="108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22-24 </w:t>
            </w:r>
          </w:p>
          <w:p w:rsidR="00F10B0D" w:rsidRPr="001B477C" w:rsidRDefault="00F10B0D" w:rsidP="00F10B0D">
            <w:pPr>
              <w:spacing w:after="72"/>
              <w:ind w:left="108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96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spacing w:after="30"/>
              <w:ind w:left="108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Quest p22 </w:t>
            </w:r>
          </w:p>
          <w:p w:rsidR="00F10B0D" w:rsidRPr="001B477C" w:rsidRDefault="00F10B0D" w:rsidP="00F10B0D">
            <w:pPr>
              <w:spacing w:after="28"/>
              <w:ind w:left="108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PIPOH Format p 22 </w:t>
            </w:r>
          </w:p>
        </w:tc>
      </w:tr>
      <w:tr w:rsidR="00F10B0D" w:rsidRPr="001B477C" w:rsidTr="00F10B0D">
        <w:trPr>
          <w:trHeight w:val="512"/>
        </w:trPr>
        <w:tc>
          <w:tcPr>
            <w:tcW w:w="360" w:type="dxa"/>
            <w:shd w:val="clear" w:color="auto" w:fill="FFFFFF" w:themeFill="background1"/>
          </w:tcPr>
          <w:p w:rsidR="00F10B0D" w:rsidRPr="001B477C" w:rsidRDefault="00F10B0D" w:rsidP="00F10B0D">
            <w:pPr>
              <w:ind w:left="-108" w:right="-108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 18</w:t>
            </w:r>
          </w:p>
        </w:tc>
        <w:tc>
          <w:tcPr>
            <w:tcW w:w="4860" w:type="dxa"/>
            <w:shd w:val="clear" w:color="auto" w:fill="FFFFFF" w:themeFill="background1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Describe how the key questions were developed/modified, and/or prioritized.</w:t>
            </w:r>
          </w:p>
        </w:tc>
        <w:tc>
          <w:tcPr>
            <w:tcW w:w="1080" w:type="dxa"/>
          </w:tcPr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  <w:highlight w:val="yellow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  <w:highlight w:val="yellow"/>
              </w:rPr>
              <w:t>Yes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No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Unclear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spacing w:after="30"/>
              <w:ind w:left="108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22-24 </w:t>
            </w:r>
          </w:p>
          <w:p w:rsidR="00F10B0D" w:rsidRPr="001B477C" w:rsidRDefault="00F10B0D" w:rsidP="00F10B0D">
            <w:pPr>
              <w:spacing w:after="72"/>
              <w:ind w:left="108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96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spacing w:after="30"/>
              <w:ind w:left="108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Quest p22 </w:t>
            </w:r>
          </w:p>
          <w:p w:rsidR="00F10B0D" w:rsidRPr="001B477C" w:rsidRDefault="00F10B0D" w:rsidP="00F10B0D">
            <w:pPr>
              <w:spacing w:after="30"/>
              <w:ind w:left="108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 </w:t>
            </w:r>
          </w:p>
          <w:p w:rsidR="00F10B0D" w:rsidRPr="001B477C" w:rsidRDefault="00F10B0D" w:rsidP="00F10B0D">
            <w:pPr>
              <w:spacing w:after="28"/>
              <w:ind w:left="108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PIPOH Format p 22 </w:t>
            </w:r>
          </w:p>
        </w:tc>
      </w:tr>
      <w:tr w:rsidR="00F10B0D" w:rsidRPr="001B477C" w:rsidTr="00F10B0D">
        <w:trPr>
          <w:trHeight w:val="233"/>
        </w:trPr>
        <w:tc>
          <w:tcPr>
            <w:tcW w:w="36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ind w:left="-108" w:right="-108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4860" w:type="dxa"/>
            <w:shd w:val="clear" w:color="auto" w:fill="F2F2F2" w:themeFill="background1" w:themeFillShade="F2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Source recommendation(s)</w:t>
            </w:r>
          </w:p>
        </w:tc>
        <w:tc>
          <w:tcPr>
            <w:tcW w:w="1080" w:type="dxa"/>
            <w:shd w:val="clear" w:color="auto" w:fill="F2F2F2" w:themeFill="background1" w:themeFillShade="F2"/>
          </w:tcPr>
          <w:p w:rsidR="00F10B0D" w:rsidRPr="001B477C" w:rsidRDefault="00F10B0D" w:rsidP="000118CF">
            <w:pPr>
              <w:ind w:left="72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spacing w:after="72"/>
              <w:ind w:left="232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spacing w:after="72"/>
              <w:ind w:left="232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</w:p>
        </w:tc>
      </w:tr>
      <w:tr w:rsidR="00F10B0D" w:rsidRPr="001B477C" w:rsidTr="00F10B0D">
        <w:trPr>
          <w:trHeight w:val="890"/>
        </w:trPr>
        <w:tc>
          <w:tcPr>
            <w:tcW w:w="360" w:type="dxa"/>
            <w:shd w:val="clear" w:color="auto" w:fill="FFFFFF" w:themeFill="background1"/>
          </w:tcPr>
          <w:p w:rsidR="00F10B0D" w:rsidRPr="001B477C" w:rsidRDefault="00F10B0D" w:rsidP="00F10B0D">
            <w:pPr>
              <w:ind w:left="-108" w:right="-108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 </w:t>
            </w:r>
          </w:p>
          <w:p w:rsidR="00F10B0D" w:rsidRPr="001B477C" w:rsidRDefault="00F10B0D" w:rsidP="00F10B0D">
            <w:pPr>
              <w:ind w:left="-108" w:right="-108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 19</w:t>
            </w:r>
          </w:p>
        </w:tc>
        <w:tc>
          <w:tcPr>
            <w:tcW w:w="4860" w:type="dxa"/>
            <w:shd w:val="clear" w:color="auto" w:fill="FFFFFF" w:themeFill="background1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Describe how the recommendation(s) from the source guideline(s) was (were) assessed with respect to the evidence considered for the different criteria, the judgments and considerations made by the original panel.</w:t>
            </w:r>
          </w:p>
        </w:tc>
        <w:tc>
          <w:tcPr>
            <w:tcW w:w="1080" w:type="dxa"/>
          </w:tcPr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  <w:highlight w:val="yellow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  <w:highlight w:val="yellow"/>
              </w:rPr>
              <w:t>Yes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No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Unclear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spacing w:after="30"/>
              <w:ind w:left="108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22-24 </w:t>
            </w:r>
          </w:p>
          <w:p w:rsidR="00F10B0D" w:rsidRPr="001B477C" w:rsidRDefault="00F10B0D" w:rsidP="00F10B0D">
            <w:pPr>
              <w:spacing w:after="31"/>
              <w:ind w:left="108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 </w:t>
            </w:r>
          </w:p>
          <w:p w:rsidR="00F10B0D" w:rsidRPr="001B477C" w:rsidRDefault="00F10B0D" w:rsidP="00F10B0D">
            <w:pPr>
              <w:spacing w:after="72"/>
              <w:ind w:left="108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96-100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spacing w:after="72"/>
              <w:ind w:left="108" w:right="11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Methodology adaptation steps in appendix steps </w:t>
            </w:r>
          </w:p>
        </w:tc>
      </w:tr>
      <w:tr w:rsidR="00F10B0D" w:rsidRPr="001B477C" w:rsidTr="00F10B0D">
        <w:trPr>
          <w:trHeight w:val="233"/>
        </w:trPr>
        <w:tc>
          <w:tcPr>
            <w:tcW w:w="36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ind w:left="-108" w:right="-108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4860" w:type="dxa"/>
            <w:shd w:val="clear" w:color="auto" w:fill="F2F2F2" w:themeFill="background1" w:themeFillShade="F2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Evidence synthesis</w:t>
            </w:r>
          </w:p>
        </w:tc>
        <w:tc>
          <w:tcPr>
            <w:tcW w:w="1080" w:type="dxa"/>
            <w:shd w:val="clear" w:color="auto" w:fill="F2F2F2" w:themeFill="background1" w:themeFillShade="F2"/>
          </w:tcPr>
          <w:p w:rsidR="00F10B0D" w:rsidRPr="001B477C" w:rsidRDefault="00F10B0D" w:rsidP="000118CF">
            <w:pPr>
              <w:ind w:left="72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198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</w:tr>
      <w:tr w:rsidR="00F10B0D" w:rsidRPr="001B477C" w:rsidTr="00F10B0D">
        <w:trPr>
          <w:trHeight w:val="4886"/>
        </w:trPr>
        <w:tc>
          <w:tcPr>
            <w:tcW w:w="360" w:type="dxa"/>
            <w:shd w:val="clear" w:color="auto" w:fill="FFFFFF" w:themeFill="background1"/>
          </w:tcPr>
          <w:p w:rsidR="00F10B0D" w:rsidRPr="001B477C" w:rsidRDefault="00F10B0D" w:rsidP="00F10B0D">
            <w:pPr>
              <w:ind w:left="-108" w:right="-108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  <w:p w:rsidR="00F10B0D" w:rsidRPr="001B477C" w:rsidRDefault="00F10B0D" w:rsidP="00F10B0D">
            <w:pPr>
              <w:ind w:left="-108" w:right="-108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 20</w:t>
            </w:r>
          </w:p>
        </w:tc>
        <w:tc>
          <w:tcPr>
            <w:tcW w:w="4860" w:type="dxa"/>
            <w:shd w:val="clear" w:color="auto" w:fill="FFFFFF" w:themeFill="background1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Indicate whether the adapted recommendation(s) is/are based on existing evidence from the source guideline(s), and/or additional evidence</w:t>
            </w:r>
          </w:p>
        </w:tc>
        <w:tc>
          <w:tcPr>
            <w:tcW w:w="1080" w:type="dxa"/>
          </w:tcPr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  <w:highlight w:val="yellow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  <w:highlight w:val="yellow"/>
              </w:rPr>
              <w:t>Yes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No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Unclear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spacing w:after="30"/>
              <w:ind w:left="108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-  96-99 </w:t>
            </w:r>
          </w:p>
          <w:p w:rsidR="00F10B0D" w:rsidRPr="001B477C" w:rsidRDefault="00F10B0D" w:rsidP="00F10B0D">
            <w:pPr>
              <w:spacing w:after="28"/>
              <w:ind w:left="108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(Methodology) </w:t>
            </w:r>
          </w:p>
          <w:p w:rsidR="00F10B0D" w:rsidRPr="001B477C" w:rsidRDefault="00F10B0D" w:rsidP="00F10B0D">
            <w:pPr>
              <w:spacing w:after="30"/>
              <w:ind w:left="108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FF0000"/>
                <w:sz w:val="18"/>
                <w:szCs w:val="18"/>
              </w:rPr>
              <w:t xml:space="preserve"> </w:t>
            </w:r>
          </w:p>
          <w:p w:rsidR="00F10B0D" w:rsidRPr="001B477C" w:rsidRDefault="00F10B0D" w:rsidP="00F10B0D">
            <w:pPr>
              <w:numPr>
                <w:ilvl w:val="0"/>
                <w:numId w:val="26"/>
              </w:numPr>
              <w:spacing w:after="30"/>
              <w:ind w:left="252" w:right="-15" w:hanging="18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80,81 (fig with </w:t>
            </w:r>
          </w:p>
          <w:p w:rsidR="00F10B0D" w:rsidRPr="001B477C" w:rsidRDefault="00F10B0D" w:rsidP="00F10B0D">
            <w:pPr>
              <w:spacing w:after="30"/>
              <w:ind w:left="72" w:right="-108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Graded evidence)  </w:t>
            </w:r>
          </w:p>
          <w:p w:rsidR="00F10B0D" w:rsidRPr="001B477C" w:rsidRDefault="00F10B0D" w:rsidP="00F10B0D">
            <w:pPr>
              <w:spacing w:after="28"/>
              <w:ind w:left="108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 </w:t>
            </w:r>
          </w:p>
          <w:p w:rsidR="00F10B0D" w:rsidRPr="001B477C" w:rsidRDefault="00F10B0D" w:rsidP="00F10B0D">
            <w:pPr>
              <w:spacing w:after="30"/>
              <w:ind w:left="108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 </w:t>
            </w:r>
          </w:p>
          <w:p w:rsidR="00F10B0D" w:rsidRPr="001B477C" w:rsidRDefault="00F10B0D" w:rsidP="00F10B0D">
            <w:pPr>
              <w:numPr>
                <w:ilvl w:val="0"/>
                <w:numId w:val="26"/>
              </w:numPr>
              <w:spacing w:after="72"/>
              <w:ind w:left="72" w:right="-108" w:hanging="9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 105-106 (Evidence grading for source Guidelines) </w:t>
            </w:r>
          </w:p>
          <w:p w:rsidR="00F10B0D" w:rsidRPr="001B477C" w:rsidRDefault="00F10B0D" w:rsidP="00F10B0D">
            <w:pPr>
              <w:ind w:left="108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sources) </w:t>
            </w:r>
          </w:p>
          <w:p w:rsidR="00F10B0D" w:rsidRPr="001B477C" w:rsidRDefault="00F10B0D" w:rsidP="00F10B0D">
            <w:pPr>
              <w:spacing w:after="30"/>
              <w:ind w:left="108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 </w:t>
            </w:r>
          </w:p>
          <w:p w:rsidR="00F10B0D" w:rsidRPr="001B477C" w:rsidRDefault="00F10B0D" w:rsidP="00F10B0D">
            <w:pPr>
              <w:spacing w:after="72"/>
              <w:ind w:left="108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 </w:t>
            </w:r>
          </w:p>
          <w:p w:rsidR="00F10B0D" w:rsidRPr="001B477C" w:rsidRDefault="00F10B0D" w:rsidP="00F10B0D">
            <w:pPr>
              <w:spacing w:after="30"/>
              <w:ind w:right="-15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</w:p>
          <w:p w:rsidR="00F10B0D" w:rsidRPr="001B477C" w:rsidRDefault="00F10B0D" w:rsidP="00F10B0D">
            <w:pPr>
              <w:numPr>
                <w:ilvl w:val="0"/>
                <w:numId w:val="26"/>
              </w:numPr>
              <w:spacing w:after="30"/>
              <w:ind w:left="252" w:right="-15" w:hanging="18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109 </w:t>
            </w:r>
          </w:p>
          <w:p w:rsidR="00F10B0D" w:rsidRPr="001B477C" w:rsidRDefault="00F10B0D" w:rsidP="00F10B0D">
            <w:pPr>
              <w:spacing w:after="30"/>
              <w:ind w:right="-15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(References </w:t>
            </w:r>
          </w:p>
          <w:p w:rsidR="00F10B0D" w:rsidRPr="001B477C" w:rsidRDefault="00F10B0D" w:rsidP="00F10B0D">
            <w:pPr>
              <w:spacing w:line="276" w:lineRule="auto"/>
              <w:ind w:left="108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list)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numPr>
                <w:ilvl w:val="0"/>
                <w:numId w:val="26"/>
              </w:numPr>
              <w:spacing w:after="30"/>
              <w:ind w:left="252" w:right="-15" w:hanging="154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Original </w:t>
            </w:r>
          </w:p>
          <w:p w:rsidR="00F10B0D" w:rsidRPr="001B477C" w:rsidRDefault="00F10B0D" w:rsidP="00F10B0D">
            <w:pPr>
              <w:spacing w:after="30"/>
              <w:ind w:left="108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Recommendations from the source CPGs with their relevant evidence were accepted. Evidence from source GL fig p 80, 81 </w:t>
            </w:r>
          </w:p>
          <w:p w:rsidR="00F10B0D" w:rsidRPr="001B477C" w:rsidRDefault="00F10B0D" w:rsidP="00F10B0D">
            <w:pPr>
              <w:spacing w:after="28"/>
              <w:ind w:left="108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 </w:t>
            </w:r>
          </w:p>
          <w:p w:rsidR="00F10B0D" w:rsidRPr="001B477C" w:rsidRDefault="00F10B0D" w:rsidP="00F10B0D">
            <w:pPr>
              <w:numPr>
                <w:ilvl w:val="0"/>
                <w:numId w:val="26"/>
              </w:numPr>
              <w:tabs>
                <w:tab w:val="left" w:pos="162"/>
              </w:tabs>
              <w:spacing w:after="72"/>
              <w:ind w:left="72" w:right="55" w:firstLine="4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Other sources for adapted modified statements or good practice points considering </w:t>
            </w:r>
          </w:p>
          <w:p w:rsidR="00F10B0D" w:rsidRPr="001B477C" w:rsidRDefault="00F10B0D" w:rsidP="00F10B0D">
            <w:pPr>
              <w:tabs>
                <w:tab w:val="left" w:pos="162"/>
              </w:tabs>
              <w:ind w:left="72" w:right="-15" w:firstLine="4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proofErr w:type="gramStart"/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evidence</w:t>
            </w:r>
            <w:proofErr w:type="gramEnd"/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 grade and level.  </w:t>
            </w:r>
          </w:p>
          <w:p w:rsidR="00F10B0D" w:rsidRPr="001B477C" w:rsidRDefault="00F10B0D" w:rsidP="00F10B0D">
            <w:pPr>
              <w:spacing w:after="29" w:line="250" w:lineRule="auto"/>
              <w:ind w:left="108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-References are listed in reference </w:t>
            </w:r>
          </w:p>
          <w:p w:rsidR="00F10B0D" w:rsidRPr="001B477C" w:rsidRDefault="00F10B0D" w:rsidP="00F10B0D">
            <w:pPr>
              <w:spacing w:after="28"/>
              <w:ind w:left="108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proofErr w:type="gramStart"/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list</w:t>
            </w:r>
            <w:proofErr w:type="gramEnd"/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. p 109 </w:t>
            </w:r>
          </w:p>
        </w:tc>
      </w:tr>
      <w:tr w:rsidR="00F10B0D" w:rsidRPr="001B477C" w:rsidTr="00F10B0D">
        <w:tc>
          <w:tcPr>
            <w:tcW w:w="360" w:type="dxa"/>
            <w:shd w:val="clear" w:color="auto" w:fill="FFFFFF" w:themeFill="background1"/>
          </w:tcPr>
          <w:p w:rsidR="00F10B0D" w:rsidRPr="001B477C" w:rsidRDefault="00F10B0D" w:rsidP="00F10B0D">
            <w:pPr>
              <w:ind w:left="-108" w:right="-108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 21</w:t>
            </w:r>
          </w:p>
        </w:tc>
        <w:tc>
          <w:tcPr>
            <w:tcW w:w="4860" w:type="dxa"/>
            <w:shd w:val="clear" w:color="auto" w:fill="FFFFFF" w:themeFill="background1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If new research evidence was used, describe how it was identified and assessed.</w:t>
            </w:r>
          </w:p>
        </w:tc>
        <w:tc>
          <w:tcPr>
            <w:tcW w:w="1080" w:type="dxa"/>
          </w:tcPr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  <w:highlight w:val="yellow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  <w:highlight w:val="yellow"/>
              </w:rPr>
              <w:t>Yes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No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Unclear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ind w:left="108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 </w:t>
            </w:r>
          </w:p>
          <w:p w:rsidR="00F10B0D" w:rsidRPr="001B477C" w:rsidRDefault="00F10B0D" w:rsidP="00F10B0D">
            <w:pPr>
              <w:ind w:left="108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109 </w:t>
            </w:r>
          </w:p>
          <w:p w:rsidR="00F10B0D" w:rsidRPr="001B477C" w:rsidRDefault="00F10B0D" w:rsidP="00F10B0D">
            <w:pPr>
              <w:ind w:left="108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 </w:t>
            </w:r>
          </w:p>
          <w:p w:rsidR="00F10B0D" w:rsidRPr="001B477C" w:rsidRDefault="00F10B0D" w:rsidP="00F10B0D">
            <w:pPr>
              <w:ind w:left="108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 </w:t>
            </w:r>
          </w:p>
          <w:p w:rsidR="00F10B0D" w:rsidRPr="001B477C" w:rsidRDefault="00F10B0D" w:rsidP="00F10B0D">
            <w:pPr>
              <w:ind w:left="108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 </w:t>
            </w:r>
          </w:p>
          <w:p w:rsidR="00F10B0D" w:rsidRPr="001B477C" w:rsidRDefault="00F10B0D" w:rsidP="00F10B0D">
            <w:pPr>
              <w:ind w:left="108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 </w:t>
            </w:r>
          </w:p>
          <w:p w:rsidR="00F10B0D" w:rsidRPr="001B477C" w:rsidRDefault="00F10B0D" w:rsidP="00F10B0D">
            <w:pPr>
              <w:ind w:left="108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 </w:t>
            </w:r>
          </w:p>
          <w:p w:rsidR="00F10B0D" w:rsidRPr="001B477C" w:rsidRDefault="00F10B0D" w:rsidP="00F10B0D">
            <w:pPr>
              <w:ind w:left="108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 </w:t>
            </w:r>
          </w:p>
          <w:p w:rsidR="00F10B0D" w:rsidRPr="001B477C" w:rsidRDefault="00F10B0D" w:rsidP="00F10B0D">
            <w:pPr>
              <w:ind w:left="108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ind w:left="108" w:right="22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- Search in systematic reviews. </w:t>
            </w:r>
          </w:p>
          <w:p w:rsidR="00F10B0D" w:rsidRPr="001B477C" w:rsidRDefault="00F10B0D" w:rsidP="00F10B0D">
            <w:pPr>
              <w:ind w:left="108" w:right="8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- High quality EB de novo guidelines on the web </w:t>
            </w:r>
            <w:proofErr w:type="spellStart"/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eg</w:t>
            </w:r>
            <w:proofErr w:type="spellEnd"/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 Asian guidelines 2022. </w:t>
            </w:r>
            <w:proofErr w:type="gramStart"/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or</w:t>
            </w:r>
            <w:proofErr w:type="gramEnd"/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 KDIGO12.  </w:t>
            </w:r>
          </w:p>
          <w:p w:rsidR="00F10B0D" w:rsidRPr="001B477C" w:rsidRDefault="00F10B0D" w:rsidP="00F10B0D">
            <w:pPr>
              <w:ind w:left="108" w:right="8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  - Literature publications as Sub-Saharan </w:t>
            </w:r>
          </w:p>
          <w:p w:rsidR="00F10B0D" w:rsidRPr="001B477C" w:rsidRDefault="00F10B0D" w:rsidP="00F10B0D">
            <w:pPr>
              <w:ind w:left="108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Africa studies or Canadian commentary on KDIGO 12 (see </w:t>
            </w:r>
          </w:p>
          <w:p w:rsidR="00F10B0D" w:rsidRPr="001B477C" w:rsidRDefault="00F10B0D" w:rsidP="00F10B0D">
            <w:pPr>
              <w:ind w:left="108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article discussion),   All are Included in reference list and are freely downloadable </w:t>
            </w:r>
          </w:p>
          <w:p w:rsidR="00F10B0D" w:rsidRPr="001B477C" w:rsidRDefault="00F10B0D" w:rsidP="00F10B0D">
            <w:pPr>
              <w:ind w:left="108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proofErr w:type="gramStart"/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from</w:t>
            </w:r>
            <w:proofErr w:type="gramEnd"/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 their official sites clearly stated at the end in reference list.  </w:t>
            </w:r>
          </w:p>
        </w:tc>
      </w:tr>
      <w:tr w:rsidR="00F10B0D" w:rsidRPr="001B477C" w:rsidTr="00F10B0D">
        <w:trPr>
          <w:trHeight w:val="440"/>
        </w:trPr>
        <w:tc>
          <w:tcPr>
            <w:tcW w:w="36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ind w:left="-108" w:right="-108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4860" w:type="dxa"/>
            <w:shd w:val="clear" w:color="auto" w:fill="F2F2F2" w:themeFill="background1" w:themeFillShade="F2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Assessment of the certainty of the body of evidence and strength of recommendation</w:t>
            </w:r>
          </w:p>
        </w:tc>
        <w:tc>
          <w:tcPr>
            <w:tcW w:w="1080" w:type="dxa"/>
            <w:shd w:val="clear" w:color="auto" w:fill="F2F2F2" w:themeFill="background1" w:themeFillShade="F2"/>
          </w:tcPr>
          <w:p w:rsidR="00F10B0D" w:rsidRPr="001B477C" w:rsidRDefault="00F10B0D" w:rsidP="000118CF">
            <w:pPr>
              <w:ind w:left="72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198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</w:tr>
      <w:tr w:rsidR="00F10B0D" w:rsidRPr="001B477C" w:rsidTr="00F10B0D">
        <w:tc>
          <w:tcPr>
            <w:tcW w:w="360" w:type="dxa"/>
            <w:shd w:val="clear" w:color="auto" w:fill="FFFFFF" w:themeFill="background1"/>
          </w:tcPr>
          <w:p w:rsidR="00F10B0D" w:rsidRPr="001B477C" w:rsidRDefault="00F10B0D" w:rsidP="00F10B0D">
            <w:pPr>
              <w:ind w:left="-108" w:right="-108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 </w:t>
            </w:r>
          </w:p>
          <w:p w:rsidR="00F10B0D" w:rsidRPr="001B477C" w:rsidRDefault="00F10B0D" w:rsidP="00F10B0D">
            <w:pPr>
              <w:ind w:left="-108" w:right="-108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  </w:t>
            </w:r>
          </w:p>
          <w:p w:rsidR="00F10B0D" w:rsidRPr="001B477C" w:rsidRDefault="00F10B0D" w:rsidP="00F10B0D">
            <w:pPr>
              <w:ind w:right="-108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22</w:t>
            </w:r>
          </w:p>
        </w:tc>
        <w:tc>
          <w:tcPr>
            <w:tcW w:w="4860" w:type="dxa"/>
            <w:shd w:val="clear" w:color="auto" w:fill="FFFFFF" w:themeFill="background1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Describe the approach used to assess the certainty/quality of the body/</w:t>
            </w:r>
            <w:proofErr w:type="spellStart"/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ies</w:t>
            </w:r>
            <w:proofErr w:type="spellEnd"/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 of evidence and the strength of recommendations in the adapted guideline and note any differences (if applicable) compared to the source guideline(s).</w:t>
            </w:r>
          </w:p>
        </w:tc>
        <w:tc>
          <w:tcPr>
            <w:tcW w:w="1080" w:type="dxa"/>
          </w:tcPr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  <w:highlight w:val="yellow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  <w:highlight w:val="yellow"/>
              </w:rPr>
              <w:t>Yes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No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Unclear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ind w:left="108" w:right="-15" w:hanging="10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75 </w:t>
            </w:r>
          </w:p>
          <w:p w:rsidR="00F10B0D" w:rsidRPr="001B477C" w:rsidRDefault="00F10B0D" w:rsidP="00F10B0D">
            <w:pPr>
              <w:ind w:left="108" w:right="-15" w:hanging="10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(Methodology  steps)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ind w:right="42" w:hanging="10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Recommendation for Three source guidelines (diagnosis or treatment) may be different in some areas. </w:t>
            </w:r>
          </w:p>
          <w:p w:rsidR="00F10B0D" w:rsidRPr="001B477C" w:rsidRDefault="00F10B0D" w:rsidP="00F10B0D">
            <w:pPr>
              <w:ind w:left="108" w:right="-15" w:hanging="10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Therefore: </w:t>
            </w:r>
          </w:p>
          <w:p w:rsidR="00F10B0D" w:rsidRPr="001B477C" w:rsidRDefault="00F10B0D" w:rsidP="00F10B0D">
            <w:pPr>
              <w:numPr>
                <w:ilvl w:val="0"/>
                <w:numId w:val="26"/>
              </w:numPr>
              <w:spacing w:after="72"/>
              <w:ind w:left="162" w:right="69" w:hanging="90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EPG selection for which to choose was based on </w:t>
            </w:r>
            <w:proofErr w:type="spellStart"/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preappraised</w:t>
            </w:r>
            <w:proofErr w:type="spellEnd"/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 Certainty or evidence strength, availability and acceptability of intervention,  local limiting factors related to the health care </w:t>
            </w:r>
          </w:p>
        </w:tc>
      </w:tr>
      <w:tr w:rsidR="00F10B0D" w:rsidRPr="001B477C" w:rsidTr="00F10B0D">
        <w:tc>
          <w:tcPr>
            <w:tcW w:w="36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ind w:left="-108" w:right="-108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4860" w:type="dxa"/>
            <w:shd w:val="clear" w:color="auto" w:fill="F2F2F2" w:themeFill="background1" w:themeFillShade="F2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Decision-making processes</w:t>
            </w:r>
          </w:p>
        </w:tc>
        <w:tc>
          <w:tcPr>
            <w:tcW w:w="1080" w:type="dxa"/>
            <w:shd w:val="clear" w:color="auto" w:fill="F2F2F2" w:themeFill="background1" w:themeFillShade="F2"/>
          </w:tcPr>
          <w:p w:rsidR="00F10B0D" w:rsidRPr="001B477C" w:rsidRDefault="00F10B0D" w:rsidP="000118CF">
            <w:pPr>
              <w:ind w:left="72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198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</w:tr>
      <w:tr w:rsidR="00F10B0D" w:rsidRPr="001B477C" w:rsidTr="00F10B0D">
        <w:tc>
          <w:tcPr>
            <w:tcW w:w="360" w:type="dxa"/>
            <w:shd w:val="clear" w:color="auto" w:fill="FFFFFF" w:themeFill="background1"/>
          </w:tcPr>
          <w:p w:rsidR="00F10B0D" w:rsidRPr="001B477C" w:rsidRDefault="00F10B0D" w:rsidP="00F10B0D">
            <w:pPr>
              <w:ind w:left="-108" w:right="-108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lastRenderedPageBreak/>
              <w:t xml:space="preserve"> </w:t>
            </w:r>
          </w:p>
          <w:p w:rsidR="00F10B0D" w:rsidRPr="001B477C" w:rsidRDefault="00F10B0D" w:rsidP="00F10B0D">
            <w:pPr>
              <w:ind w:left="-108" w:right="-108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 23</w:t>
            </w:r>
          </w:p>
        </w:tc>
        <w:tc>
          <w:tcPr>
            <w:tcW w:w="4860" w:type="dxa"/>
            <w:shd w:val="clear" w:color="auto" w:fill="FFFFFF" w:themeFill="background1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Describe the processes used by the guideline adaptation group to make decisions, particularly the formulation of recommendations.</w:t>
            </w:r>
          </w:p>
        </w:tc>
        <w:tc>
          <w:tcPr>
            <w:tcW w:w="1080" w:type="dxa"/>
          </w:tcPr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  <w:highlight w:val="yellow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  <w:highlight w:val="yellow"/>
              </w:rPr>
              <w:t>Yes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No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Unclear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ind w:left="108" w:right="-15" w:hanging="10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75 ( Adaptation steps </w:t>
            </w:r>
          </w:p>
          <w:p w:rsidR="00F10B0D" w:rsidRPr="001B477C" w:rsidRDefault="00F10B0D" w:rsidP="00F10B0D">
            <w:pPr>
              <w:ind w:left="108" w:right="-15" w:hanging="10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/Methodology )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ind w:left="72" w:right="46" w:hanging="10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-We</w:t>
            </w: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  <w:u w:val="single" w:color="181717"/>
              </w:rPr>
              <w:t xml:space="preserve"> Adopted</w:t>
            </w: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 statements approved by the three CPGs that match disease profile in the Egyptian community and healthcare context </w:t>
            </w:r>
            <w:proofErr w:type="gramStart"/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and  Applicable</w:t>
            </w:r>
            <w:proofErr w:type="gramEnd"/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 in our health settings.  </w:t>
            </w:r>
          </w:p>
          <w:p w:rsidR="00F10B0D" w:rsidRPr="001B477C" w:rsidRDefault="00F10B0D" w:rsidP="00F10B0D">
            <w:pPr>
              <w:ind w:left="72" w:right="128" w:hanging="10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-We </w:t>
            </w: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  <w:u w:val="single" w:color="181717"/>
              </w:rPr>
              <w:t>adapted</w:t>
            </w: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 few to match disease profile in our community </w:t>
            </w:r>
            <w:proofErr w:type="spellStart"/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eg</w:t>
            </w:r>
            <w:proofErr w:type="spellEnd"/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  </w:t>
            </w:r>
          </w:p>
          <w:p w:rsidR="00F10B0D" w:rsidRPr="001B477C" w:rsidRDefault="00F10B0D" w:rsidP="00F10B0D">
            <w:pPr>
              <w:ind w:left="72" w:right="128" w:hanging="10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* High rate of consanguinity, infections. </w:t>
            </w:r>
          </w:p>
          <w:p w:rsidR="00F10B0D" w:rsidRPr="001B477C" w:rsidRDefault="00F10B0D" w:rsidP="00F10B0D">
            <w:pPr>
              <w:ind w:left="72" w:right="509" w:hanging="10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* Available facilities and expertise</w:t>
            </w:r>
          </w:p>
          <w:p w:rsidR="00F10B0D" w:rsidRPr="001B477C" w:rsidRDefault="00F10B0D" w:rsidP="00F10B0D">
            <w:pPr>
              <w:ind w:left="72" w:right="509" w:hanging="10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 * Drug costs  </w:t>
            </w:r>
          </w:p>
          <w:p w:rsidR="00F10B0D" w:rsidRPr="001B477C" w:rsidRDefault="00F10B0D" w:rsidP="00F10B0D">
            <w:pPr>
              <w:ind w:left="72" w:right="-15" w:hanging="10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*</w:t>
            </w:r>
            <w:proofErr w:type="spellStart"/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pt</w:t>
            </w:r>
            <w:proofErr w:type="spellEnd"/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 compliance  </w:t>
            </w:r>
          </w:p>
          <w:p w:rsidR="00F10B0D" w:rsidRPr="001B477C" w:rsidRDefault="00F10B0D" w:rsidP="00F10B0D">
            <w:pPr>
              <w:ind w:left="72" w:right="-15" w:hanging="10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*Local Health </w:t>
            </w:r>
          </w:p>
          <w:p w:rsidR="00F10B0D" w:rsidRPr="001B477C" w:rsidRDefault="00F10B0D" w:rsidP="00F10B0D">
            <w:pPr>
              <w:ind w:left="72" w:right="-15" w:hanging="10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system settings  </w:t>
            </w:r>
          </w:p>
          <w:p w:rsidR="00F10B0D" w:rsidRPr="001B477C" w:rsidRDefault="00F10B0D" w:rsidP="00F10B0D">
            <w:pPr>
              <w:ind w:left="72" w:right="-15" w:hanging="10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*Medical </w:t>
            </w:r>
          </w:p>
          <w:p w:rsidR="00F10B0D" w:rsidRDefault="00F10B0D" w:rsidP="00F10B0D">
            <w:pPr>
              <w:ind w:left="108" w:right="-15" w:hanging="10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insurance system  </w:t>
            </w:r>
          </w:p>
          <w:p w:rsidR="002C1FB9" w:rsidRDefault="002C1FB9" w:rsidP="00F10B0D">
            <w:pPr>
              <w:ind w:left="108" w:right="-15" w:hanging="10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  <w:p w:rsidR="002C1FB9" w:rsidRDefault="002C1FB9" w:rsidP="00F10B0D">
            <w:pPr>
              <w:ind w:left="108" w:right="-15" w:hanging="10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  <w:p w:rsidR="002C1FB9" w:rsidRDefault="002C1FB9" w:rsidP="00F10B0D">
            <w:pPr>
              <w:ind w:left="108" w:right="-15" w:hanging="10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  <w:p w:rsidR="002C1FB9" w:rsidRDefault="002C1FB9" w:rsidP="00F10B0D">
            <w:pPr>
              <w:ind w:left="108" w:right="-15" w:hanging="10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  <w:p w:rsidR="002C1FB9" w:rsidRDefault="002C1FB9" w:rsidP="00F10B0D">
            <w:pPr>
              <w:ind w:left="108" w:right="-15" w:hanging="10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  <w:p w:rsidR="002C1FB9" w:rsidRPr="001B477C" w:rsidRDefault="002C1FB9" w:rsidP="00F10B0D">
            <w:pPr>
              <w:ind w:left="108" w:right="-15" w:hanging="10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</w:p>
        </w:tc>
      </w:tr>
      <w:tr w:rsidR="00F10B0D" w:rsidRPr="001B477C" w:rsidTr="00F10B0D">
        <w:tc>
          <w:tcPr>
            <w:tcW w:w="360" w:type="dxa"/>
            <w:shd w:val="clear" w:color="auto" w:fill="BFBFBF" w:themeFill="background1" w:themeFillShade="BF"/>
          </w:tcPr>
          <w:p w:rsidR="00F10B0D" w:rsidRPr="001B477C" w:rsidRDefault="00F10B0D" w:rsidP="00F10B0D">
            <w:pPr>
              <w:ind w:left="-108" w:right="-108"/>
              <w:contextualSpacing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4860" w:type="dxa"/>
            <w:shd w:val="clear" w:color="auto" w:fill="BFBFBF" w:themeFill="background1" w:themeFillShade="BF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/>
              <w:contextualSpacing/>
              <w:rPr>
                <w:rFonts w:ascii="Times New Roman" w:eastAsia="Calibri" w:hAnsi="Times New Roman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sz w:val="18"/>
                <w:szCs w:val="18"/>
              </w:rPr>
              <w:t>Recommendations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:rsidR="00F10B0D" w:rsidRPr="001B477C" w:rsidRDefault="00F10B0D" w:rsidP="000118CF">
            <w:pPr>
              <w:ind w:left="72"/>
              <w:contextualSpacing/>
              <w:rPr>
                <w:rFonts w:ascii="Times New Roman" w:eastAsia="Calibri" w:hAnsi="Times New Roman"/>
                <w:color w:val="181717"/>
                <w:sz w:val="16"/>
                <w:szCs w:val="16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6"/>
                <w:szCs w:val="16"/>
              </w:rPr>
              <w:t xml:space="preserve">Assessment 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Pages 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Notes</w:t>
            </w:r>
          </w:p>
        </w:tc>
      </w:tr>
      <w:tr w:rsidR="00F10B0D" w:rsidRPr="001B477C" w:rsidTr="00F10B0D">
        <w:tc>
          <w:tcPr>
            <w:tcW w:w="36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ind w:left="-108" w:right="-108"/>
              <w:contextualSpacing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4860" w:type="dxa"/>
            <w:shd w:val="clear" w:color="auto" w:fill="F2F2F2" w:themeFill="background1" w:themeFillShade="F2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/>
              <w:contextualSpacing/>
              <w:rPr>
                <w:rFonts w:ascii="Times New Roman" w:eastAsia="Calibri" w:hAnsi="Times New Roman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sz w:val="18"/>
                <w:szCs w:val="18"/>
              </w:rPr>
              <w:t>Recommendations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:rsidR="00F10B0D" w:rsidRPr="001B477C" w:rsidRDefault="00F10B0D" w:rsidP="000118CF">
            <w:pPr>
              <w:ind w:left="72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1710" w:type="dxa"/>
            <w:shd w:val="clear" w:color="auto" w:fill="D9D9D9" w:themeFill="background1" w:themeFillShade="D9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1980" w:type="dxa"/>
            <w:shd w:val="clear" w:color="auto" w:fill="D9D9D9" w:themeFill="background1" w:themeFillShade="D9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</w:p>
        </w:tc>
      </w:tr>
      <w:tr w:rsidR="00F10B0D" w:rsidRPr="001B477C" w:rsidTr="00F10B0D">
        <w:trPr>
          <w:trHeight w:val="2411"/>
        </w:trPr>
        <w:tc>
          <w:tcPr>
            <w:tcW w:w="360" w:type="dxa"/>
            <w:shd w:val="clear" w:color="auto" w:fill="FFFFFF" w:themeFill="background1"/>
          </w:tcPr>
          <w:p w:rsidR="00F10B0D" w:rsidRPr="001B477C" w:rsidRDefault="00F10B0D" w:rsidP="00F10B0D">
            <w:pPr>
              <w:ind w:left="-108" w:right="-108"/>
              <w:contextualSpacing/>
              <w:rPr>
                <w:rFonts w:ascii="Times New Roman" w:eastAsia="Calibri" w:hAnsi="Times New Roman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sz w:val="18"/>
                <w:szCs w:val="18"/>
              </w:rPr>
              <w:t xml:space="preserve"> 24</w:t>
            </w:r>
          </w:p>
        </w:tc>
        <w:tc>
          <w:tcPr>
            <w:tcW w:w="4860" w:type="dxa"/>
            <w:shd w:val="clear" w:color="auto" w:fill="FFFFFF" w:themeFill="background1"/>
          </w:tcPr>
          <w:p w:rsidR="00F10B0D" w:rsidRPr="001B477C" w:rsidRDefault="00F10B0D" w:rsidP="000118CF">
            <w:pPr>
              <w:tabs>
                <w:tab w:val="left" w:pos="72"/>
                <w:tab w:val="left" w:pos="4572"/>
              </w:tabs>
              <w:ind w:left="72" w:right="162"/>
              <w:contextualSpacing/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Report recommendations and indicate whether they were adapted, adopted, or </w:t>
            </w:r>
            <w:r w:rsidRPr="001B477C">
              <w:rPr>
                <w:rFonts w:ascii="Times New Roman" w:eastAsia="Calibri" w:hAnsi="Times New Roman"/>
                <w:bCs/>
                <w:i/>
                <w:color w:val="181717"/>
                <w:sz w:val="18"/>
                <w:szCs w:val="18"/>
              </w:rPr>
              <w:t>de novo</w:t>
            </w: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.</w:t>
            </w:r>
          </w:p>
        </w:tc>
        <w:tc>
          <w:tcPr>
            <w:tcW w:w="1080" w:type="dxa"/>
          </w:tcPr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  <w:highlight w:val="yellow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  <w:highlight w:val="yellow"/>
              </w:rPr>
              <w:t>Yes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No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Unclear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ind w:left="108" w:right="-15" w:hanging="10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74-75 </w:t>
            </w:r>
          </w:p>
          <w:p w:rsidR="00F10B0D" w:rsidRPr="001B477C" w:rsidRDefault="00F10B0D" w:rsidP="00F10B0D">
            <w:pPr>
              <w:ind w:left="108" w:right="-15" w:hanging="10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24-33</w:t>
            </w:r>
          </w:p>
          <w:p w:rsidR="00F10B0D" w:rsidRPr="001B477C" w:rsidRDefault="00F10B0D" w:rsidP="00F10B0D">
            <w:pPr>
              <w:ind w:right="-108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(Recommendation statements )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ind w:left="108" w:right="-15" w:hanging="10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- Adopted from three source CPGs </w:t>
            </w:r>
          </w:p>
          <w:p w:rsidR="00F10B0D" w:rsidRPr="001B477C" w:rsidRDefault="00F10B0D" w:rsidP="00F10B0D">
            <w:pPr>
              <w:ind w:left="108" w:right="-15" w:hanging="10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- Added recommendation</w:t>
            </w:r>
          </w:p>
          <w:p w:rsidR="00F10B0D" w:rsidRPr="001B477C" w:rsidRDefault="00F10B0D" w:rsidP="00F10B0D">
            <w:pPr>
              <w:ind w:left="108" w:right="206" w:hanging="10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proofErr w:type="gramStart"/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s</w:t>
            </w:r>
            <w:proofErr w:type="gramEnd"/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 and practice points.  </w:t>
            </w:r>
          </w:p>
          <w:p w:rsidR="00F10B0D" w:rsidRPr="001B477C" w:rsidRDefault="00F10B0D" w:rsidP="00F10B0D">
            <w:pPr>
              <w:ind w:left="108" w:right="206" w:hanging="10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-Adapted modified statements with evidence or practice points. </w:t>
            </w:r>
          </w:p>
          <w:p w:rsidR="00F10B0D" w:rsidRPr="001B477C" w:rsidRDefault="00F10B0D" w:rsidP="00F10B0D">
            <w:pPr>
              <w:numPr>
                <w:ilvl w:val="0"/>
                <w:numId w:val="26"/>
              </w:numPr>
              <w:spacing w:after="72"/>
              <w:ind w:left="252" w:right="-15" w:hanging="180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See submission </w:t>
            </w:r>
          </w:p>
          <w:p w:rsidR="00F10B0D" w:rsidRPr="001B477C" w:rsidRDefault="00F10B0D" w:rsidP="00F10B0D">
            <w:pPr>
              <w:ind w:left="108" w:right="-15" w:hanging="10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article discussion  </w:t>
            </w:r>
          </w:p>
        </w:tc>
      </w:tr>
      <w:tr w:rsidR="00F10B0D" w:rsidRPr="001B477C" w:rsidTr="00F10B0D">
        <w:trPr>
          <w:trHeight w:val="170"/>
        </w:trPr>
        <w:tc>
          <w:tcPr>
            <w:tcW w:w="360" w:type="dxa"/>
            <w:shd w:val="clear" w:color="auto" w:fill="FFFFFF" w:themeFill="background1"/>
          </w:tcPr>
          <w:p w:rsidR="00F10B0D" w:rsidRPr="001B477C" w:rsidRDefault="00F10B0D" w:rsidP="00F10B0D">
            <w:pPr>
              <w:ind w:left="-108" w:right="-108"/>
              <w:contextualSpacing/>
              <w:rPr>
                <w:rFonts w:ascii="Times New Roman" w:eastAsia="Calibri" w:hAnsi="Times New Roman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sz w:val="18"/>
                <w:szCs w:val="18"/>
              </w:rPr>
              <w:t xml:space="preserve"> 25</w:t>
            </w:r>
          </w:p>
        </w:tc>
        <w:tc>
          <w:tcPr>
            <w:tcW w:w="4860" w:type="dxa"/>
            <w:shd w:val="clear" w:color="auto" w:fill="FFFFFF" w:themeFill="background1"/>
          </w:tcPr>
          <w:p w:rsidR="00F10B0D" w:rsidRPr="001B477C" w:rsidRDefault="00F10B0D" w:rsidP="000118CF">
            <w:pPr>
              <w:tabs>
                <w:tab w:val="left" w:pos="72"/>
                <w:tab w:val="left" w:pos="4572"/>
              </w:tabs>
              <w:ind w:left="72" w:right="162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Indicate the direction and strength of the recommendations and the certainty/quality of the supporting evidence and note any differences compared to the source recommendations(s) (if applicable).</w:t>
            </w:r>
          </w:p>
        </w:tc>
        <w:tc>
          <w:tcPr>
            <w:tcW w:w="1080" w:type="dxa"/>
          </w:tcPr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  <w:highlight w:val="yellow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  <w:highlight w:val="yellow"/>
              </w:rPr>
              <w:t>Yes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No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Unclear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ind w:left="108" w:right="-15" w:hanging="10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2433 </w:t>
            </w:r>
          </w:p>
          <w:p w:rsidR="00F10B0D" w:rsidRPr="001B477C" w:rsidRDefault="00F10B0D" w:rsidP="00F10B0D">
            <w:pPr>
              <w:ind w:hanging="10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(Recommendation statements , Rationale )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ind w:left="108" w:right="-15" w:hanging="10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- See submission article discussion. </w:t>
            </w:r>
          </w:p>
          <w:p w:rsidR="00F10B0D" w:rsidRPr="001B477C" w:rsidRDefault="00F10B0D" w:rsidP="00F10B0D">
            <w:pPr>
              <w:ind w:left="108" w:right="-15" w:hanging="10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-  See Rationale of recommendations at guideline /</w:t>
            </w:r>
          </w:p>
          <w:p w:rsidR="00F10B0D" w:rsidRPr="001B477C" w:rsidRDefault="00F10B0D" w:rsidP="00F10B0D">
            <w:pPr>
              <w:ind w:left="108" w:right="-15" w:hanging="10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proofErr w:type="gramStart"/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recommendations</w:t>
            </w:r>
            <w:proofErr w:type="gramEnd"/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. p24-33  </w:t>
            </w:r>
          </w:p>
        </w:tc>
      </w:tr>
      <w:tr w:rsidR="00F10B0D" w:rsidRPr="001B477C" w:rsidTr="00F10B0D">
        <w:trPr>
          <w:trHeight w:val="170"/>
        </w:trPr>
        <w:tc>
          <w:tcPr>
            <w:tcW w:w="360" w:type="dxa"/>
            <w:shd w:val="clear" w:color="auto" w:fill="FFFFFF" w:themeFill="background1"/>
          </w:tcPr>
          <w:p w:rsidR="00F10B0D" w:rsidRPr="001B477C" w:rsidRDefault="00F10B0D" w:rsidP="00F10B0D">
            <w:pPr>
              <w:ind w:left="-108" w:right="-108"/>
              <w:contextualSpacing/>
              <w:rPr>
                <w:rFonts w:ascii="Times New Roman" w:eastAsia="Calibri" w:hAnsi="Times New Roman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sz w:val="18"/>
                <w:szCs w:val="18"/>
              </w:rPr>
              <w:t xml:space="preserve"> 26</w:t>
            </w:r>
          </w:p>
        </w:tc>
        <w:tc>
          <w:tcPr>
            <w:tcW w:w="4860" w:type="dxa"/>
            <w:shd w:val="clear" w:color="auto" w:fill="FFFFFF" w:themeFill="background1"/>
          </w:tcPr>
          <w:p w:rsidR="00F10B0D" w:rsidRPr="001B477C" w:rsidRDefault="00F10B0D" w:rsidP="000118CF">
            <w:pPr>
              <w:tabs>
                <w:tab w:val="left" w:pos="72"/>
                <w:tab w:val="left" w:pos="4572"/>
              </w:tabs>
              <w:ind w:left="72" w:right="162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Present separate recommendations for important subgroups if the evidence suggests important differences in factors influencing recommendations and note any differences compared to the source recommendations(s) (if applicable).</w:t>
            </w:r>
          </w:p>
        </w:tc>
        <w:tc>
          <w:tcPr>
            <w:tcW w:w="1080" w:type="dxa"/>
          </w:tcPr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  <w:highlight w:val="yellow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  <w:highlight w:val="yellow"/>
              </w:rPr>
              <w:t>Yes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No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Unclear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ind w:left="108" w:right="-15" w:hanging="10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24-33 </w:t>
            </w:r>
          </w:p>
          <w:p w:rsidR="00F10B0D" w:rsidRPr="001B477C" w:rsidRDefault="00F10B0D" w:rsidP="00F10B0D">
            <w:pPr>
              <w:ind w:right="-15" w:hanging="10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(Recommendations statement, Rationale)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ind w:left="108" w:right="72" w:hanging="10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-See submission/ article discussion  </w:t>
            </w:r>
          </w:p>
          <w:p w:rsidR="00F10B0D" w:rsidRPr="001B477C" w:rsidRDefault="00F10B0D" w:rsidP="00F10B0D">
            <w:pPr>
              <w:ind w:left="108" w:right="72" w:hanging="10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-Rationale of </w:t>
            </w:r>
          </w:p>
          <w:p w:rsidR="00F10B0D" w:rsidRPr="001B477C" w:rsidRDefault="00F10B0D" w:rsidP="00F10B0D">
            <w:pPr>
              <w:ind w:left="108" w:right="-15" w:hanging="10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proofErr w:type="gramStart"/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recommendations</w:t>
            </w:r>
            <w:proofErr w:type="gramEnd"/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. </w:t>
            </w:r>
          </w:p>
          <w:p w:rsidR="00F10B0D" w:rsidRPr="001B477C" w:rsidRDefault="00F10B0D" w:rsidP="00F10B0D">
            <w:pPr>
              <w:ind w:left="108" w:right="-15" w:hanging="10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proofErr w:type="spellStart"/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eg</w:t>
            </w:r>
            <w:proofErr w:type="spellEnd"/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: First episode /FR/SD treatment  </w:t>
            </w:r>
          </w:p>
        </w:tc>
      </w:tr>
      <w:tr w:rsidR="00F10B0D" w:rsidRPr="001B477C" w:rsidTr="00F10B0D">
        <w:trPr>
          <w:trHeight w:val="170"/>
        </w:trPr>
        <w:tc>
          <w:tcPr>
            <w:tcW w:w="36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ind w:left="-108" w:right="-108"/>
              <w:contextualSpacing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4860" w:type="dxa"/>
            <w:shd w:val="clear" w:color="auto" w:fill="F2F2F2" w:themeFill="background1" w:themeFillShade="F2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Rationale/explanation for recommendations</w:t>
            </w:r>
          </w:p>
        </w:tc>
        <w:tc>
          <w:tcPr>
            <w:tcW w:w="1080" w:type="dxa"/>
            <w:shd w:val="clear" w:color="auto" w:fill="F2F2F2" w:themeFill="background1" w:themeFillShade="F2"/>
          </w:tcPr>
          <w:p w:rsidR="00F10B0D" w:rsidRPr="001B477C" w:rsidRDefault="00F10B0D" w:rsidP="000118CF">
            <w:pPr>
              <w:ind w:left="72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198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</w:p>
        </w:tc>
      </w:tr>
      <w:tr w:rsidR="00F10B0D" w:rsidRPr="001B477C" w:rsidTr="00F10B0D">
        <w:trPr>
          <w:trHeight w:val="170"/>
        </w:trPr>
        <w:tc>
          <w:tcPr>
            <w:tcW w:w="360" w:type="dxa"/>
            <w:shd w:val="clear" w:color="auto" w:fill="FFFFFF" w:themeFill="background1"/>
          </w:tcPr>
          <w:p w:rsidR="00F10B0D" w:rsidRPr="001B477C" w:rsidRDefault="00F10B0D" w:rsidP="00F10B0D">
            <w:pPr>
              <w:ind w:left="-108" w:right="-108"/>
              <w:contextualSpacing/>
              <w:rPr>
                <w:rFonts w:ascii="Times New Roman" w:eastAsia="Calibri" w:hAnsi="Times New Roman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sz w:val="18"/>
                <w:szCs w:val="18"/>
              </w:rPr>
              <w:t xml:space="preserve"> 27</w:t>
            </w:r>
          </w:p>
        </w:tc>
        <w:tc>
          <w:tcPr>
            <w:tcW w:w="4860" w:type="dxa"/>
            <w:shd w:val="clear" w:color="auto" w:fill="FFFFFF" w:themeFill="background1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Describe the criteria/factors that were considered to formulate the recommendations or note any relevant differences compared to the source guideline(s) (if applicable).</w:t>
            </w:r>
          </w:p>
        </w:tc>
        <w:tc>
          <w:tcPr>
            <w:tcW w:w="1080" w:type="dxa"/>
          </w:tcPr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Yes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No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Unclear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ind w:left="108" w:right="-15" w:hanging="10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24-33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numPr>
                <w:ilvl w:val="0"/>
                <w:numId w:val="26"/>
              </w:numPr>
              <w:tabs>
                <w:tab w:val="left" w:pos="247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Rationale of all </w:t>
            </w:r>
          </w:p>
          <w:p w:rsidR="00F10B0D" w:rsidRPr="001B477C" w:rsidRDefault="00F10B0D" w:rsidP="00F10B0D">
            <w:pPr>
              <w:tabs>
                <w:tab w:val="left" w:pos="247"/>
              </w:tabs>
              <w:ind w:left="72" w:right="-15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recommendations</w:t>
            </w:r>
          </w:p>
          <w:p w:rsidR="00F10B0D" w:rsidRPr="001B477C" w:rsidRDefault="00F10B0D" w:rsidP="00F10B0D">
            <w:pPr>
              <w:tabs>
                <w:tab w:val="left" w:pos="247"/>
              </w:tabs>
              <w:ind w:left="72" w:right="50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 </w:t>
            </w:r>
            <w:proofErr w:type="gramStart"/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is</w:t>
            </w:r>
            <w:proofErr w:type="gramEnd"/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 discussing such factors with each statement, to support stakeholder decision towards  Certain issues. </w:t>
            </w:r>
          </w:p>
        </w:tc>
      </w:tr>
      <w:tr w:rsidR="00F10B0D" w:rsidRPr="001B477C" w:rsidTr="00F10B0D">
        <w:trPr>
          <w:trHeight w:val="197"/>
        </w:trPr>
        <w:tc>
          <w:tcPr>
            <w:tcW w:w="360" w:type="dxa"/>
            <w:shd w:val="clear" w:color="auto" w:fill="BFBFBF" w:themeFill="background1" w:themeFillShade="BF"/>
          </w:tcPr>
          <w:p w:rsidR="00F10B0D" w:rsidRPr="001B477C" w:rsidRDefault="00F10B0D" w:rsidP="00F10B0D">
            <w:pPr>
              <w:ind w:left="-108" w:right="-108"/>
              <w:contextualSpacing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4860" w:type="dxa"/>
            <w:shd w:val="clear" w:color="auto" w:fill="BFBFBF" w:themeFill="background1" w:themeFillShade="BF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sz w:val="18"/>
                <w:szCs w:val="18"/>
              </w:rPr>
              <w:t>External review and quality assurance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:rsidR="00F10B0D" w:rsidRPr="001B477C" w:rsidRDefault="00F10B0D" w:rsidP="000118CF">
            <w:pPr>
              <w:ind w:left="72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1710" w:type="dxa"/>
            <w:shd w:val="clear" w:color="auto" w:fill="BFBFBF" w:themeFill="background1" w:themeFillShade="BF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1980" w:type="dxa"/>
            <w:shd w:val="clear" w:color="auto" w:fill="BFBFBF" w:themeFill="background1" w:themeFillShade="BF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</w:p>
        </w:tc>
      </w:tr>
      <w:tr w:rsidR="00F10B0D" w:rsidRPr="001B477C" w:rsidTr="00F10B0D">
        <w:trPr>
          <w:trHeight w:val="152"/>
        </w:trPr>
        <w:tc>
          <w:tcPr>
            <w:tcW w:w="36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ind w:left="-108" w:right="-108"/>
              <w:contextualSpacing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4860" w:type="dxa"/>
            <w:shd w:val="clear" w:color="auto" w:fill="F2F2F2" w:themeFill="background1" w:themeFillShade="F2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sz w:val="18"/>
                <w:szCs w:val="18"/>
              </w:rPr>
              <w:t>External review</w:t>
            </w:r>
          </w:p>
        </w:tc>
        <w:tc>
          <w:tcPr>
            <w:tcW w:w="1080" w:type="dxa"/>
            <w:shd w:val="clear" w:color="auto" w:fill="F2F2F2" w:themeFill="background1" w:themeFillShade="F2"/>
          </w:tcPr>
          <w:p w:rsidR="00F10B0D" w:rsidRPr="001B477C" w:rsidRDefault="00F10B0D" w:rsidP="000118CF">
            <w:pPr>
              <w:ind w:left="72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198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</w:p>
        </w:tc>
      </w:tr>
      <w:tr w:rsidR="00F10B0D" w:rsidRPr="001B477C" w:rsidTr="00F10B0D">
        <w:trPr>
          <w:trHeight w:val="170"/>
        </w:trPr>
        <w:tc>
          <w:tcPr>
            <w:tcW w:w="360" w:type="dxa"/>
            <w:shd w:val="clear" w:color="auto" w:fill="FFFFFF" w:themeFill="background1"/>
          </w:tcPr>
          <w:p w:rsidR="00F10B0D" w:rsidRPr="001B477C" w:rsidRDefault="00F10B0D" w:rsidP="00F10B0D">
            <w:pPr>
              <w:ind w:left="-108" w:right="-108"/>
              <w:contextualSpacing/>
              <w:rPr>
                <w:rFonts w:ascii="Times New Roman" w:eastAsia="Calibri" w:hAnsi="Times New Roman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sz w:val="18"/>
                <w:szCs w:val="18"/>
              </w:rPr>
              <w:t xml:space="preserve"> 28</w:t>
            </w:r>
          </w:p>
        </w:tc>
        <w:tc>
          <w:tcPr>
            <w:tcW w:w="4860" w:type="dxa"/>
            <w:shd w:val="clear" w:color="auto" w:fill="FFFFFF" w:themeFill="background1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Indicate whether the adapted guideline underwent an independent external review. If yes, describe the process.</w:t>
            </w:r>
          </w:p>
        </w:tc>
        <w:tc>
          <w:tcPr>
            <w:tcW w:w="1080" w:type="dxa"/>
          </w:tcPr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Yes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No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Unclear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ind w:left="115" w:right="-15" w:hanging="14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73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ind w:left="115" w:right="115" w:hanging="14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Local and international reviewers shared validation and finalization of the CPG full document. KDIGO assigned </w:t>
            </w:r>
            <w:proofErr w:type="spellStart"/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Dr</w:t>
            </w:r>
            <w:proofErr w:type="spellEnd"/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 Federica </w:t>
            </w:r>
            <w:proofErr w:type="spellStart"/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Zotta</w:t>
            </w:r>
            <w:proofErr w:type="spellEnd"/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 from Italy. 3 local professors of PN representing different universities who are known as    international figures   in PN. </w:t>
            </w:r>
          </w:p>
          <w:p w:rsidR="00F10B0D" w:rsidRPr="001B477C" w:rsidRDefault="00F10B0D" w:rsidP="00F10B0D">
            <w:pPr>
              <w:numPr>
                <w:ilvl w:val="0"/>
                <w:numId w:val="26"/>
              </w:numPr>
              <w:tabs>
                <w:tab w:val="left" w:pos="72"/>
                <w:tab w:val="left" w:pos="252"/>
              </w:tabs>
              <w:spacing w:after="72"/>
              <w:ind w:left="162" w:right="72" w:firstLine="0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Disclosure</w:t>
            </w:r>
          </w:p>
          <w:p w:rsidR="00F10B0D" w:rsidRPr="001B477C" w:rsidRDefault="00F10B0D" w:rsidP="00F10B0D">
            <w:pPr>
              <w:tabs>
                <w:tab w:val="left" w:pos="72"/>
                <w:tab w:val="left" w:pos="252"/>
              </w:tabs>
              <w:ind w:left="162" w:right="72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 documents are included in guideline </w:t>
            </w:r>
          </w:p>
          <w:p w:rsidR="00F10B0D" w:rsidRPr="001B477C" w:rsidRDefault="00F10B0D" w:rsidP="00F10B0D">
            <w:pPr>
              <w:tabs>
                <w:tab w:val="left" w:pos="72"/>
                <w:tab w:val="left" w:pos="252"/>
              </w:tabs>
              <w:ind w:left="162" w:right="72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appendix  </w:t>
            </w:r>
          </w:p>
          <w:p w:rsidR="00F10B0D" w:rsidRPr="001B477C" w:rsidRDefault="00F10B0D" w:rsidP="00F10B0D">
            <w:pPr>
              <w:ind w:left="115" w:right="28" w:hanging="14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-Interactive virtual meetings for focus group discussion of their comments   with attendance of all work group members.  </w:t>
            </w:r>
          </w:p>
          <w:p w:rsidR="00F10B0D" w:rsidRPr="001B477C" w:rsidRDefault="00F10B0D" w:rsidP="00F10B0D">
            <w:pPr>
              <w:ind w:left="115" w:right="-15" w:hanging="14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-Final draft included all reviewers’ comments.   </w:t>
            </w:r>
          </w:p>
          <w:p w:rsidR="00F10B0D" w:rsidRPr="001B477C" w:rsidRDefault="00F10B0D" w:rsidP="00F10B0D">
            <w:pPr>
              <w:ind w:left="115" w:right="-15" w:hanging="14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 -</w:t>
            </w:r>
            <w:proofErr w:type="spellStart"/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Dr</w:t>
            </w:r>
            <w:proofErr w:type="spellEnd"/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 </w:t>
            </w:r>
            <w:proofErr w:type="spellStart"/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Zotta</w:t>
            </w:r>
            <w:proofErr w:type="spellEnd"/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 revised two times and approved the final draft.  </w:t>
            </w:r>
          </w:p>
          <w:p w:rsidR="00F10B0D" w:rsidRPr="001B477C" w:rsidRDefault="00F10B0D" w:rsidP="00F10B0D">
            <w:pPr>
              <w:ind w:left="115" w:right="-15" w:hanging="14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-All documents for online zoom meetings are available at EPG secretarial office.  </w:t>
            </w:r>
          </w:p>
        </w:tc>
      </w:tr>
      <w:tr w:rsidR="00F10B0D" w:rsidRPr="001B477C" w:rsidTr="00F10B0D">
        <w:trPr>
          <w:trHeight w:val="170"/>
        </w:trPr>
        <w:tc>
          <w:tcPr>
            <w:tcW w:w="36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ind w:left="-108" w:right="-108"/>
              <w:contextualSpacing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4860" w:type="dxa"/>
            <w:shd w:val="clear" w:color="auto" w:fill="F2F2F2" w:themeFill="background1" w:themeFillShade="F2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Organizational approval</w:t>
            </w:r>
          </w:p>
        </w:tc>
        <w:tc>
          <w:tcPr>
            <w:tcW w:w="1080" w:type="dxa"/>
            <w:shd w:val="clear" w:color="auto" w:fill="F2F2F2" w:themeFill="background1" w:themeFillShade="F2"/>
          </w:tcPr>
          <w:p w:rsidR="00F10B0D" w:rsidRPr="001B477C" w:rsidRDefault="00F10B0D" w:rsidP="000118CF">
            <w:pPr>
              <w:ind w:left="72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198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</w:p>
        </w:tc>
      </w:tr>
      <w:tr w:rsidR="00F10B0D" w:rsidRPr="001B477C" w:rsidTr="00F10B0D">
        <w:trPr>
          <w:trHeight w:val="170"/>
        </w:trPr>
        <w:tc>
          <w:tcPr>
            <w:tcW w:w="360" w:type="dxa"/>
            <w:shd w:val="clear" w:color="auto" w:fill="FFFFFF" w:themeFill="background1"/>
          </w:tcPr>
          <w:p w:rsidR="00F10B0D" w:rsidRPr="001B477C" w:rsidRDefault="00F10B0D" w:rsidP="00F10B0D">
            <w:pPr>
              <w:ind w:left="-108" w:right="-108"/>
              <w:contextualSpacing/>
              <w:rPr>
                <w:rFonts w:ascii="Times New Roman" w:eastAsia="Calibri" w:hAnsi="Times New Roman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sz w:val="18"/>
                <w:szCs w:val="18"/>
              </w:rPr>
              <w:t xml:space="preserve"> 29</w:t>
            </w:r>
          </w:p>
        </w:tc>
        <w:tc>
          <w:tcPr>
            <w:tcW w:w="4860" w:type="dxa"/>
            <w:shd w:val="clear" w:color="auto" w:fill="FFFFFF" w:themeFill="background1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Indicate whether the adapted guideline obtained organizational approval. If yes, describe the process.</w:t>
            </w:r>
          </w:p>
        </w:tc>
        <w:tc>
          <w:tcPr>
            <w:tcW w:w="1080" w:type="dxa"/>
          </w:tcPr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  <w:highlight w:val="yellow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  <w:highlight w:val="yellow"/>
              </w:rPr>
              <w:t>Yes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No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Unclear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ind w:left="108" w:right="-15" w:hanging="10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ind w:left="115" w:right="65" w:hanging="10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Apart from our National objectives to improve </w:t>
            </w:r>
            <w:proofErr w:type="spellStart"/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pt</w:t>
            </w:r>
            <w:proofErr w:type="spellEnd"/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 care, </w:t>
            </w:r>
          </w:p>
          <w:p w:rsidR="00F10B0D" w:rsidRPr="001B477C" w:rsidRDefault="00F10B0D" w:rsidP="00F10B0D">
            <w:pPr>
              <w:ind w:left="115" w:right="65" w:hanging="10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we look for regional </w:t>
            </w:r>
          </w:p>
          <w:p w:rsidR="00F10B0D" w:rsidRPr="001B477C" w:rsidRDefault="00F10B0D" w:rsidP="00F10B0D">
            <w:pPr>
              <w:ind w:left="115" w:right="-15" w:hanging="10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dissemination in </w:t>
            </w:r>
          </w:p>
          <w:p w:rsidR="00F10B0D" w:rsidRPr="001B477C" w:rsidRDefault="00F10B0D" w:rsidP="00F10B0D">
            <w:pPr>
              <w:ind w:left="115" w:right="-15" w:hanging="10"/>
              <w:contextualSpacing/>
              <w:rPr>
                <w:rFonts w:ascii="Times New Roman" w:eastAsia="Calibri" w:hAnsi="Times New Roman"/>
                <w:b/>
                <w:color w:val="000000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Africa. our partnership with IPNA and KDIGO and hopefully readers of your journal will make </w:t>
            </w:r>
          </w:p>
          <w:p w:rsidR="00F10B0D" w:rsidRPr="001B477C" w:rsidRDefault="00F10B0D" w:rsidP="00F10B0D">
            <w:pPr>
              <w:ind w:left="115" w:right="77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proofErr w:type="gramStart"/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dissemination</w:t>
            </w:r>
            <w:proofErr w:type="gramEnd"/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 of recommendations more rewarding. </w:t>
            </w:r>
          </w:p>
          <w:p w:rsidR="00F10B0D" w:rsidRPr="001B477C" w:rsidRDefault="00F10B0D" w:rsidP="00F10B0D">
            <w:pPr>
              <w:ind w:left="115" w:right="77"/>
              <w:contextualSpacing/>
              <w:rPr>
                <w:rFonts w:ascii="Times New Roman" w:eastAsia="Calibri" w:hAnsi="Times New Roman"/>
                <w:b/>
                <w:color w:val="000000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-Adapted guidelines using high quality source CPGs are very promising for low or limited resource countries like Egypt. </w:t>
            </w:r>
          </w:p>
          <w:p w:rsidR="00F10B0D" w:rsidRPr="001B477C" w:rsidRDefault="00F10B0D" w:rsidP="00F10B0D">
            <w:pPr>
              <w:ind w:left="115"/>
              <w:contextualSpacing/>
              <w:rPr>
                <w:rFonts w:ascii="Times New Roman" w:eastAsia="Calibri" w:hAnsi="Times New Roman"/>
                <w:b/>
                <w:color w:val="000000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We obtained </w:t>
            </w:r>
          </w:p>
          <w:p w:rsidR="00F10B0D" w:rsidRPr="001B477C" w:rsidRDefault="00F10B0D" w:rsidP="00F10B0D">
            <w:pPr>
              <w:ind w:left="115" w:right="38"/>
              <w:contextualSpacing/>
              <w:rPr>
                <w:rFonts w:ascii="Times New Roman" w:eastAsia="Calibri" w:hAnsi="Times New Roman"/>
                <w:b/>
                <w:color w:val="000000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official approval and permission from source guidelines developer organization to adapt their CPGs to the Egyptian health care context via email </w:t>
            </w:r>
          </w:p>
          <w:p w:rsidR="00F10B0D" w:rsidRPr="001B477C" w:rsidRDefault="00F10B0D" w:rsidP="00F10B0D">
            <w:pPr>
              <w:ind w:left="115"/>
              <w:contextualSpacing/>
              <w:rPr>
                <w:rFonts w:ascii="Times New Roman" w:eastAsia="Calibri" w:hAnsi="Times New Roman"/>
                <w:b/>
                <w:color w:val="000000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communications,  </w:t>
            </w:r>
          </w:p>
        </w:tc>
      </w:tr>
      <w:tr w:rsidR="00F10B0D" w:rsidRPr="001B477C" w:rsidTr="00F10B0D">
        <w:trPr>
          <w:trHeight w:val="170"/>
        </w:trPr>
        <w:tc>
          <w:tcPr>
            <w:tcW w:w="360" w:type="dxa"/>
            <w:shd w:val="clear" w:color="auto" w:fill="BFBFBF" w:themeFill="background1" w:themeFillShade="BF"/>
          </w:tcPr>
          <w:p w:rsidR="00F10B0D" w:rsidRPr="001B477C" w:rsidRDefault="00F10B0D" w:rsidP="00F10B0D">
            <w:pPr>
              <w:ind w:left="-108" w:right="-288"/>
              <w:contextualSpacing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4860" w:type="dxa"/>
            <w:shd w:val="clear" w:color="auto" w:fill="BFBFBF" w:themeFill="background1" w:themeFillShade="BF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sz w:val="18"/>
                <w:szCs w:val="18"/>
              </w:rPr>
              <w:t>Funding, declaration, and management of interest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:rsidR="00F10B0D" w:rsidRPr="001B477C" w:rsidRDefault="00F10B0D" w:rsidP="000118CF">
            <w:pPr>
              <w:ind w:left="72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1710" w:type="dxa"/>
            <w:shd w:val="clear" w:color="auto" w:fill="BFBFBF" w:themeFill="background1" w:themeFillShade="BF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1980" w:type="dxa"/>
            <w:shd w:val="clear" w:color="auto" w:fill="BFBFBF" w:themeFill="background1" w:themeFillShade="BF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</w:p>
        </w:tc>
      </w:tr>
      <w:tr w:rsidR="00F10B0D" w:rsidRPr="001B477C" w:rsidTr="00F10B0D">
        <w:trPr>
          <w:trHeight w:val="197"/>
        </w:trPr>
        <w:tc>
          <w:tcPr>
            <w:tcW w:w="36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ind w:left="-108" w:right="-288"/>
              <w:contextualSpacing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4860" w:type="dxa"/>
            <w:shd w:val="clear" w:color="auto" w:fill="F2F2F2" w:themeFill="background1" w:themeFillShade="F2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/>
              <w:contextualSpacing/>
              <w:rPr>
                <w:rFonts w:ascii="Times New Roman" w:eastAsia="Calibri" w:hAnsi="Times New Roman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sz w:val="18"/>
                <w:szCs w:val="18"/>
              </w:rPr>
              <w:t>Funding source(s) and funder role(s)</w:t>
            </w:r>
          </w:p>
        </w:tc>
        <w:tc>
          <w:tcPr>
            <w:tcW w:w="1080" w:type="dxa"/>
            <w:shd w:val="clear" w:color="auto" w:fill="F2F2F2" w:themeFill="background1" w:themeFillShade="F2"/>
          </w:tcPr>
          <w:p w:rsidR="00F10B0D" w:rsidRPr="001B477C" w:rsidRDefault="00F10B0D" w:rsidP="000118CF">
            <w:pPr>
              <w:ind w:left="72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198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</w:p>
        </w:tc>
      </w:tr>
      <w:tr w:rsidR="00F10B0D" w:rsidRPr="001B477C" w:rsidTr="00F10B0D">
        <w:trPr>
          <w:trHeight w:val="170"/>
        </w:trPr>
        <w:tc>
          <w:tcPr>
            <w:tcW w:w="360" w:type="dxa"/>
            <w:shd w:val="clear" w:color="auto" w:fill="FFFFFF" w:themeFill="background1"/>
          </w:tcPr>
          <w:p w:rsidR="00F10B0D" w:rsidRPr="001B477C" w:rsidRDefault="00F10B0D" w:rsidP="00F10B0D">
            <w:pPr>
              <w:ind w:left="-108" w:right="-288"/>
              <w:contextualSpacing/>
              <w:rPr>
                <w:rFonts w:ascii="Times New Roman" w:eastAsia="Calibri" w:hAnsi="Times New Roman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sz w:val="18"/>
                <w:szCs w:val="18"/>
              </w:rPr>
              <w:t xml:space="preserve"> 30</w:t>
            </w:r>
          </w:p>
        </w:tc>
        <w:tc>
          <w:tcPr>
            <w:tcW w:w="4860" w:type="dxa"/>
            <w:shd w:val="clear" w:color="auto" w:fill="FFFFFF" w:themeFill="background1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/>
              <w:contextualSpacing/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Report all sources of funding for the adapted guideline and source guideline(s), and the role of the funders.</w:t>
            </w:r>
          </w:p>
        </w:tc>
        <w:tc>
          <w:tcPr>
            <w:tcW w:w="1080" w:type="dxa"/>
          </w:tcPr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  <w:highlight w:val="yellow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  <w:highlight w:val="yellow"/>
              </w:rPr>
              <w:t>Yes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No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Unclear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ind w:left="108" w:right="-15" w:hanging="10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108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ind w:left="108" w:right="-15" w:hanging="10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no funding  </w:t>
            </w:r>
          </w:p>
        </w:tc>
      </w:tr>
      <w:tr w:rsidR="00F10B0D" w:rsidRPr="001B477C" w:rsidTr="00F10B0D">
        <w:trPr>
          <w:trHeight w:val="170"/>
        </w:trPr>
        <w:tc>
          <w:tcPr>
            <w:tcW w:w="36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ind w:left="-108" w:right="-288"/>
              <w:contextualSpacing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4860" w:type="dxa"/>
            <w:shd w:val="clear" w:color="auto" w:fill="F2F2F2" w:themeFill="background1" w:themeFillShade="F2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Declaration and management of interests</w:t>
            </w:r>
          </w:p>
        </w:tc>
        <w:tc>
          <w:tcPr>
            <w:tcW w:w="1080" w:type="dxa"/>
            <w:shd w:val="clear" w:color="auto" w:fill="F2F2F2" w:themeFill="background1" w:themeFillShade="F2"/>
          </w:tcPr>
          <w:p w:rsidR="00F10B0D" w:rsidRPr="001B477C" w:rsidRDefault="00F10B0D" w:rsidP="000118CF">
            <w:pPr>
              <w:ind w:left="72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198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</w:p>
        </w:tc>
      </w:tr>
      <w:tr w:rsidR="00F10B0D" w:rsidRPr="001B477C" w:rsidTr="00F10B0D">
        <w:trPr>
          <w:trHeight w:val="170"/>
        </w:trPr>
        <w:tc>
          <w:tcPr>
            <w:tcW w:w="360" w:type="dxa"/>
            <w:shd w:val="clear" w:color="auto" w:fill="FFFFFF" w:themeFill="background1"/>
          </w:tcPr>
          <w:p w:rsidR="00F10B0D" w:rsidRPr="001B477C" w:rsidRDefault="00F10B0D" w:rsidP="00F10B0D">
            <w:pPr>
              <w:ind w:left="-108" w:right="-288"/>
              <w:contextualSpacing/>
              <w:rPr>
                <w:rFonts w:ascii="Times New Roman" w:eastAsia="Calibri" w:hAnsi="Times New Roman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sz w:val="18"/>
                <w:szCs w:val="18"/>
              </w:rPr>
              <w:t xml:space="preserve"> 31</w:t>
            </w:r>
          </w:p>
        </w:tc>
        <w:tc>
          <w:tcPr>
            <w:tcW w:w="4860" w:type="dxa"/>
            <w:shd w:val="clear" w:color="auto" w:fill="FFFFFF" w:themeFill="background1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Report all conflicts of interest of the adapted and the source guideline(s) panels, and how they were evaluated and managed.</w:t>
            </w:r>
          </w:p>
        </w:tc>
        <w:tc>
          <w:tcPr>
            <w:tcW w:w="1080" w:type="dxa"/>
          </w:tcPr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  <w:highlight w:val="yellow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  <w:highlight w:val="yellow"/>
              </w:rPr>
              <w:t>Yes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No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Unclear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ind w:left="108" w:right="-15" w:hanging="10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108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ind w:left="108" w:right="52" w:hanging="10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proofErr w:type="gramStart"/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no</w:t>
            </w:r>
            <w:proofErr w:type="gramEnd"/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 conflicts of interests for either adapted or source guidelines in this national adaptation project. All contributors are volunteering.  </w:t>
            </w:r>
          </w:p>
        </w:tc>
      </w:tr>
      <w:tr w:rsidR="00F10B0D" w:rsidRPr="001B477C" w:rsidTr="00F10B0D">
        <w:trPr>
          <w:trHeight w:val="170"/>
        </w:trPr>
        <w:tc>
          <w:tcPr>
            <w:tcW w:w="360" w:type="dxa"/>
            <w:shd w:val="clear" w:color="auto" w:fill="BFBFBF" w:themeFill="background1" w:themeFillShade="BF"/>
          </w:tcPr>
          <w:p w:rsidR="00F10B0D" w:rsidRPr="001B477C" w:rsidRDefault="00F10B0D" w:rsidP="00F10B0D">
            <w:pPr>
              <w:ind w:left="-108" w:right="-288"/>
              <w:contextualSpacing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4860" w:type="dxa"/>
            <w:shd w:val="clear" w:color="auto" w:fill="BFBFBF" w:themeFill="background1" w:themeFillShade="BF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Other information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:rsidR="00F10B0D" w:rsidRPr="001B477C" w:rsidRDefault="00F10B0D" w:rsidP="000118CF">
            <w:pPr>
              <w:ind w:left="72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1710" w:type="dxa"/>
            <w:shd w:val="clear" w:color="auto" w:fill="BFBFBF" w:themeFill="background1" w:themeFillShade="BF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1980" w:type="dxa"/>
            <w:shd w:val="clear" w:color="auto" w:fill="BFBFBF" w:themeFill="background1" w:themeFillShade="BF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</w:p>
        </w:tc>
      </w:tr>
      <w:tr w:rsidR="00F10B0D" w:rsidRPr="001B477C" w:rsidTr="00F10B0D">
        <w:trPr>
          <w:trHeight w:val="170"/>
        </w:trPr>
        <w:tc>
          <w:tcPr>
            <w:tcW w:w="36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ind w:left="-108" w:right="-288"/>
              <w:contextualSpacing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4860" w:type="dxa"/>
            <w:shd w:val="clear" w:color="auto" w:fill="F2F2F2" w:themeFill="background1" w:themeFillShade="F2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Implementation</w:t>
            </w:r>
          </w:p>
        </w:tc>
        <w:tc>
          <w:tcPr>
            <w:tcW w:w="1080" w:type="dxa"/>
            <w:shd w:val="clear" w:color="auto" w:fill="F2F2F2" w:themeFill="background1" w:themeFillShade="F2"/>
          </w:tcPr>
          <w:p w:rsidR="00F10B0D" w:rsidRPr="001B477C" w:rsidRDefault="00F10B0D" w:rsidP="000118CF">
            <w:pPr>
              <w:ind w:left="72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198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</w:p>
        </w:tc>
      </w:tr>
      <w:tr w:rsidR="00F10B0D" w:rsidRPr="001B477C" w:rsidTr="00F10B0D">
        <w:trPr>
          <w:trHeight w:val="170"/>
        </w:trPr>
        <w:tc>
          <w:tcPr>
            <w:tcW w:w="360" w:type="dxa"/>
            <w:shd w:val="clear" w:color="auto" w:fill="FFFFFF" w:themeFill="background1"/>
          </w:tcPr>
          <w:p w:rsidR="00F10B0D" w:rsidRPr="001B477C" w:rsidRDefault="00F10B0D" w:rsidP="00F10B0D">
            <w:pPr>
              <w:ind w:left="-108" w:right="-288"/>
              <w:contextualSpacing/>
              <w:rPr>
                <w:rFonts w:ascii="Times New Roman" w:eastAsia="Calibri" w:hAnsi="Times New Roman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sz w:val="18"/>
                <w:szCs w:val="18"/>
              </w:rPr>
              <w:t xml:space="preserve"> 32</w:t>
            </w:r>
          </w:p>
        </w:tc>
        <w:tc>
          <w:tcPr>
            <w:tcW w:w="4860" w:type="dxa"/>
            <w:shd w:val="clear" w:color="auto" w:fill="FFFFFF" w:themeFill="background1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Describe the potential barriers and strategies for implementing the recommendations (if applicable).</w:t>
            </w:r>
          </w:p>
        </w:tc>
        <w:tc>
          <w:tcPr>
            <w:tcW w:w="1080" w:type="dxa"/>
          </w:tcPr>
          <w:p w:rsidR="00F10B0D" w:rsidRPr="00442151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  <w:highlight w:val="yellow"/>
              </w:rPr>
            </w:pPr>
            <w:r w:rsidRPr="00442151">
              <w:rPr>
                <w:rFonts w:ascii="Times New Roman" w:eastAsia="Calibri" w:hAnsi="Times New Roman"/>
                <w:bCs/>
                <w:color w:val="181717"/>
                <w:sz w:val="18"/>
                <w:szCs w:val="18"/>
                <w:highlight w:val="yellow"/>
              </w:rPr>
              <w:t>Yes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No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Unclear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ind w:left="115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75-78 </w:t>
            </w:r>
          </w:p>
          <w:p w:rsidR="00F10B0D" w:rsidRPr="001B477C" w:rsidRDefault="00F10B0D" w:rsidP="00F10B0D">
            <w:pPr>
              <w:ind w:left="115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(implementation </w:t>
            </w:r>
          </w:p>
          <w:p w:rsidR="00F10B0D" w:rsidRPr="001B477C" w:rsidRDefault="00F10B0D" w:rsidP="00F10B0D">
            <w:pPr>
              <w:ind w:left="115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consideration)  </w:t>
            </w:r>
          </w:p>
          <w:p w:rsidR="00F10B0D" w:rsidRPr="001B477C" w:rsidRDefault="00F10B0D" w:rsidP="00F10B0D">
            <w:pPr>
              <w:ind w:left="115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</w:p>
          <w:p w:rsidR="00F10B0D" w:rsidRPr="001B477C" w:rsidRDefault="00F10B0D" w:rsidP="00F10B0D">
            <w:pPr>
              <w:ind w:left="115" w:right="-15" w:hanging="10"/>
              <w:contextualSpacing/>
              <w:rPr>
                <w:rFonts w:ascii="Times New Roman" w:eastAsia="Calibri" w:hAnsi="Times New Roman"/>
                <w:b/>
                <w:bCs/>
                <w:color w:val="000000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101-103 </w:t>
            </w:r>
          </w:p>
          <w:p w:rsidR="00F10B0D" w:rsidRPr="001B477C" w:rsidRDefault="00F10B0D" w:rsidP="00F10B0D">
            <w:pPr>
              <w:ind w:left="115"/>
              <w:contextualSpacing/>
              <w:rPr>
                <w:rFonts w:ascii="Times New Roman" w:eastAsia="Calibri" w:hAnsi="Times New Roman"/>
                <w:b/>
                <w:bCs/>
                <w:color w:val="000000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(Implementation </w:t>
            </w:r>
          </w:p>
          <w:p w:rsidR="00F10B0D" w:rsidRPr="001B477C" w:rsidRDefault="00F10B0D" w:rsidP="00F10B0D">
            <w:pPr>
              <w:ind w:left="115"/>
              <w:contextualSpacing/>
              <w:rPr>
                <w:rFonts w:ascii="Times New Roman" w:eastAsia="Calibri" w:hAnsi="Times New Roman"/>
                <w:b/>
                <w:bCs/>
                <w:color w:val="000000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strategy) </w:t>
            </w:r>
          </w:p>
          <w:p w:rsidR="00F10B0D" w:rsidRPr="001B477C" w:rsidRDefault="00F10B0D" w:rsidP="00F10B0D">
            <w:pPr>
              <w:ind w:left="115"/>
              <w:contextualSpacing/>
              <w:rPr>
                <w:rFonts w:ascii="Times New Roman" w:eastAsia="Calibri" w:hAnsi="Times New Roman"/>
                <w:b/>
                <w:bCs/>
                <w:color w:val="000000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 </w:t>
            </w:r>
          </w:p>
          <w:p w:rsidR="00F10B0D" w:rsidRPr="001B477C" w:rsidRDefault="00F10B0D" w:rsidP="00F10B0D">
            <w:pPr>
              <w:ind w:left="115"/>
              <w:contextualSpacing/>
              <w:rPr>
                <w:rFonts w:ascii="Times New Roman" w:eastAsia="Calibri" w:hAnsi="Times New Roman"/>
                <w:b/>
                <w:bCs/>
                <w:color w:val="000000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 </w:t>
            </w:r>
          </w:p>
          <w:p w:rsidR="00F10B0D" w:rsidRPr="001B477C" w:rsidRDefault="00F10B0D" w:rsidP="00F10B0D">
            <w:pPr>
              <w:ind w:left="115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100-103 </w:t>
            </w:r>
          </w:p>
          <w:p w:rsidR="00F10B0D" w:rsidRPr="001B477C" w:rsidRDefault="00F10B0D" w:rsidP="00F10B0D">
            <w:pPr>
              <w:ind w:left="115" w:right="-15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(</w:t>
            </w:r>
            <w:proofErr w:type="gramStart"/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where</w:t>
            </w:r>
            <w:proofErr w:type="gramEnd"/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 xml:space="preserve"> to refer?</w:t>
            </w:r>
          </w:p>
          <w:p w:rsidR="00F10B0D" w:rsidRPr="001B477C" w:rsidRDefault="00F10B0D" w:rsidP="00F10B0D">
            <w:pPr>
              <w:ind w:left="115" w:right="-15" w:hanging="10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ind w:left="115" w:right="-15" w:hanging="10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442151">
              <w:rPr>
                <w:rFonts w:ascii="Times New Roman" w:eastAsia="Calibri" w:hAnsi="Times New Roman"/>
                <w:color w:val="181717"/>
                <w:sz w:val="18"/>
                <w:szCs w:val="18"/>
                <w:highlight w:val="yellow"/>
              </w:rPr>
              <w:t>Potential barriers</w:t>
            </w: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 include: </w:t>
            </w:r>
          </w:p>
          <w:p w:rsidR="00F10B0D" w:rsidRPr="001B477C" w:rsidRDefault="00F10B0D" w:rsidP="00F10B0D">
            <w:pPr>
              <w:ind w:left="115" w:right="-15" w:hanging="10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- Limited resources  </w:t>
            </w:r>
          </w:p>
          <w:p w:rsidR="00F10B0D" w:rsidRPr="001B477C" w:rsidRDefault="00F10B0D" w:rsidP="00F10B0D">
            <w:pPr>
              <w:ind w:left="115" w:right="60" w:hanging="10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 - High-cost therapy </w:t>
            </w:r>
          </w:p>
          <w:p w:rsidR="00F10B0D" w:rsidRPr="001B477C" w:rsidRDefault="00F10B0D" w:rsidP="00F10B0D">
            <w:pPr>
              <w:ind w:left="108" w:right="121" w:hanging="10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 -poor medical insurance </w:t>
            </w:r>
          </w:p>
          <w:p w:rsidR="00F10B0D" w:rsidRPr="001B477C" w:rsidRDefault="00F10B0D" w:rsidP="00F10B0D">
            <w:pPr>
              <w:ind w:left="108" w:right="121" w:hanging="10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- Poor facilities and expertise in many areas especially rural areas.</w:t>
            </w:r>
          </w:p>
          <w:p w:rsidR="00F10B0D" w:rsidRPr="001B477C" w:rsidRDefault="00F10B0D" w:rsidP="00F10B0D">
            <w:pPr>
              <w:ind w:left="108" w:right="121" w:hanging="10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 - Referral to expert secondary and tertiary care settings is lagging in countryside rural areas. </w:t>
            </w:r>
          </w:p>
          <w:p w:rsidR="00F10B0D" w:rsidRPr="001B477C" w:rsidRDefault="00F10B0D" w:rsidP="00F10B0D">
            <w:pPr>
              <w:ind w:left="108" w:right="121" w:hanging="10"/>
              <w:contextualSpacing/>
              <w:rPr>
                <w:rFonts w:ascii="Times New Roman" w:eastAsia="Calibri" w:hAnsi="Times New Roman"/>
                <w:b/>
                <w:color w:val="000000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- Referral to pediatric nephrologist, Lab </w:t>
            </w:r>
          </w:p>
          <w:p w:rsidR="00F10B0D" w:rsidRPr="001B477C" w:rsidRDefault="00F10B0D" w:rsidP="00F10B0D">
            <w:pPr>
              <w:ind w:left="108" w:right="60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immunology, genetic tests are not always available … </w:t>
            </w:r>
          </w:p>
          <w:p w:rsidR="00F10B0D" w:rsidRPr="001B477C" w:rsidRDefault="00F10B0D" w:rsidP="00F10B0D">
            <w:pPr>
              <w:ind w:left="108" w:right="60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- </w:t>
            </w:r>
            <w:proofErr w:type="gramStart"/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poor</w:t>
            </w:r>
            <w:proofErr w:type="gramEnd"/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 infrastructure that hampers delivery of medicine to remote parts of the country. </w:t>
            </w:r>
          </w:p>
          <w:p w:rsidR="00F10B0D" w:rsidRPr="001B477C" w:rsidRDefault="00F10B0D" w:rsidP="00F10B0D">
            <w:pPr>
              <w:ind w:left="108" w:right="60"/>
              <w:contextualSpacing/>
              <w:rPr>
                <w:rFonts w:ascii="Times New Roman" w:eastAsia="Calibri" w:hAnsi="Times New Roman"/>
                <w:b/>
                <w:color w:val="000000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- cultural factors with patient and doctor reluctance to use guidelines in some areas, </w:t>
            </w:r>
          </w:p>
          <w:p w:rsidR="00F10B0D" w:rsidRPr="001B477C" w:rsidRDefault="00F10B0D" w:rsidP="00F10B0D">
            <w:pPr>
              <w:ind w:left="108"/>
              <w:contextualSpacing/>
              <w:rPr>
                <w:rFonts w:ascii="Times New Roman" w:eastAsia="Calibri" w:hAnsi="Times New Roman"/>
                <w:b/>
                <w:color w:val="000000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FF0000"/>
                <w:sz w:val="18"/>
                <w:szCs w:val="18"/>
              </w:rPr>
              <w:t>Therefore</w:t>
            </w: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  </w:t>
            </w:r>
          </w:p>
          <w:p w:rsidR="00F10B0D" w:rsidRPr="001B477C" w:rsidRDefault="00F10B0D" w:rsidP="00F10B0D">
            <w:pPr>
              <w:ind w:left="108"/>
              <w:contextualSpacing/>
              <w:rPr>
                <w:rFonts w:ascii="Times New Roman" w:eastAsia="Calibri" w:hAnsi="Times New Roman"/>
                <w:b/>
                <w:color w:val="000000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Guideline </w:t>
            </w:r>
          </w:p>
          <w:p w:rsidR="00F10B0D" w:rsidRPr="001B477C" w:rsidRDefault="00F10B0D" w:rsidP="00F10B0D">
            <w:pPr>
              <w:ind w:left="108" w:right="24"/>
              <w:contextualSpacing/>
              <w:rPr>
                <w:rFonts w:ascii="Times New Roman" w:eastAsia="Calibri" w:hAnsi="Times New Roman"/>
                <w:b/>
                <w:color w:val="000000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Implementation strategy (76-78) have been included in the draft p76,77,78  Documents for </w:t>
            </w:r>
          </w:p>
          <w:p w:rsidR="00F10B0D" w:rsidRPr="001B477C" w:rsidRDefault="00F10B0D" w:rsidP="00F10B0D">
            <w:pPr>
              <w:ind w:left="108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sites of referral</w:t>
            </w:r>
          </w:p>
          <w:p w:rsidR="00F10B0D" w:rsidRPr="001B477C" w:rsidRDefault="00F10B0D" w:rsidP="00F10B0D">
            <w:pPr>
              <w:ind w:left="108"/>
              <w:contextualSpacing/>
              <w:rPr>
                <w:rFonts w:ascii="Times New Roman" w:eastAsia="Calibri" w:hAnsi="Times New Roman"/>
                <w:b/>
                <w:color w:val="000000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 (p 100-103)  </w:t>
            </w:r>
          </w:p>
        </w:tc>
      </w:tr>
      <w:tr w:rsidR="00F10B0D" w:rsidRPr="001B477C" w:rsidTr="00F10B0D">
        <w:trPr>
          <w:trHeight w:val="170"/>
        </w:trPr>
        <w:tc>
          <w:tcPr>
            <w:tcW w:w="36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ind w:left="-108" w:right="-288"/>
              <w:contextualSpacing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4860" w:type="dxa"/>
            <w:shd w:val="clear" w:color="auto" w:fill="F2F2F2" w:themeFill="background1" w:themeFillShade="F2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 w:hanging="10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Update</w:t>
            </w:r>
          </w:p>
        </w:tc>
        <w:tc>
          <w:tcPr>
            <w:tcW w:w="1080" w:type="dxa"/>
            <w:shd w:val="clear" w:color="auto" w:fill="F2F2F2" w:themeFill="background1" w:themeFillShade="F2"/>
          </w:tcPr>
          <w:p w:rsidR="00F10B0D" w:rsidRPr="001B477C" w:rsidRDefault="00F10B0D" w:rsidP="000118CF">
            <w:pPr>
              <w:ind w:left="72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198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</w:p>
        </w:tc>
      </w:tr>
      <w:tr w:rsidR="00F10B0D" w:rsidRPr="001B477C" w:rsidTr="00F10B0D">
        <w:trPr>
          <w:trHeight w:val="4760"/>
        </w:trPr>
        <w:tc>
          <w:tcPr>
            <w:tcW w:w="360" w:type="dxa"/>
            <w:shd w:val="clear" w:color="auto" w:fill="FFFFFF" w:themeFill="background1"/>
          </w:tcPr>
          <w:p w:rsidR="00F10B0D" w:rsidRPr="001B477C" w:rsidRDefault="00F10B0D" w:rsidP="00F10B0D">
            <w:pPr>
              <w:ind w:left="-108" w:right="-288"/>
              <w:contextualSpacing/>
              <w:rPr>
                <w:rFonts w:ascii="Times New Roman" w:eastAsia="Calibri" w:hAnsi="Times New Roman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sz w:val="18"/>
                <w:szCs w:val="18"/>
              </w:rPr>
              <w:lastRenderedPageBreak/>
              <w:t xml:space="preserve"> 33</w:t>
            </w:r>
          </w:p>
        </w:tc>
        <w:tc>
          <w:tcPr>
            <w:tcW w:w="4860" w:type="dxa"/>
            <w:shd w:val="clear" w:color="auto" w:fill="FFFFFF" w:themeFill="background1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Briefly describe the strategy for updating the adapted guideline (if applicable).</w:t>
            </w:r>
          </w:p>
        </w:tc>
        <w:tc>
          <w:tcPr>
            <w:tcW w:w="1080" w:type="dxa"/>
          </w:tcPr>
          <w:p w:rsidR="00F10B0D" w:rsidRPr="006706DD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  <w:highlight w:val="yellow"/>
              </w:rPr>
            </w:pPr>
            <w:r w:rsidRPr="006706DD">
              <w:rPr>
                <w:rFonts w:ascii="Times New Roman" w:eastAsia="Calibri" w:hAnsi="Times New Roman"/>
                <w:bCs/>
                <w:color w:val="181717"/>
                <w:sz w:val="18"/>
                <w:szCs w:val="18"/>
                <w:highlight w:val="yellow"/>
              </w:rPr>
              <w:t>Yes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No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Unclear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ind w:left="108" w:right="-15" w:hanging="10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74 (update plan)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ind w:left="108" w:right="19" w:hanging="10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After three years of publication. (Published 2022) </w:t>
            </w:r>
          </w:p>
          <w:p w:rsidR="00F10B0D" w:rsidRPr="001B477C" w:rsidRDefault="00F10B0D" w:rsidP="00F10B0D">
            <w:pPr>
              <w:ind w:left="108" w:right="125" w:hanging="10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(Update   2025), after checking for updates in source CPGs. </w:t>
            </w:r>
          </w:p>
          <w:p w:rsidR="00F10B0D" w:rsidRPr="001B477C" w:rsidRDefault="00F10B0D" w:rsidP="00F10B0D">
            <w:pPr>
              <w:ind w:left="108" w:right="-15" w:hanging="10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Except if any breakthrough evidence-based recommendations </w:t>
            </w:r>
          </w:p>
          <w:p w:rsidR="00F10B0D" w:rsidRPr="001B477C" w:rsidRDefault="00F10B0D" w:rsidP="00F10B0D">
            <w:pPr>
              <w:ind w:left="108" w:right="-15" w:hanging="10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proofErr w:type="gramStart"/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are</w:t>
            </w:r>
            <w:proofErr w:type="gramEnd"/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 published before that date.  </w:t>
            </w:r>
          </w:p>
          <w:p w:rsidR="00F10B0D" w:rsidRPr="001B477C" w:rsidRDefault="00F10B0D" w:rsidP="00F10B0D">
            <w:pPr>
              <w:ind w:left="108" w:right="-15" w:hanging="10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- Consultation of expert opinion in the field on changes needed to be conducted based on newest evidence, publications, clinical audit and feedback from local health settings in PIPOH model p 74  </w:t>
            </w:r>
          </w:p>
        </w:tc>
      </w:tr>
      <w:tr w:rsidR="00F10B0D" w:rsidRPr="001B477C" w:rsidTr="00F10B0D">
        <w:trPr>
          <w:trHeight w:val="170"/>
        </w:trPr>
        <w:tc>
          <w:tcPr>
            <w:tcW w:w="36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ind w:left="-108" w:right="-288"/>
              <w:contextualSpacing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4860" w:type="dxa"/>
            <w:shd w:val="clear" w:color="auto" w:fill="F2F2F2" w:themeFill="background1" w:themeFillShade="F2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Limitations and suggestions for further research</w:t>
            </w:r>
          </w:p>
        </w:tc>
        <w:tc>
          <w:tcPr>
            <w:tcW w:w="1080" w:type="dxa"/>
            <w:shd w:val="clear" w:color="auto" w:fill="F2F2F2" w:themeFill="background1" w:themeFillShade="F2"/>
          </w:tcPr>
          <w:p w:rsidR="00F10B0D" w:rsidRPr="001B477C" w:rsidRDefault="00F10B0D" w:rsidP="000118CF">
            <w:pPr>
              <w:ind w:left="72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</w:p>
        </w:tc>
        <w:tc>
          <w:tcPr>
            <w:tcW w:w="1980" w:type="dxa"/>
            <w:shd w:val="clear" w:color="auto" w:fill="F2F2F2" w:themeFill="background1" w:themeFillShade="F2"/>
          </w:tcPr>
          <w:p w:rsidR="00F10B0D" w:rsidRPr="001B477C" w:rsidRDefault="00F10B0D" w:rsidP="00F10B0D">
            <w:pPr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</w:p>
        </w:tc>
      </w:tr>
      <w:tr w:rsidR="00F10B0D" w:rsidRPr="001B477C" w:rsidTr="00F10B0D">
        <w:trPr>
          <w:trHeight w:val="170"/>
        </w:trPr>
        <w:tc>
          <w:tcPr>
            <w:tcW w:w="360" w:type="dxa"/>
            <w:shd w:val="clear" w:color="auto" w:fill="FFFFFF" w:themeFill="background1"/>
          </w:tcPr>
          <w:p w:rsidR="00F10B0D" w:rsidRPr="001B477C" w:rsidRDefault="00F10B0D" w:rsidP="00F10B0D">
            <w:pPr>
              <w:ind w:left="-108" w:right="-288"/>
              <w:contextualSpacing/>
              <w:rPr>
                <w:rFonts w:ascii="Times New Roman" w:eastAsia="Calibri" w:hAnsi="Times New Roman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sz w:val="18"/>
                <w:szCs w:val="18"/>
              </w:rPr>
              <w:t xml:space="preserve"> 34</w:t>
            </w:r>
          </w:p>
        </w:tc>
        <w:tc>
          <w:tcPr>
            <w:tcW w:w="4860" w:type="dxa"/>
            <w:shd w:val="clear" w:color="auto" w:fill="FFFFFF" w:themeFill="background1"/>
          </w:tcPr>
          <w:p w:rsidR="00F10B0D" w:rsidRPr="001B477C" w:rsidRDefault="00F10B0D" w:rsidP="000118CF">
            <w:pPr>
              <w:tabs>
                <w:tab w:val="left" w:pos="4572"/>
              </w:tabs>
              <w:ind w:left="72" w:right="162" w:hanging="1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Describe the challenges of the adaptation process,                                         the limitations of the evidence, and provide suggestions for future research.</w:t>
            </w:r>
          </w:p>
        </w:tc>
        <w:tc>
          <w:tcPr>
            <w:tcW w:w="1080" w:type="dxa"/>
          </w:tcPr>
          <w:p w:rsidR="00F10B0D" w:rsidRPr="00442151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  <w:highlight w:val="yellow"/>
              </w:rPr>
            </w:pPr>
            <w:r w:rsidRPr="00442151">
              <w:rPr>
                <w:rFonts w:ascii="Times New Roman" w:eastAsia="Calibri" w:hAnsi="Times New Roman"/>
                <w:bCs/>
                <w:color w:val="181717"/>
                <w:sz w:val="18"/>
                <w:szCs w:val="18"/>
                <w:highlight w:val="yellow"/>
              </w:rPr>
              <w:t>Yes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No</w:t>
            </w:r>
          </w:p>
          <w:p w:rsidR="00F10B0D" w:rsidRPr="001B477C" w:rsidRDefault="00F10B0D" w:rsidP="000118CF">
            <w:pPr>
              <w:numPr>
                <w:ilvl w:val="0"/>
                <w:numId w:val="25"/>
              </w:numPr>
              <w:tabs>
                <w:tab w:val="left" w:pos="252"/>
              </w:tabs>
              <w:spacing w:after="72"/>
              <w:ind w:left="72" w:right="-15" w:firstLine="0"/>
              <w:contextualSpacing/>
              <w:rPr>
                <w:rFonts w:ascii="Times New Roman" w:eastAsia="Calibri" w:hAnsi="Times New Roman"/>
                <w:b/>
                <w:bCs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bCs/>
                <w:color w:val="181717"/>
                <w:sz w:val="18"/>
                <w:szCs w:val="18"/>
              </w:rPr>
              <w:t>Unclear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ind w:left="115" w:right="-15" w:hanging="14"/>
              <w:contextualSpacing/>
              <w:rPr>
                <w:rFonts w:ascii="Times New Roman" w:eastAsia="Calibri" w:hAnsi="Times New Roman"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73 (Challenges in adaptation process)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B0D" w:rsidRPr="001B477C" w:rsidRDefault="00F10B0D" w:rsidP="00F10B0D">
            <w:pPr>
              <w:ind w:left="115" w:right="153" w:hanging="14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442151">
              <w:rPr>
                <w:rFonts w:ascii="Times New Roman" w:eastAsia="Calibri" w:hAnsi="Times New Roman"/>
                <w:color w:val="181717"/>
                <w:sz w:val="18"/>
                <w:szCs w:val="18"/>
                <w:highlight w:val="yellow"/>
              </w:rPr>
              <w:t>Challenges</w:t>
            </w: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 in adaptation process include: -Search in literature for Clinical questions answers with evidenced statements related to PIPOH model.  -Checking evidence grading in our source guideline when needed </w:t>
            </w:r>
          </w:p>
          <w:p w:rsidR="00F10B0D" w:rsidRPr="001B477C" w:rsidRDefault="00F10B0D" w:rsidP="00F10B0D">
            <w:pPr>
              <w:ind w:left="115" w:right="166" w:hanging="14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-panel decision is both clinical and methodology considered  </w:t>
            </w:r>
          </w:p>
          <w:p w:rsidR="00F10B0D" w:rsidRPr="001B477C" w:rsidRDefault="00F10B0D" w:rsidP="00F10B0D">
            <w:pPr>
              <w:ind w:left="115" w:right="166" w:hanging="14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- Editing and formulating process. </w:t>
            </w:r>
          </w:p>
          <w:p w:rsidR="00F10B0D" w:rsidRPr="001B477C" w:rsidRDefault="00F10B0D" w:rsidP="00F10B0D">
            <w:pPr>
              <w:ind w:left="115" w:right="166" w:hanging="14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- </w:t>
            </w:r>
            <w:proofErr w:type="gramStart"/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>reviewing</w:t>
            </w:r>
            <w:proofErr w:type="gramEnd"/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 and peer reviewing, inter active discussions.</w:t>
            </w:r>
          </w:p>
          <w:p w:rsidR="00F10B0D" w:rsidRPr="001B477C" w:rsidRDefault="00F10B0D" w:rsidP="00F10B0D">
            <w:pPr>
              <w:ind w:left="115" w:right="166" w:hanging="14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 -Final drafting considering all reviewers comments. </w:t>
            </w:r>
          </w:p>
          <w:p w:rsidR="00F10B0D" w:rsidRPr="001B477C" w:rsidRDefault="00F10B0D" w:rsidP="00F10B0D">
            <w:pPr>
              <w:ind w:left="115" w:right="21" w:hanging="14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All these items are included in guideline appendix, or National Guideline </w:t>
            </w:r>
          </w:p>
          <w:p w:rsidR="00F10B0D" w:rsidRPr="001B477C" w:rsidRDefault="00F10B0D" w:rsidP="00F10B0D">
            <w:pPr>
              <w:ind w:left="115" w:right="-15" w:hanging="14"/>
              <w:contextualSpacing/>
              <w:rPr>
                <w:rFonts w:ascii="Times New Roman" w:eastAsia="Calibri" w:hAnsi="Times New Roman"/>
                <w:b/>
                <w:color w:val="181717"/>
                <w:sz w:val="18"/>
                <w:szCs w:val="18"/>
              </w:rPr>
            </w:pPr>
            <w:r w:rsidRPr="001B477C">
              <w:rPr>
                <w:rFonts w:ascii="Times New Roman" w:eastAsia="Calibri" w:hAnsi="Times New Roman"/>
                <w:color w:val="181717"/>
                <w:sz w:val="18"/>
                <w:szCs w:val="18"/>
              </w:rPr>
              <w:t xml:space="preserve">Committee </w:t>
            </w:r>
          </w:p>
        </w:tc>
      </w:tr>
    </w:tbl>
    <w:p w:rsidR="00F10B0D" w:rsidRPr="00442151" w:rsidRDefault="00F10B0D" w:rsidP="002C1FB9">
      <w:pPr>
        <w:spacing w:after="62"/>
        <w:ind w:firstLine="0"/>
        <w:rPr>
          <w:rFonts w:ascii="Times New Roman" w:eastAsia="Times New Roman" w:hAnsi="Times New Roman" w:cs="Times New Roman"/>
          <w:b/>
          <w:bCs/>
          <w:color w:val="0070C0"/>
          <w:sz w:val="18"/>
          <w:szCs w:val="18"/>
        </w:rPr>
      </w:pPr>
      <w:r w:rsidRPr="00442151">
        <w:rPr>
          <w:rFonts w:ascii="Times New Roman" w:eastAsiaTheme="minorEastAsia" w:hAnsi="Times New Roman" w:cs="Times New Roman"/>
          <w:b/>
          <w:bCs/>
          <w:color w:val="0070C0"/>
          <w:sz w:val="18"/>
          <w:szCs w:val="18"/>
        </w:rPr>
        <w:t xml:space="preserve">           Annals of Internal Medicine. March 2022, Vol. 175 No. 5. </w:t>
      </w:r>
      <w:proofErr w:type="spellStart"/>
      <w:r w:rsidRPr="00442151">
        <w:rPr>
          <w:rFonts w:ascii="Times New Roman" w:eastAsiaTheme="minorEastAsia" w:hAnsi="Times New Roman" w:cs="Times New Roman"/>
          <w:b/>
          <w:bCs/>
          <w:color w:val="0070C0"/>
          <w:sz w:val="18"/>
          <w:szCs w:val="18"/>
        </w:rPr>
        <w:t>Doi</w:t>
      </w:r>
      <w:proofErr w:type="spellEnd"/>
      <w:r w:rsidRPr="00442151">
        <w:rPr>
          <w:rFonts w:ascii="Times New Roman" w:eastAsiaTheme="minorEastAsia" w:hAnsi="Times New Roman" w:cs="Times New Roman"/>
          <w:b/>
          <w:bCs/>
          <w:color w:val="0070C0"/>
          <w:sz w:val="18"/>
          <w:szCs w:val="18"/>
        </w:rPr>
        <w:t>: 10.7326/M21-4352</w:t>
      </w:r>
      <w:r w:rsidRPr="00442151">
        <w:rPr>
          <w:rFonts w:ascii="Times New Roman" w:eastAsia="Times New Roman" w:hAnsi="Times New Roman" w:cs="Times New Roman"/>
          <w:b/>
          <w:bCs/>
          <w:color w:val="0070C0"/>
          <w:sz w:val="18"/>
          <w:szCs w:val="18"/>
        </w:rPr>
        <w:t xml:space="preserve">    http://</w:t>
      </w:r>
      <w:r w:rsidR="002C1FB9" w:rsidRPr="00442151">
        <w:rPr>
          <w:rFonts w:ascii="Times New Roman" w:eastAsia="Times New Roman" w:hAnsi="Times New Roman" w:cs="Times New Roman"/>
          <w:b/>
          <w:bCs/>
          <w:color w:val="0070C0"/>
          <w:sz w:val="18"/>
          <w:szCs w:val="18"/>
        </w:rPr>
        <w:t>www.annals.org/</w:t>
      </w:r>
    </w:p>
    <w:p w:rsidR="00F10B0D" w:rsidRPr="00442151" w:rsidRDefault="00F10B0D" w:rsidP="00F10B0D">
      <w:pPr>
        <w:spacing w:after="62"/>
        <w:ind w:firstLine="0"/>
        <w:rPr>
          <w:rFonts w:ascii="Times New Roman" w:eastAsia="Times New Roman" w:hAnsi="Times New Roman" w:cs="Times New Roman"/>
          <w:b/>
          <w:bCs/>
          <w:color w:val="181717"/>
          <w:sz w:val="18"/>
          <w:szCs w:val="18"/>
        </w:rPr>
      </w:pPr>
      <w:r w:rsidRPr="00442151">
        <w:rPr>
          <w:rFonts w:ascii="Times New Roman" w:eastAsia="Times New Roman" w:hAnsi="Times New Roman" w:cs="Times New Roman"/>
          <w:b/>
          <w:bCs/>
          <w:color w:val="0070C0"/>
          <w:sz w:val="18"/>
          <w:szCs w:val="18"/>
        </w:rPr>
        <w:t xml:space="preserve">          </w:t>
      </w:r>
      <w:r w:rsidRPr="00442151">
        <w:rPr>
          <w:rFonts w:ascii="Times New Roman" w:eastAsia="Times New Roman" w:hAnsi="Times New Roman" w:cs="Times New Roman"/>
          <w:b/>
          <w:bCs/>
          <w:color w:val="181717"/>
          <w:sz w:val="18"/>
          <w:szCs w:val="18"/>
        </w:rPr>
        <w:t>Methodology Reference</w:t>
      </w:r>
    </w:p>
    <w:p w:rsidR="00F10B0D" w:rsidRPr="00442151" w:rsidRDefault="00F10B0D" w:rsidP="00F10B0D">
      <w:pPr>
        <w:autoSpaceDE w:val="0"/>
        <w:autoSpaceDN w:val="0"/>
        <w:adjustRightInd w:val="0"/>
        <w:ind w:left="450" w:hanging="360"/>
        <w:rPr>
          <w:rFonts w:ascii="Times New Roman" w:eastAsiaTheme="minorEastAsia" w:hAnsi="Times New Roman" w:cs="Times New Roman"/>
          <w:sz w:val="18"/>
          <w:szCs w:val="18"/>
        </w:rPr>
      </w:pPr>
      <w:r w:rsidRPr="00442151">
        <w:rPr>
          <w:rFonts w:ascii="Times New Roman" w:eastAsiaTheme="minorEastAsia" w:hAnsi="Times New Roman" w:cs="Times New Roman"/>
          <w:sz w:val="18"/>
          <w:szCs w:val="18"/>
        </w:rPr>
        <w:t xml:space="preserve">      </w:t>
      </w:r>
      <w:r w:rsidR="00442151">
        <w:rPr>
          <w:rFonts w:ascii="Times New Roman" w:eastAsiaTheme="minorEastAsia" w:hAnsi="Times New Roman" w:cs="Times New Roman"/>
          <w:sz w:val="18"/>
          <w:szCs w:val="18"/>
        </w:rPr>
        <w:t xml:space="preserve">   </w:t>
      </w:r>
      <w:r w:rsidRPr="00442151">
        <w:rPr>
          <w:rFonts w:ascii="Times New Roman" w:eastAsiaTheme="minorEastAsia" w:hAnsi="Times New Roman" w:cs="Times New Roman"/>
          <w:sz w:val="18"/>
          <w:szCs w:val="18"/>
        </w:rPr>
        <w:t>Yang Song; Pablo Alonso-</w:t>
      </w:r>
      <w:proofErr w:type="spellStart"/>
      <w:r w:rsidRPr="00442151">
        <w:rPr>
          <w:rFonts w:ascii="Times New Roman" w:eastAsiaTheme="minorEastAsia" w:hAnsi="Times New Roman" w:cs="Times New Roman"/>
          <w:sz w:val="18"/>
          <w:szCs w:val="18"/>
        </w:rPr>
        <w:t>Coello</w:t>
      </w:r>
      <w:proofErr w:type="spellEnd"/>
      <w:r w:rsidRPr="00442151">
        <w:rPr>
          <w:rFonts w:ascii="Times New Roman" w:eastAsiaTheme="minorEastAsia" w:hAnsi="Times New Roman" w:cs="Times New Roman"/>
          <w:sz w:val="18"/>
          <w:szCs w:val="18"/>
        </w:rPr>
        <w:t xml:space="preserve">; Monica Ballesteros; Francoise </w:t>
      </w:r>
      <w:proofErr w:type="spellStart"/>
      <w:r w:rsidRPr="00442151">
        <w:rPr>
          <w:rFonts w:ascii="Times New Roman" w:eastAsiaTheme="minorEastAsia" w:hAnsi="Times New Roman" w:cs="Times New Roman"/>
          <w:sz w:val="18"/>
          <w:szCs w:val="18"/>
        </w:rPr>
        <w:t>Cluzeau;Robin</w:t>
      </w:r>
      <w:proofErr w:type="spellEnd"/>
      <w:r w:rsidRPr="00442151">
        <w:rPr>
          <w:rFonts w:ascii="Times New Roman" w:eastAsiaTheme="minorEastAsia" w:hAnsi="Times New Roman" w:cs="Times New Roman"/>
          <w:sz w:val="18"/>
          <w:szCs w:val="18"/>
        </w:rPr>
        <w:t xml:space="preserve"> W.M. </w:t>
      </w:r>
      <w:proofErr w:type="spellStart"/>
      <w:r w:rsidRPr="00442151">
        <w:rPr>
          <w:rFonts w:ascii="Times New Roman" w:eastAsiaTheme="minorEastAsia" w:hAnsi="Times New Roman" w:cs="Times New Roman"/>
          <w:sz w:val="18"/>
          <w:szCs w:val="18"/>
        </w:rPr>
        <w:t>Vernooij</w:t>
      </w:r>
      <w:proofErr w:type="spellEnd"/>
      <w:r w:rsidRPr="00442151">
        <w:rPr>
          <w:rFonts w:ascii="Times New Roman" w:eastAsiaTheme="minorEastAsia" w:hAnsi="Times New Roman" w:cs="Times New Roman"/>
          <w:sz w:val="18"/>
          <w:szCs w:val="18"/>
        </w:rPr>
        <w:t xml:space="preserve">; </w:t>
      </w:r>
      <w:proofErr w:type="spellStart"/>
      <w:r w:rsidRPr="00442151">
        <w:rPr>
          <w:rFonts w:ascii="Times New Roman" w:eastAsiaTheme="minorEastAsia" w:hAnsi="Times New Roman" w:cs="Times New Roman"/>
          <w:sz w:val="18"/>
          <w:szCs w:val="18"/>
        </w:rPr>
        <w:t>Thurayya</w:t>
      </w:r>
      <w:proofErr w:type="spellEnd"/>
      <w:r w:rsidRPr="00442151">
        <w:rPr>
          <w:rFonts w:ascii="Times New Roman" w:eastAsiaTheme="minorEastAsia" w:hAnsi="Times New Roman" w:cs="Times New Roman"/>
          <w:sz w:val="18"/>
          <w:szCs w:val="18"/>
        </w:rPr>
        <w:t xml:space="preserve"> </w:t>
      </w:r>
      <w:proofErr w:type="spellStart"/>
      <w:r w:rsidRPr="00442151">
        <w:rPr>
          <w:rFonts w:ascii="Times New Roman" w:eastAsiaTheme="minorEastAsia" w:hAnsi="Times New Roman" w:cs="Times New Roman"/>
          <w:sz w:val="18"/>
          <w:szCs w:val="18"/>
        </w:rPr>
        <w:t>Arayssi</w:t>
      </w:r>
      <w:proofErr w:type="spellEnd"/>
      <w:r w:rsidRPr="00442151">
        <w:rPr>
          <w:rFonts w:ascii="Times New Roman" w:eastAsiaTheme="minorEastAsia" w:hAnsi="Times New Roman" w:cs="Times New Roman"/>
          <w:sz w:val="18"/>
          <w:szCs w:val="18"/>
        </w:rPr>
        <w:t xml:space="preserve">; </w:t>
      </w:r>
      <w:proofErr w:type="spellStart"/>
      <w:r w:rsidRPr="00442151">
        <w:rPr>
          <w:rFonts w:ascii="Times New Roman" w:eastAsiaTheme="minorEastAsia" w:hAnsi="Times New Roman" w:cs="Times New Roman"/>
          <w:sz w:val="18"/>
          <w:szCs w:val="18"/>
        </w:rPr>
        <w:t>Soumyadeep</w:t>
      </w:r>
      <w:proofErr w:type="spellEnd"/>
      <w:r w:rsidRPr="00442151">
        <w:rPr>
          <w:rFonts w:ascii="Times New Roman" w:eastAsiaTheme="minorEastAsia" w:hAnsi="Times New Roman" w:cs="Times New Roman"/>
          <w:sz w:val="18"/>
          <w:szCs w:val="18"/>
        </w:rPr>
        <w:t xml:space="preserve"> </w:t>
      </w:r>
      <w:proofErr w:type="spellStart"/>
      <w:r w:rsidRPr="00442151">
        <w:rPr>
          <w:rFonts w:ascii="Times New Roman" w:eastAsiaTheme="minorEastAsia" w:hAnsi="Times New Roman" w:cs="Times New Roman"/>
          <w:sz w:val="18"/>
          <w:szCs w:val="18"/>
        </w:rPr>
        <w:t>Bhaumik</w:t>
      </w:r>
      <w:proofErr w:type="spellEnd"/>
      <w:r w:rsidRPr="00442151">
        <w:rPr>
          <w:rFonts w:ascii="Times New Roman" w:eastAsiaTheme="minorEastAsia" w:hAnsi="Times New Roman" w:cs="Times New Roman"/>
          <w:sz w:val="18"/>
          <w:szCs w:val="18"/>
        </w:rPr>
        <w:t xml:space="preserve">; </w:t>
      </w:r>
      <w:proofErr w:type="spellStart"/>
      <w:r w:rsidRPr="00442151">
        <w:rPr>
          <w:rFonts w:ascii="Times New Roman" w:eastAsiaTheme="minorEastAsia" w:hAnsi="Times New Roman" w:cs="Times New Roman"/>
          <w:sz w:val="18"/>
          <w:szCs w:val="18"/>
        </w:rPr>
        <w:t>Yaolong</w:t>
      </w:r>
      <w:proofErr w:type="spellEnd"/>
      <w:r w:rsidRPr="00442151">
        <w:rPr>
          <w:rFonts w:ascii="Times New Roman" w:eastAsiaTheme="minorEastAsia" w:hAnsi="Times New Roman" w:cs="Times New Roman"/>
          <w:sz w:val="18"/>
          <w:szCs w:val="18"/>
        </w:rPr>
        <w:t xml:space="preserve"> Chen, </w:t>
      </w:r>
      <w:proofErr w:type="spellStart"/>
      <w:r w:rsidRPr="00442151">
        <w:rPr>
          <w:rFonts w:ascii="Times New Roman" w:eastAsiaTheme="minorEastAsia" w:hAnsi="Times New Roman" w:cs="Times New Roman"/>
          <w:sz w:val="18"/>
          <w:szCs w:val="18"/>
        </w:rPr>
        <w:t>MMed</w:t>
      </w:r>
      <w:proofErr w:type="spellEnd"/>
      <w:r w:rsidRPr="00442151">
        <w:rPr>
          <w:rFonts w:ascii="Times New Roman" w:eastAsiaTheme="minorEastAsia" w:hAnsi="Times New Roman" w:cs="Times New Roman"/>
          <w:sz w:val="18"/>
          <w:szCs w:val="18"/>
        </w:rPr>
        <w:t xml:space="preserve">; Davina </w:t>
      </w:r>
      <w:proofErr w:type="spellStart"/>
      <w:r w:rsidRPr="00442151">
        <w:rPr>
          <w:rFonts w:ascii="Times New Roman" w:eastAsiaTheme="minorEastAsia" w:hAnsi="Times New Roman" w:cs="Times New Roman"/>
          <w:sz w:val="18"/>
          <w:szCs w:val="18"/>
        </w:rPr>
        <w:t>Ghersi</w:t>
      </w:r>
      <w:proofErr w:type="spellEnd"/>
      <w:r w:rsidRPr="00442151">
        <w:rPr>
          <w:rFonts w:ascii="Times New Roman" w:eastAsiaTheme="minorEastAsia" w:hAnsi="Times New Roman" w:cs="Times New Roman"/>
          <w:sz w:val="18"/>
          <w:szCs w:val="18"/>
        </w:rPr>
        <w:t xml:space="preserve">; Etienne V. </w:t>
      </w:r>
      <w:proofErr w:type="spellStart"/>
      <w:r w:rsidRPr="00442151">
        <w:rPr>
          <w:rFonts w:ascii="Times New Roman" w:eastAsiaTheme="minorEastAsia" w:hAnsi="Times New Roman" w:cs="Times New Roman"/>
          <w:sz w:val="18"/>
          <w:szCs w:val="18"/>
        </w:rPr>
        <w:t>Langlois</w:t>
      </w:r>
      <w:proofErr w:type="spellEnd"/>
      <w:r w:rsidRPr="00442151">
        <w:rPr>
          <w:rFonts w:ascii="Times New Roman" w:eastAsiaTheme="minorEastAsia" w:hAnsi="Times New Roman" w:cs="Times New Roman"/>
          <w:sz w:val="18"/>
          <w:szCs w:val="18"/>
        </w:rPr>
        <w:t xml:space="preserve">; Paulina Fuentes Padilla; </w:t>
      </w:r>
      <w:proofErr w:type="spellStart"/>
      <w:r w:rsidRPr="00442151">
        <w:rPr>
          <w:rFonts w:ascii="Times New Roman" w:eastAsiaTheme="minorEastAsia" w:hAnsi="Times New Roman" w:cs="Times New Roman"/>
          <w:sz w:val="18"/>
          <w:szCs w:val="18"/>
        </w:rPr>
        <w:t>Holger</w:t>
      </w:r>
      <w:proofErr w:type="spellEnd"/>
      <w:r w:rsidRPr="00442151">
        <w:rPr>
          <w:rFonts w:ascii="Times New Roman" w:eastAsiaTheme="minorEastAsia" w:hAnsi="Times New Roman" w:cs="Times New Roman"/>
          <w:sz w:val="18"/>
          <w:szCs w:val="18"/>
        </w:rPr>
        <w:t xml:space="preserve"> J. </w:t>
      </w:r>
      <w:proofErr w:type="spellStart"/>
      <w:r w:rsidRPr="00442151">
        <w:rPr>
          <w:rFonts w:ascii="Times New Roman" w:eastAsiaTheme="minorEastAsia" w:hAnsi="Times New Roman" w:cs="Times New Roman"/>
          <w:sz w:val="18"/>
          <w:szCs w:val="18"/>
        </w:rPr>
        <w:t>Schünemann</w:t>
      </w:r>
      <w:proofErr w:type="spellEnd"/>
      <w:r w:rsidRPr="00442151">
        <w:rPr>
          <w:rFonts w:ascii="Times New Roman" w:eastAsiaTheme="minorEastAsia" w:hAnsi="Times New Roman" w:cs="Times New Roman"/>
          <w:sz w:val="18"/>
          <w:szCs w:val="18"/>
        </w:rPr>
        <w:t xml:space="preserve">; </w:t>
      </w:r>
      <w:proofErr w:type="spellStart"/>
      <w:r w:rsidRPr="00442151">
        <w:rPr>
          <w:rFonts w:ascii="Times New Roman" w:eastAsiaTheme="minorEastAsia" w:hAnsi="Times New Roman" w:cs="Times New Roman"/>
          <w:sz w:val="18"/>
          <w:szCs w:val="18"/>
        </w:rPr>
        <w:t>Elie</w:t>
      </w:r>
      <w:proofErr w:type="spellEnd"/>
      <w:r w:rsidRPr="00442151">
        <w:rPr>
          <w:rFonts w:ascii="Times New Roman" w:eastAsiaTheme="minorEastAsia" w:hAnsi="Times New Roman" w:cs="Times New Roman"/>
          <w:sz w:val="18"/>
          <w:szCs w:val="18"/>
        </w:rPr>
        <w:t xml:space="preserve"> A. </w:t>
      </w:r>
      <w:proofErr w:type="spellStart"/>
      <w:r w:rsidRPr="00442151">
        <w:rPr>
          <w:rFonts w:ascii="Times New Roman" w:eastAsiaTheme="minorEastAsia" w:hAnsi="Times New Roman" w:cs="Times New Roman"/>
          <w:sz w:val="18"/>
          <w:szCs w:val="18"/>
        </w:rPr>
        <w:t>Akl</w:t>
      </w:r>
      <w:proofErr w:type="spellEnd"/>
      <w:r w:rsidRPr="00442151">
        <w:rPr>
          <w:rFonts w:ascii="Times New Roman" w:eastAsiaTheme="minorEastAsia" w:hAnsi="Times New Roman" w:cs="Times New Roman"/>
          <w:sz w:val="18"/>
          <w:szCs w:val="18"/>
        </w:rPr>
        <w:t xml:space="preserve">; Laura </w:t>
      </w:r>
      <w:proofErr w:type="spellStart"/>
      <w:r w:rsidRPr="00442151">
        <w:rPr>
          <w:rFonts w:ascii="Times New Roman" w:eastAsiaTheme="minorEastAsia" w:hAnsi="Times New Roman" w:cs="Times New Roman"/>
          <w:sz w:val="18"/>
          <w:szCs w:val="18"/>
        </w:rPr>
        <w:t>Martínez</w:t>
      </w:r>
      <w:proofErr w:type="spellEnd"/>
      <w:r w:rsidRPr="00442151">
        <w:rPr>
          <w:rFonts w:ascii="Times New Roman" w:eastAsiaTheme="minorEastAsia" w:hAnsi="Times New Roman" w:cs="Times New Roman"/>
          <w:sz w:val="18"/>
          <w:szCs w:val="18"/>
        </w:rPr>
        <w:t xml:space="preserve"> </w:t>
      </w:r>
      <w:proofErr w:type="spellStart"/>
      <w:r w:rsidRPr="00442151">
        <w:rPr>
          <w:rFonts w:ascii="Times New Roman" w:eastAsiaTheme="minorEastAsia" w:hAnsi="Times New Roman" w:cs="Times New Roman"/>
          <w:sz w:val="18"/>
          <w:szCs w:val="18"/>
        </w:rPr>
        <w:t>García</w:t>
      </w:r>
      <w:proofErr w:type="spellEnd"/>
      <w:r w:rsidRPr="00442151">
        <w:rPr>
          <w:rFonts w:ascii="Times New Roman" w:eastAsiaTheme="minorEastAsia" w:hAnsi="Times New Roman" w:cs="Times New Roman"/>
          <w:sz w:val="18"/>
          <w:szCs w:val="18"/>
        </w:rPr>
        <w:t xml:space="preserve">; and </w:t>
      </w:r>
      <w:proofErr w:type="spellStart"/>
      <w:r w:rsidRPr="00442151">
        <w:rPr>
          <w:rFonts w:ascii="Times New Roman" w:eastAsiaTheme="minorEastAsia" w:hAnsi="Times New Roman" w:cs="Times New Roman"/>
          <w:sz w:val="18"/>
          <w:szCs w:val="18"/>
        </w:rPr>
        <w:t>RIGHT-Ad@pt</w:t>
      </w:r>
      <w:proofErr w:type="spellEnd"/>
      <w:r w:rsidRPr="00442151">
        <w:rPr>
          <w:rFonts w:ascii="Times New Roman" w:eastAsiaTheme="minorEastAsia" w:hAnsi="Times New Roman" w:cs="Times New Roman"/>
          <w:sz w:val="18"/>
          <w:szCs w:val="18"/>
        </w:rPr>
        <w:t xml:space="preserve"> Working Group. A Reporting Tool for Adapted Guidelines in Health Care: The </w:t>
      </w:r>
      <w:proofErr w:type="spellStart"/>
      <w:r w:rsidRPr="00442151">
        <w:rPr>
          <w:rFonts w:ascii="Times New Roman" w:eastAsiaTheme="minorEastAsia" w:hAnsi="Times New Roman" w:cs="Times New Roman"/>
          <w:sz w:val="18"/>
          <w:szCs w:val="18"/>
        </w:rPr>
        <w:t>RIGHT-Ad@pt</w:t>
      </w:r>
      <w:proofErr w:type="spellEnd"/>
      <w:r w:rsidRPr="00442151">
        <w:rPr>
          <w:rFonts w:ascii="Times New Roman" w:eastAsiaTheme="minorEastAsia" w:hAnsi="Times New Roman" w:cs="Times New Roman"/>
          <w:sz w:val="18"/>
          <w:szCs w:val="18"/>
        </w:rPr>
        <w:t xml:space="preserve"> Checklist. Annals of Internal Medicine Vol. 175 No. 5. </w:t>
      </w:r>
      <w:proofErr w:type="spellStart"/>
      <w:proofErr w:type="gramStart"/>
      <w:r w:rsidRPr="00442151">
        <w:rPr>
          <w:rFonts w:ascii="Times New Roman" w:eastAsiaTheme="minorEastAsia" w:hAnsi="Times New Roman" w:cs="Times New Roman"/>
          <w:sz w:val="18"/>
          <w:szCs w:val="18"/>
        </w:rPr>
        <w:t>Doi</w:t>
      </w:r>
      <w:proofErr w:type="spellEnd"/>
      <w:r w:rsidRPr="00442151">
        <w:rPr>
          <w:rFonts w:ascii="Times New Roman" w:eastAsiaTheme="minorEastAsia" w:hAnsi="Times New Roman" w:cs="Times New Roman"/>
          <w:sz w:val="18"/>
          <w:szCs w:val="18"/>
        </w:rPr>
        <w:t xml:space="preserve"> :</w:t>
      </w:r>
      <w:proofErr w:type="gramEnd"/>
      <w:r w:rsidRPr="00442151">
        <w:rPr>
          <w:rFonts w:ascii="Times New Roman" w:eastAsiaTheme="minorEastAsia" w:hAnsi="Times New Roman" w:cs="Times New Roman"/>
          <w:sz w:val="18"/>
          <w:szCs w:val="18"/>
        </w:rPr>
        <w:t xml:space="preserve"> 10.7326/M21-4352</w:t>
      </w:r>
    </w:p>
    <w:p w:rsidR="00F10B0D" w:rsidRDefault="00F10B0D" w:rsidP="001B477C">
      <w:pPr>
        <w:ind w:left="1260" w:hanging="126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10B0D" w:rsidRDefault="00F10B0D" w:rsidP="001B477C">
      <w:pPr>
        <w:ind w:left="1260" w:hanging="126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10B0D" w:rsidRDefault="00302E02" w:rsidP="00302E02">
      <w:pPr>
        <w:shd w:val="clear" w:color="auto" w:fill="D9D9D9" w:themeFill="background1" w:themeFillShade="D9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IPNA 2020 &amp; KDIGO 2021 Tables</w:t>
      </w:r>
    </w:p>
    <w:p w:rsidR="00302E02" w:rsidRDefault="00302E02" w:rsidP="00302E02">
      <w:pPr>
        <w:shd w:val="clear" w:color="auto" w:fill="D9D9D9" w:themeFill="background1" w:themeFillShade="D9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02E02" w:rsidRDefault="00302E02" w:rsidP="0021126D">
      <w:pPr>
        <w:ind w:firstLine="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B477C" w:rsidRPr="001B477C" w:rsidRDefault="001B477C" w:rsidP="001B477C">
      <w:pPr>
        <w:ind w:left="1260" w:hanging="126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B47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Table (1): Definitions related to </w:t>
      </w:r>
      <w:proofErr w:type="spellStart"/>
      <w:r w:rsidRPr="001B477C">
        <w:rPr>
          <w:rFonts w:ascii="Times New Roman" w:eastAsia="Times New Roman" w:hAnsi="Times New Roman" w:cs="Times New Roman"/>
          <w:b/>
          <w:bCs/>
          <w:sz w:val="24"/>
          <w:szCs w:val="24"/>
        </w:rPr>
        <w:t>Nephrotic</w:t>
      </w:r>
      <w:proofErr w:type="spellEnd"/>
      <w:r w:rsidRPr="001B47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Syndrome in Children. </w:t>
      </w:r>
    </w:p>
    <w:p w:rsidR="001B477C" w:rsidRPr="001B477C" w:rsidRDefault="001B477C" w:rsidP="001B477C">
      <w:pPr>
        <w:ind w:left="1260" w:hanging="126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B47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(IPNA 2020 and KDIGO 2021)</w:t>
      </w:r>
    </w:p>
    <w:tbl>
      <w:tblPr>
        <w:tblStyle w:val="GridTable4-Accent11"/>
        <w:tblW w:w="9445" w:type="dxa"/>
        <w:tblLook w:val="04A0" w:firstRow="1" w:lastRow="0" w:firstColumn="1" w:lastColumn="0" w:noHBand="0" w:noVBand="1"/>
      </w:tblPr>
      <w:tblGrid>
        <w:gridCol w:w="2390"/>
        <w:gridCol w:w="7055"/>
      </w:tblGrid>
      <w:tr w:rsidR="001B477C" w:rsidRPr="001B477C" w:rsidTr="001B47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0" w:type="dxa"/>
            <w:shd w:val="clear" w:color="auto" w:fill="C6D9F1"/>
          </w:tcPr>
          <w:p w:rsidR="001B477C" w:rsidRPr="001B477C" w:rsidRDefault="001B477C" w:rsidP="001B477C">
            <w:pPr>
              <w:bidi w:val="0"/>
              <w:jc w:val="center"/>
              <w:rPr>
                <w:rFonts w:eastAsia="Calibri"/>
                <w:color w:val="231F20"/>
              </w:rPr>
            </w:pPr>
            <w:r w:rsidRPr="001B477C">
              <w:rPr>
                <w:rFonts w:eastAsia="Calibri"/>
                <w:color w:val="231F20"/>
              </w:rPr>
              <w:t>Term</w:t>
            </w:r>
          </w:p>
        </w:tc>
        <w:tc>
          <w:tcPr>
            <w:tcW w:w="7055" w:type="dxa"/>
            <w:shd w:val="clear" w:color="auto" w:fill="C6D9F1"/>
          </w:tcPr>
          <w:p w:rsidR="001B477C" w:rsidRPr="001B477C" w:rsidRDefault="001B477C" w:rsidP="001B477C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231F20"/>
              </w:rPr>
            </w:pPr>
            <w:r w:rsidRPr="001B477C">
              <w:rPr>
                <w:rFonts w:eastAsia="Calibri"/>
                <w:color w:val="231F20"/>
              </w:rPr>
              <w:t>Definitions</w:t>
            </w:r>
          </w:p>
        </w:tc>
      </w:tr>
      <w:tr w:rsidR="001B477C" w:rsidRPr="001B477C" w:rsidTr="001B47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0" w:type="dxa"/>
          </w:tcPr>
          <w:p w:rsidR="001B477C" w:rsidRPr="001B477C" w:rsidRDefault="001B477C" w:rsidP="001B477C">
            <w:pPr>
              <w:autoSpaceDE w:val="0"/>
              <w:autoSpaceDN w:val="0"/>
              <w:bidi w:val="0"/>
              <w:adjustRightInd w:val="0"/>
              <w:spacing w:line="194" w:lineRule="exact"/>
              <w:ind w:left="-23" w:right="-20" w:firstLine="23"/>
              <w:rPr>
                <w:rFonts w:eastAsia="Calibri"/>
                <w:color w:val="231F20"/>
                <w:w w:val="97"/>
                <w:sz w:val="20"/>
                <w:szCs w:val="20"/>
              </w:rPr>
            </w:pPr>
          </w:p>
          <w:p w:rsidR="001B477C" w:rsidRPr="001B477C" w:rsidRDefault="001B477C" w:rsidP="001B477C">
            <w:pPr>
              <w:autoSpaceDE w:val="0"/>
              <w:autoSpaceDN w:val="0"/>
              <w:bidi w:val="0"/>
              <w:adjustRightInd w:val="0"/>
              <w:spacing w:line="194" w:lineRule="exact"/>
              <w:ind w:left="-23" w:right="-20" w:firstLine="23"/>
              <w:rPr>
                <w:rFonts w:eastAsia="Calibri"/>
                <w:color w:val="231F20"/>
                <w:sz w:val="20"/>
                <w:szCs w:val="20"/>
              </w:rPr>
            </w:pPr>
            <w:proofErr w:type="spellStart"/>
            <w:r w:rsidRPr="001B477C">
              <w:rPr>
                <w:rFonts w:eastAsia="Calibri"/>
                <w:color w:val="231F20"/>
                <w:w w:val="97"/>
                <w:sz w:val="20"/>
                <w:szCs w:val="20"/>
              </w:rPr>
              <w:t>N</w:t>
            </w:r>
            <w:r w:rsidRPr="001B477C">
              <w:rPr>
                <w:rFonts w:eastAsia="Calibri"/>
                <w:color w:val="231F20"/>
                <w:spacing w:val="-4"/>
                <w:w w:val="97"/>
                <w:sz w:val="20"/>
                <w:szCs w:val="20"/>
              </w:rPr>
              <w:t>e</w:t>
            </w:r>
            <w:r w:rsidRPr="001B477C">
              <w:rPr>
                <w:rFonts w:eastAsia="Calibri"/>
                <w:color w:val="231F20"/>
                <w:w w:val="97"/>
                <w:sz w:val="20"/>
                <w:szCs w:val="20"/>
              </w:rPr>
              <w:t>p</w:t>
            </w:r>
            <w:r w:rsidRPr="001B477C">
              <w:rPr>
                <w:rFonts w:eastAsia="Calibri"/>
                <w:color w:val="231F20"/>
                <w:spacing w:val="-4"/>
                <w:w w:val="97"/>
                <w:sz w:val="20"/>
                <w:szCs w:val="20"/>
              </w:rPr>
              <w:t>h</w:t>
            </w:r>
            <w:r w:rsidRPr="001B477C">
              <w:rPr>
                <w:rFonts w:eastAsia="Calibri"/>
                <w:color w:val="231F20"/>
                <w:w w:val="97"/>
                <w:sz w:val="20"/>
                <w:szCs w:val="20"/>
              </w:rPr>
              <w:t>r</w:t>
            </w:r>
            <w:r w:rsidRPr="001B477C">
              <w:rPr>
                <w:rFonts w:eastAsia="Calibri"/>
                <w:color w:val="231F20"/>
                <w:spacing w:val="-4"/>
                <w:w w:val="97"/>
                <w:sz w:val="20"/>
                <w:szCs w:val="20"/>
              </w:rPr>
              <w:t>o</w:t>
            </w:r>
            <w:r w:rsidRPr="001B477C">
              <w:rPr>
                <w:rFonts w:eastAsia="Calibri"/>
                <w:color w:val="231F20"/>
                <w:w w:val="97"/>
                <w:sz w:val="20"/>
                <w:szCs w:val="20"/>
              </w:rPr>
              <w:t>t</w:t>
            </w:r>
            <w:r w:rsidRPr="001B477C">
              <w:rPr>
                <w:rFonts w:eastAsia="Calibri"/>
                <w:color w:val="231F20"/>
                <w:spacing w:val="-3"/>
                <w:w w:val="97"/>
                <w:sz w:val="20"/>
                <w:szCs w:val="20"/>
              </w:rPr>
              <w:t>ic</w:t>
            </w:r>
            <w:proofErr w:type="spellEnd"/>
            <w:r w:rsidRPr="001B477C">
              <w:rPr>
                <w:rFonts w:eastAsia="Calibri"/>
                <w:color w:val="231F20"/>
                <w:w w:val="97"/>
                <w:sz w:val="20"/>
                <w:szCs w:val="20"/>
              </w:rPr>
              <w:t>-</w:t>
            </w:r>
            <w:r w:rsidRPr="001B477C">
              <w:rPr>
                <w:rFonts w:eastAsia="Calibri"/>
                <w:color w:val="231F20"/>
                <w:spacing w:val="-4"/>
                <w:w w:val="97"/>
                <w:sz w:val="20"/>
                <w:szCs w:val="20"/>
              </w:rPr>
              <w:t>r</w:t>
            </w:r>
            <w:r w:rsidRPr="001B477C">
              <w:rPr>
                <w:rFonts w:eastAsia="Calibri"/>
                <w:color w:val="231F20"/>
                <w:w w:val="97"/>
                <w:sz w:val="20"/>
                <w:szCs w:val="20"/>
              </w:rPr>
              <w:t>a</w:t>
            </w:r>
            <w:r w:rsidRPr="001B477C">
              <w:rPr>
                <w:rFonts w:eastAsia="Calibri"/>
                <w:color w:val="231F20"/>
                <w:spacing w:val="-3"/>
                <w:w w:val="97"/>
                <w:sz w:val="20"/>
                <w:szCs w:val="20"/>
              </w:rPr>
              <w:t>n</w:t>
            </w:r>
            <w:r w:rsidRPr="001B477C">
              <w:rPr>
                <w:rFonts w:eastAsia="Calibri"/>
                <w:color w:val="231F20"/>
                <w:w w:val="97"/>
                <w:sz w:val="20"/>
                <w:szCs w:val="20"/>
              </w:rPr>
              <w:t>ge</w:t>
            </w:r>
            <w:r w:rsidRPr="001B477C">
              <w:rPr>
                <w:rFonts w:eastAsia="Calibri"/>
                <w:color w:val="231F20"/>
                <w:spacing w:val="8"/>
                <w:w w:val="97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color w:val="231F20"/>
                <w:sz w:val="20"/>
                <w:szCs w:val="20"/>
              </w:rPr>
              <w:t>p</w:t>
            </w:r>
            <w:r w:rsidRPr="001B477C">
              <w:rPr>
                <w:rFonts w:eastAsia="Calibri"/>
                <w:color w:val="231F20"/>
                <w:spacing w:val="-4"/>
                <w:sz w:val="20"/>
                <w:szCs w:val="20"/>
              </w:rPr>
              <w:t>r</w:t>
            </w:r>
            <w:r w:rsidRPr="001B477C">
              <w:rPr>
                <w:rFonts w:eastAsia="Calibri"/>
                <w:color w:val="231F20"/>
                <w:sz w:val="20"/>
                <w:szCs w:val="20"/>
              </w:rPr>
              <w:t>o</w:t>
            </w:r>
            <w:r w:rsidRPr="001B477C">
              <w:rPr>
                <w:rFonts w:eastAsia="Calibri"/>
                <w:color w:val="231F20"/>
                <w:spacing w:val="-3"/>
                <w:sz w:val="20"/>
                <w:szCs w:val="20"/>
              </w:rPr>
              <w:t>t</w:t>
            </w:r>
            <w:r w:rsidRPr="001B477C">
              <w:rPr>
                <w:rFonts w:eastAsia="Calibri"/>
                <w:color w:val="231F20"/>
                <w:sz w:val="20"/>
                <w:szCs w:val="20"/>
              </w:rPr>
              <w:t>e</w:t>
            </w:r>
            <w:r w:rsidRPr="001B477C">
              <w:rPr>
                <w:rFonts w:eastAsia="Calibri"/>
                <w:color w:val="231F20"/>
                <w:spacing w:val="-4"/>
                <w:sz w:val="20"/>
                <w:szCs w:val="20"/>
              </w:rPr>
              <w:t>i</w:t>
            </w:r>
            <w:r w:rsidRPr="001B477C">
              <w:rPr>
                <w:rFonts w:eastAsia="Calibri"/>
                <w:color w:val="231F20"/>
                <w:sz w:val="20"/>
                <w:szCs w:val="20"/>
              </w:rPr>
              <w:t>n</w:t>
            </w:r>
            <w:r w:rsidRPr="001B477C">
              <w:rPr>
                <w:rFonts w:eastAsia="Calibri"/>
                <w:color w:val="231F20"/>
                <w:spacing w:val="-4"/>
                <w:sz w:val="20"/>
                <w:szCs w:val="20"/>
              </w:rPr>
              <w:t>u</w:t>
            </w:r>
            <w:r w:rsidRPr="001B477C">
              <w:rPr>
                <w:rFonts w:eastAsia="Calibri"/>
                <w:color w:val="231F20"/>
                <w:sz w:val="20"/>
                <w:szCs w:val="20"/>
              </w:rPr>
              <w:t>r</w:t>
            </w:r>
            <w:r w:rsidRPr="001B477C">
              <w:rPr>
                <w:rFonts w:eastAsia="Calibri"/>
                <w:color w:val="231F20"/>
                <w:spacing w:val="-4"/>
                <w:sz w:val="20"/>
                <w:szCs w:val="20"/>
              </w:rPr>
              <w:t>i</w:t>
            </w:r>
            <w:r w:rsidRPr="001B477C">
              <w:rPr>
                <w:rFonts w:eastAsia="Calibri"/>
                <w:color w:val="231F20"/>
                <w:sz w:val="20"/>
                <w:szCs w:val="20"/>
              </w:rPr>
              <w:t xml:space="preserve">a </w:t>
            </w:r>
          </w:p>
          <w:p w:rsidR="001B477C" w:rsidRPr="001B477C" w:rsidRDefault="001B477C" w:rsidP="001B477C">
            <w:pPr>
              <w:autoSpaceDE w:val="0"/>
              <w:autoSpaceDN w:val="0"/>
              <w:bidi w:val="0"/>
              <w:adjustRightInd w:val="0"/>
              <w:spacing w:line="194" w:lineRule="exact"/>
              <w:ind w:left="-23" w:right="-20" w:firstLine="23"/>
              <w:rPr>
                <w:rFonts w:eastAsia="Calibri"/>
                <w:color w:val="231F20"/>
                <w:sz w:val="20"/>
                <w:szCs w:val="20"/>
              </w:rPr>
            </w:pPr>
          </w:p>
        </w:tc>
        <w:tc>
          <w:tcPr>
            <w:tcW w:w="7055" w:type="dxa"/>
          </w:tcPr>
          <w:p w:rsidR="001B477C" w:rsidRPr="001B477C" w:rsidRDefault="001B477C" w:rsidP="001B477C">
            <w:pPr>
              <w:autoSpaceDE w:val="0"/>
              <w:autoSpaceDN w:val="0"/>
              <w:bidi w:val="0"/>
              <w:adjustRightInd w:val="0"/>
              <w:spacing w:line="194" w:lineRule="exact"/>
              <w:ind w:right="-20" w:firstLine="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bCs/>
                <w:color w:val="231F20"/>
                <w:sz w:val="20"/>
                <w:szCs w:val="20"/>
              </w:rPr>
            </w:pPr>
          </w:p>
          <w:p w:rsidR="001B477C" w:rsidRPr="001B477C" w:rsidRDefault="001B477C" w:rsidP="001B477C">
            <w:pPr>
              <w:autoSpaceDE w:val="0"/>
              <w:autoSpaceDN w:val="0"/>
              <w:bidi w:val="0"/>
              <w:adjustRightInd w:val="0"/>
              <w:spacing w:line="194" w:lineRule="exact"/>
              <w:ind w:right="-20" w:firstLine="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bCs/>
                <w:color w:val="231F20"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UPCR ≥</w:t>
            </w:r>
            <w:r w:rsidRPr="001B477C">
              <w:rPr>
                <w:rFonts w:eastAsia="Calibri"/>
                <w:b/>
                <w:bCs/>
                <w:color w:val="231F20"/>
                <w:spacing w:val="-17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2</w:t>
            </w:r>
            <w:r w:rsidRPr="001B477C">
              <w:rPr>
                <w:rFonts w:eastAsia="Calibri"/>
                <w:b/>
                <w:bCs/>
                <w:color w:val="231F20"/>
                <w:spacing w:val="-4"/>
                <w:sz w:val="20"/>
                <w:szCs w:val="20"/>
              </w:rPr>
              <w:t>0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0</w:t>
            </w:r>
            <w:r w:rsidRPr="001B477C">
              <w:rPr>
                <w:rFonts w:eastAsia="Calibri"/>
                <w:b/>
                <w:bCs/>
                <w:color w:val="231F20"/>
                <w:spacing w:val="9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b/>
                <w:bCs/>
                <w:color w:val="231F20"/>
                <w:spacing w:val="-2"/>
                <w:sz w:val="20"/>
                <w:szCs w:val="20"/>
              </w:rPr>
              <w:t>m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g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>/</w:t>
            </w:r>
            <w:proofErr w:type="spellStart"/>
            <w:r w:rsidRPr="001B477C">
              <w:rPr>
                <w:rFonts w:eastAsia="Calibri"/>
                <w:b/>
                <w:bCs/>
                <w:color w:val="231F20"/>
                <w:spacing w:val="-2"/>
                <w:sz w:val="20"/>
                <w:szCs w:val="20"/>
              </w:rPr>
              <w:t>m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m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>o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l</w:t>
            </w:r>
            <w:proofErr w:type="spellEnd"/>
            <w:r w:rsidRPr="001B477C">
              <w:rPr>
                <w:rFonts w:eastAsia="Calibri"/>
                <w:b/>
                <w:bCs/>
                <w:color w:val="231F20"/>
                <w:spacing w:val="-11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b/>
                <w:bCs/>
                <w:color w:val="231F20"/>
                <w:spacing w:val="-2"/>
                <w:sz w:val="20"/>
                <w:szCs w:val="20"/>
              </w:rPr>
              <w:t>(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2</w:t>
            </w:r>
            <w:r w:rsidRPr="001B477C">
              <w:rPr>
                <w:rFonts w:eastAsia="Calibri"/>
                <w:b/>
                <w:bCs/>
                <w:color w:val="231F20"/>
                <w:spacing w:val="9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b/>
                <w:bCs/>
                <w:color w:val="231F20"/>
                <w:spacing w:val="-2"/>
                <w:sz w:val="20"/>
                <w:szCs w:val="20"/>
              </w:rPr>
              <w:t>m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g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>/</w:t>
            </w:r>
            <w:r w:rsidRPr="001B477C">
              <w:rPr>
                <w:rFonts w:eastAsia="Calibri"/>
                <w:b/>
                <w:bCs/>
                <w:color w:val="231F20"/>
                <w:spacing w:val="-2"/>
                <w:sz w:val="20"/>
                <w:szCs w:val="20"/>
              </w:rPr>
              <w:t>m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g)</w:t>
            </w:r>
            <w:r w:rsidRPr="001B477C">
              <w:rPr>
                <w:rFonts w:eastAsia="Calibri"/>
                <w:b/>
                <w:bCs/>
                <w:color w:val="231F20"/>
                <w:spacing w:val="-11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in</w:t>
            </w:r>
            <w:r w:rsidRPr="001B477C">
              <w:rPr>
                <w:rFonts w:eastAsia="Calibri"/>
                <w:b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b/>
                <w:bCs/>
                <w:color w:val="231F20"/>
                <w:spacing w:val="-2"/>
                <w:sz w:val="20"/>
                <w:szCs w:val="20"/>
              </w:rPr>
              <w:t>f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i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>r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st</w:t>
            </w:r>
            <w:r w:rsidRPr="001B477C">
              <w:rPr>
                <w:rFonts w:eastAsia="Calibri"/>
                <w:b/>
                <w:bCs/>
                <w:color w:val="231F20"/>
                <w:spacing w:val="-10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b/>
                <w:bCs/>
                <w:color w:val="231F20"/>
                <w:spacing w:val="-2"/>
                <w:sz w:val="20"/>
                <w:szCs w:val="20"/>
              </w:rPr>
              <w:t>m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o</w:t>
            </w:r>
            <w:r w:rsidRPr="001B477C">
              <w:rPr>
                <w:rFonts w:eastAsia="Calibri"/>
                <w:b/>
                <w:bCs/>
                <w:color w:val="231F20"/>
                <w:spacing w:val="-4"/>
                <w:sz w:val="20"/>
                <w:szCs w:val="20"/>
              </w:rPr>
              <w:t>r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n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>i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ng</w:t>
            </w:r>
            <w:r w:rsidRPr="001B477C">
              <w:rPr>
                <w:rFonts w:eastAsia="Calibri"/>
                <w:b/>
                <w:bCs/>
                <w:color w:val="231F20"/>
                <w:spacing w:val="-11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v</w:t>
            </w:r>
            <w:r w:rsidRPr="001B477C">
              <w:rPr>
                <w:rFonts w:eastAsia="Calibri"/>
                <w:b/>
                <w:bCs/>
                <w:color w:val="231F20"/>
                <w:spacing w:val="-4"/>
                <w:sz w:val="20"/>
                <w:szCs w:val="20"/>
              </w:rPr>
              <w:t>o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id</w:t>
            </w:r>
            <w:r w:rsidRPr="001B477C">
              <w:rPr>
                <w:rFonts w:eastAsia="Calibri"/>
                <w:b/>
                <w:bCs/>
                <w:color w:val="231F20"/>
                <w:spacing w:val="-5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or</w:t>
            </w:r>
          </w:p>
          <w:p w:rsidR="001B477C" w:rsidRPr="001B477C" w:rsidRDefault="001B477C" w:rsidP="001B477C">
            <w:pPr>
              <w:autoSpaceDE w:val="0"/>
              <w:autoSpaceDN w:val="0"/>
              <w:bidi w:val="0"/>
              <w:adjustRightInd w:val="0"/>
              <w:spacing w:line="194" w:lineRule="exact"/>
              <w:ind w:right="-20" w:firstLine="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24</w:t>
            </w:r>
            <w:r w:rsidRPr="001B477C">
              <w:rPr>
                <w:rFonts w:eastAsia="Calibri"/>
                <w:b/>
                <w:bCs/>
                <w:color w:val="231F20"/>
                <w:spacing w:val="8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h u</w:t>
            </w:r>
            <w:r w:rsidRPr="001B477C">
              <w:rPr>
                <w:rFonts w:eastAsia="Calibri"/>
                <w:b/>
                <w:bCs/>
                <w:color w:val="231F20"/>
                <w:spacing w:val="-4"/>
                <w:sz w:val="20"/>
                <w:szCs w:val="20"/>
              </w:rPr>
              <w:t>r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i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>n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e</w:t>
            </w:r>
            <w:r w:rsidRPr="001B477C">
              <w:rPr>
                <w:rFonts w:eastAsia="Calibri"/>
                <w:b/>
                <w:bCs/>
                <w:color w:val="231F20"/>
                <w:spacing w:val="-6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s</w:t>
            </w:r>
            <w:r w:rsidRPr="001B477C">
              <w:rPr>
                <w:rFonts w:eastAsia="Calibri"/>
                <w:b/>
                <w:bCs/>
                <w:color w:val="231F20"/>
                <w:spacing w:val="-4"/>
                <w:sz w:val="20"/>
                <w:szCs w:val="20"/>
              </w:rPr>
              <w:t>a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m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>pl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e</w:t>
            </w:r>
            <w:r w:rsidRPr="001B477C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≥</w:t>
            </w:r>
            <w:r w:rsidRPr="001B477C">
              <w:rPr>
                <w:rFonts w:eastAsia="Calibri"/>
                <w:b/>
                <w:bCs/>
                <w:color w:val="231F20"/>
                <w:spacing w:val="-17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1</w:t>
            </w:r>
            <w:r w:rsidRPr="001B477C">
              <w:rPr>
                <w:rFonts w:eastAsia="Calibri"/>
                <w:b/>
                <w:bCs/>
                <w:color w:val="231F20"/>
                <w:spacing w:val="-4"/>
                <w:sz w:val="20"/>
                <w:szCs w:val="20"/>
              </w:rPr>
              <w:t>0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00</w:t>
            </w:r>
            <w:r w:rsidRPr="001B477C">
              <w:rPr>
                <w:rFonts w:eastAsia="Calibri"/>
                <w:b/>
                <w:bCs/>
                <w:color w:val="231F20"/>
                <w:spacing w:val="6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m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>g/</w:t>
            </w:r>
            <w:r w:rsidRPr="001B477C">
              <w:rPr>
                <w:rFonts w:eastAsia="Calibri"/>
                <w:b/>
                <w:bCs/>
                <w:color w:val="231F20"/>
                <w:spacing w:val="-1"/>
                <w:sz w:val="20"/>
                <w:szCs w:val="20"/>
              </w:rPr>
              <w:t>m</w:t>
            </w:r>
            <w:r w:rsidRPr="001B477C">
              <w:rPr>
                <w:rFonts w:eastAsia="Calibri"/>
                <w:b/>
                <w:bCs/>
                <w:color w:val="231F20"/>
                <w:spacing w:val="-2"/>
                <w:position w:val="7"/>
                <w:sz w:val="20"/>
                <w:szCs w:val="20"/>
              </w:rPr>
              <w:t>2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/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>da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y</w:t>
            </w:r>
            <w:r w:rsidRPr="001B477C">
              <w:rPr>
                <w:rFonts w:eastAsia="Calibri"/>
                <w:b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w w:val="98"/>
                <w:sz w:val="20"/>
                <w:szCs w:val="20"/>
              </w:rPr>
              <w:t>c</w:t>
            </w:r>
            <w:r w:rsidRPr="001B477C">
              <w:rPr>
                <w:rFonts w:eastAsia="Calibri"/>
                <w:b/>
                <w:bCs/>
                <w:color w:val="231F20"/>
                <w:w w:val="98"/>
                <w:sz w:val="20"/>
                <w:szCs w:val="20"/>
              </w:rPr>
              <w:t>o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w w:val="98"/>
                <w:sz w:val="20"/>
                <w:szCs w:val="20"/>
              </w:rPr>
              <w:t>r</w:t>
            </w:r>
            <w:r w:rsidRPr="001B477C">
              <w:rPr>
                <w:rFonts w:eastAsia="Calibri"/>
                <w:b/>
                <w:bCs/>
                <w:color w:val="231F20"/>
                <w:spacing w:val="-2"/>
                <w:w w:val="98"/>
                <w:sz w:val="20"/>
                <w:szCs w:val="20"/>
              </w:rPr>
              <w:t>r</w:t>
            </w:r>
            <w:r w:rsidRPr="001B477C">
              <w:rPr>
                <w:rFonts w:eastAsia="Calibri"/>
                <w:b/>
                <w:bCs/>
                <w:color w:val="231F20"/>
                <w:w w:val="98"/>
                <w:sz w:val="20"/>
                <w:szCs w:val="20"/>
              </w:rPr>
              <w:t>e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w w:val="98"/>
                <w:sz w:val="20"/>
                <w:szCs w:val="20"/>
              </w:rPr>
              <w:t>s</w:t>
            </w:r>
            <w:r w:rsidRPr="001B477C">
              <w:rPr>
                <w:rFonts w:eastAsia="Calibri"/>
                <w:b/>
                <w:bCs/>
                <w:color w:val="231F20"/>
                <w:w w:val="98"/>
                <w:sz w:val="20"/>
                <w:szCs w:val="20"/>
              </w:rPr>
              <w:t>p</w:t>
            </w:r>
            <w:r w:rsidRPr="001B477C">
              <w:rPr>
                <w:rFonts w:eastAsia="Calibri"/>
                <w:b/>
                <w:bCs/>
                <w:color w:val="231F20"/>
                <w:spacing w:val="-4"/>
                <w:w w:val="98"/>
                <w:sz w:val="20"/>
                <w:szCs w:val="20"/>
              </w:rPr>
              <w:t>o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w w:val="98"/>
                <w:sz w:val="20"/>
                <w:szCs w:val="20"/>
              </w:rPr>
              <w:t>n</w:t>
            </w:r>
            <w:r w:rsidRPr="001B477C">
              <w:rPr>
                <w:rFonts w:eastAsia="Calibri"/>
                <w:b/>
                <w:bCs/>
                <w:color w:val="231F20"/>
                <w:w w:val="98"/>
                <w:sz w:val="20"/>
                <w:szCs w:val="20"/>
              </w:rPr>
              <w:t>d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w w:val="98"/>
                <w:sz w:val="20"/>
                <w:szCs w:val="20"/>
              </w:rPr>
              <w:t>i</w:t>
            </w:r>
            <w:r w:rsidRPr="001B477C">
              <w:rPr>
                <w:rFonts w:eastAsia="Calibri"/>
                <w:b/>
                <w:bCs/>
                <w:color w:val="231F20"/>
                <w:w w:val="98"/>
                <w:sz w:val="20"/>
                <w:szCs w:val="20"/>
              </w:rPr>
              <w:t>ng</w:t>
            </w:r>
            <w:r w:rsidRPr="001B477C">
              <w:rPr>
                <w:rFonts w:eastAsia="Calibri"/>
                <w:b/>
                <w:bCs/>
                <w:color w:val="231F20"/>
                <w:spacing w:val="3"/>
                <w:w w:val="98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to</w:t>
            </w:r>
            <w:r w:rsidRPr="001B477C">
              <w:rPr>
                <w:rFonts w:eastAsia="Calibri"/>
                <w:b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3+</w:t>
            </w:r>
            <w:r w:rsidRPr="001B477C">
              <w:rPr>
                <w:rFonts w:eastAsia="Calibri"/>
                <w:b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or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4+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</w:p>
          <w:p w:rsidR="001B477C" w:rsidRPr="001B477C" w:rsidRDefault="001B477C" w:rsidP="001B477C">
            <w:pPr>
              <w:autoSpaceDE w:val="0"/>
              <w:autoSpaceDN w:val="0"/>
              <w:bidi w:val="0"/>
              <w:adjustRightInd w:val="0"/>
              <w:spacing w:line="194" w:lineRule="exact"/>
              <w:ind w:right="-20" w:firstLine="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by</w:t>
            </w:r>
            <w:proofErr w:type="gramEnd"/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u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>r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i</w:t>
            </w:r>
            <w:r w:rsidRPr="001B477C">
              <w:rPr>
                <w:rFonts w:eastAsia="Calibri"/>
                <w:b/>
                <w:bCs/>
                <w:color w:val="231F20"/>
                <w:spacing w:val="-5"/>
                <w:sz w:val="20"/>
                <w:szCs w:val="20"/>
              </w:rPr>
              <w:t>n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e</w:t>
            </w:r>
            <w:r w:rsidRPr="001B477C">
              <w:rPr>
                <w:rFonts w:eastAsia="Calibri"/>
                <w:b/>
                <w:bCs/>
                <w:color w:val="231F20"/>
                <w:spacing w:val="-6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d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>i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p</w:t>
            </w:r>
            <w:r w:rsidRPr="001B477C">
              <w:rPr>
                <w:rFonts w:eastAsia="Calibri"/>
                <w:b/>
                <w:bCs/>
                <w:color w:val="231F20"/>
                <w:spacing w:val="-4"/>
                <w:sz w:val="20"/>
                <w:szCs w:val="20"/>
              </w:rPr>
              <w:t>s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t</w:t>
            </w:r>
            <w:r w:rsidRPr="001B477C">
              <w:rPr>
                <w:rFonts w:eastAsia="Calibri"/>
                <w:b/>
                <w:bCs/>
                <w:color w:val="231F20"/>
                <w:spacing w:val="-4"/>
                <w:sz w:val="20"/>
                <w:szCs w:val="20"/>
              </w:rPr>
              <w:t>i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ck.</w:t>
            </w:r>
          </w:p>
        </w:tc>
      </w:tr>
      <w:tr w:rsidR="001B477C" w:rsidRPr="001B477C" w:rsidTr="001B47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0" w:type="dxa"/>
          </w:tcPr>
          <w:p w:rsidR="001B477C" w:rsidRPr="001B477C" w:rsidRDefault="001B477C" w:rsidP="001B477C">
            <w:pPr>
              <w:bidi w:val="0"/>
              <w:ind w:left="-23" w:firstLine="23"/>
              <w:rPr>
                <w:rFonts w:eastAsia="Calibri"/>
                <w:color w:val="231F20"/>
                <w:sz w:val="20"/>
                <w:szCs w:val="20"/>
              </w:rPr>
            </w:pPr>
            <w:proofErr w:type="spellStart"/>
            <w:r w:rsidRPr="001B477C">
              <w:rPr>
                <w:rFonts w:eastAsia="Calibri"/>
                <w:color w:val="231F20"/>
                <w:sz w:val="20"/>
                <w:szCs w:val="20"/>
              </w:rPr>
              <w:t>N</w:t>
            </w:r>
            <w:r w:rsidRPr="001B477C">
              <w:rPr>
                <w:rFonts w:eastAsia="Calibri"/>
                <w:color w:val="231F20"/>
                <w:spacing w:val="-4"/>
                <w:sz w:val="20"/>
                <w:szCs w:val="20"/>
              </w:rPr>
              <w:t>e</w:t>
            </w:r>
            <w:r w:rsidRPr="001B477C">
              <w:rPr>
                <w:rFonts w:eastAsia="Calibri"/>
                <w:color w:val="231F20"/>
                <w:sz w:val="20"/>
                <w:szCs w:val="20"/>
              </w:rPr>
              <w:t>p</w:t>
            </w:r>
            <w:r w:rsidRPr="001B477C">
              <w:rPr>
                <w:rFonts w:eastAsia="Calibri"/>
                <w:color w:val="231F20"/>
                <w:spacing w:val="-4"/>
                <w:sz w:val="20"/>
                <w:szCs w:val="20"/>
              </w:rPr>
              <w:t>h</w:t>
            </w:r>
            <w:r w:rsidRPr="001B477C">
              <w:rPr>
                <w:rFonts w:eastAsia="Calibri"/>
                <w:color w:val="231F20"/>
                <w:sz w:val="20"/>
                <w:szCs w:val="20"/>
              </w:rPr>
              <w:t>r</w:t>
            </w:r>
            <w:r w:rsidRPr="001B477C">
              <w:rPr>
                <w:rFonts w:eastAsia="Calibri"/>
                <w:color w:val="231F20"/>
                <w:spacing w:val="-4"/>
                <w:sz w:val="20"/>
                <w:szCs w:val="20"/>
              </w:rPr>
              <w:t>o</w:t>
            </w:r>
            <w:r w:rsidRPr="001B477C">
              <w:rPr>
                <w:rFonts w:eastAsia="Calibri"/>
                <w:color w:val="231F20"/>
                <w:sz w:val="20"/>
                <w:szCs w:val="20"/>
              </w:rPr>
              <w:t>t</w:t>
            </w:r>
            <w:r w:rsidRPr="001B477C">
              <w:rPr>
                <w:rFonts w:eastAsia="Calibri"/>
                <w:color w:val="231F20"/>
                <w:spacing w:val="-3"/>
                <w:sz w:val="20"/>
                <w:szCs w:val="20"/>
              </w:rPr>
              <w:t>i</w:t>
            </w:r>
            <w:r w:rsidRPr="001B477C">
              <w:rPr>
                <w:rFonts w:eastAsia="Calibri"/>
                <w:color w:val="231F20"/>
                <w:sz w:val="20"/>
                <w:szCs w:val="20"/>
              </w:rPr>
              <w:t>c</w:t>
            </w:r>
            <w:proofErr w:type="spellEnd"/>
            <w:r w:rsidRPr="001B477C">
              <w:rPr>
                <w:rFonts w:eastAsia="Calibri"/>
                <w:color w:val="231F20"/>
                <w:spacing w:val="-13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color w:val="231F20"/>
                <w:sz w:val="20"/>
                <w:szCs w:val="20"/>
              </w:rPr>
              <w:t>s</w:t>
            </w:r>
            <w:r w:rsidRPr="001B477C">
              <w:rPr>
                <w:rFonts w:eastAsia="Calibri"/>
                <w:color w:val="231F20"/>
                <w:spacing w:val="-4"/>
                <w:sz w:val="20"/>
                <w:szCs w:val="20"/>
              </w:rPr>
              <w:t>y</w:t>
            </w:r>
            <w:r w:rsidRPr="001B477C">
              <w:rPr>
                <w:rFonts w:eastAsia="Calibri"/>
                <w:color w:val="231F20"/>
                <w:sz w:val="20"/>
                <w:szCs w:val="20"/>
              </w:rPr>
              <w:t>n</w:t>
            </w:r>
            <w:r w:rsidRPr="001B477C">
              <w:rPr>
                <w:rFonts w:eastAsia="Calibri"/>
                <w:color w:val="231F20"/>
                <w:spacing w:val="-5"/>
                <w:sz w:val="20"/>
                <w:szCs w:val="20"/>
              </w:rPr>
              <w:t>d</w:t>
            </w:r>
            <w:r w:rsidRPr="001B477C">
              <w:rPr>
                <w:rFonts w:eastAsia="Calibri"/>
                <w:color w:val="231F20"/>
                <w:sz w:val="20"/>
                <w:szCs w:val="20"/>
              </w:rPr>
              <w:t>r</w:t>
            </w:r>
            <w:r w:rsidRPr="001B477C">
              <w:rPr>
                <w:rFonts w:eastAsia="Calibri"/>
                <w:color w:val="231F20"/>
                <w:spacing w:val="-3"/>
                <w:sz w:val="20"/>
                <w:szCs w:val="20"/>
              </w:rPr>
              <w:t>o</w:t>
            </w:r>
            <w:r w:rsidRPr="001B477C">
              <w:rPr>
                <w:rFonts w:eastAsia="Calibri"/>
                <w:color w:val="231F20"/>
                <w:spacing w:val="-2"/>
                <w:sz w:val="20"/>
                <w:szCs w:val="20"/>
              </w:rPr>
              <w:t>m</w:t>
            </w:r>
            <w:r w:rsidRPr="001B477C">
              <w:rPr>
                <w:rFonts w:eastAsia="Calibri"/>
                <w:color w:val="231F20"/>
                <w:sz w:val="20"/>
                <w:szCs w:val="20"/>
              </w:rPr>
              <w:t xml:space="preserve">e                                                          </w:t>
            </w:r>
            <w:r w:rsidRPr="001B477C">
              <w:rPr>
                <w:rFonts w:eastAsia="Calibri"/>
                <w:color w:val="231F20"/>
                <w:spacing w:val="22"/>
                <w:sz w:val="20"/>
                <w:szCs w:val="20"/>
              </w:rPr>
              <w:t xml:space="preserve"> </w:t>
            </w:r>
          </w:p>
        </w:tc>
        <w:tc>
          <w:tcPr>
            <w:tcW w:w="7055" w:type="dxa"/>
          </w:tcPr>
          <w:p w:rsidR="001B477C" w:rsidRPr="001B477C" w:rsidRDefault="001B477C" w:rsidP="001B477C">
            <w:pPr>
              <w:autoSpaceDE w:val="0"/>
              <w:autoSpaceDN w:val="0"/>
              <w:bidi w:val="0"/>
              <w:adjustRightInd w:val="0"/>
              <w:spacing w:before="58" w:line="245" w:lineRule="auto"/>
              <w:ind w:right="414" w:firstLine="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N</w:t>
            </w:r>
            <w:r w:rsidRPr="001B477C">
              <w:rPr>
                <w:rFonts w:eastAsia="Calibri"/>
                <w:b/>
                <w:bCs/>
                <w:color w:val="231F20"/>
                <w:spacing w:val="-4"/>
                <w:sz w:val="20"/>
                <w:szCs w:val="20"/>
              </w:rPr>
              <w:t>e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p</w:t>
            </w:r>
            <w:r w:rsidRPr="001B477C">
              <w:rPr>
                <w:rFonts w:eastAsia="Calibri"/>
                <w:b/>
                <w:bCs/>
                <w:color w:val="231F20"/>
                <w:spacing w:val="-4"/>
                <w:sz w:val="20"/>
                <w:szCs w:val="20"/>
              </w:rPr>
              <w:t>h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r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>ot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i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>c</w:t>
            </w:r>
            <w:proofErr w:type="spellEnd"/>
            <w:r w:rsidRPr="001B477C">
              <w:rPr>
                <w:rFonts w:eastAsia="Calibri"/>
                <w:b/>
                <w:bCs/>
                <w:color w:val="231F20"/>
                <w:spacing w:val="-2"/>
                <w:sz w:val="20"/>
                <w:szCs w:val="20"/>
              </w:rPr>
              <w:t>-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r</w:t>
            </w:r>
            <w:r w:rsidRPr="001B477C">
              <w:rPr>
                <w:rFonts w:eastAsia="Calibri"/>
                <w:b/>
                <w:bCs/>
                <w:color w:val="231F20"/>
                <w:spacing w:val="-4"/>
                <w:sz w:val="20"/>
                <w:szCs w:val="20"/>
              </w:rPr>
              <w:t>a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n</w:t>
            </w:r>
            <w:r w:rsidRPr="001B477C">
              <w:rPr>
                <w:rFonts w:eastAsia="Calibri"/>
                <w:b/>
                <w:bCs/>
                <w:color w:val="231F20"/>
                <w:spacing w:val="-4"/>
                <w:sz w:val="20"/>
                <w:szCs w:val="20"/>
              </w:rPr>
              <w:t>g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e</w:t>
            </w:r>
            <w:r w:rsidRPr="001B477C">
              <w:rPr>
                <w:rFonts w:eastAsia="Calibri"/>
                <w:b/>
                <w:bCs/>
                <w:color w:val="231F20"/>
                <w:spacing w:val="1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p</w:t>
            </w:r>
            <w:r w:rsidRPr="001B477C">
              <w:rPr>
                <w:rFonts w:eastAsia="Calibri"/>
                <w:b/>
                <w:bCs/>
                <w:color w:val="231F20"/>
                <w:spacing w:val="-4"/>
                <w:sz w:val="20"/>
                <w:szCs w:val="20"/>
              </w:rPr>
              <w:t>r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o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>t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e</w:t>
            </w:r>
            <w:r w:rsidRPr="001B477C">
              <w:rPr>
                <w:rFonts w:eastAsia="Calibri"/>
                <w:b/>
                <w:bCs/>
                <w:color w:val="231F20"/>
                <w:spacing w:val="-4"/>
                <w:sz w:val="20"/>
                <w:szCs w:val="20"/>
              </w:rPr>
              <w:t>i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n</w:t>
            </w:r>
            <w:r w:rsidRPr="001B477C">
              <w:rPr>
                <w:rFonts w:eastAsia="Calibri"/>
                <w:b/>
                <w:bCs/>
                <w:color w:val="231F20"/>
                <w:spacing w:val="-4"/>
                <w:sz w:val="20"/>
                <w:szCs w:val="20"/>
              </w:rPr>
              <w:t>u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r</w:t>
            </w:r>
            <w:r w:rsidRPr="001B477C">
              <w:rPr>
                <w:rFonts w:eastAsia="Calibri"/>
                <w:b/>
                <w:bCs/>
                <w:color w:val="231F20"/>
                <w:spacing w:val="-4"/>
                <w:sz w:val="20"/>
                <w:szCs w:val="20"/>
              </w:rPr>
              <w:t>i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a</w:t>
            </w:r>
            <w:r w:rsidRPr="001B477C">
              <w:rPr>
                <w:rFonts w:eastAsia="Calibri"/>
                <w:b/>
                <w:bCs/>
                <w:color w:val="231F20"/>
                <w:spacing w:val="-16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a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>n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d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e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>it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h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>e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r</w:t>
            </w:r>
            <w:r w:rsidRPr="001B477C">
              <w:rPr>
                <w:rFonts w:eastAsia="Calibri"/>
                <w:b/>
                <w:bCs/>
                <w:color w:val="231F20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1B477C">
              <w:rPr>
                <w:rFonts w:eastAsia="Calibri"/>
                <w:b/>
                <w:bCs/>
                <w:color w:val="231F20"/>
                <w:w w:val="98"/>
                <w:sz w:val="20"/>
                <w:szCs w:val="20"/>
              </w:rPr>
              <w:t>h</w:t>
            </w:r>
            <w:r w:rsidRPr="001B477C">
              <w:rPr>
                <w:rFonts w:eastAsia="Calibri"/>
                <w:b/>
                <w:bCs/>
                <w:color w:val="231F20"/>
                <w:spacing w:val="-5"/>
                <w:w w:val="98"/>
                <w:sz w:val="20"/>
                <w:szCs w:val="20"/>
              </w:rPr>
              <w:t>y</w:t>
            </w:r>
            <w:r w:rsidRPr="001B477C">
              <w:rPr>
                <w:rFonts w:eastAsia="Calibri"/>
                <w:b/>
                <w:bCs/>
                <w:color w:val="231F20"/>
                <w:w w:val="98"/>
                <w:sz w:val="20"/>
                <w:szCs w:val="20"/>
              </w:rPr>
              <w:t>p</w:t>
            </w:r>
            <w:r w:rsidRPr="001B477C">
              <w:rPr>
                <w:rFonts w:eastAsia="Calibri"/>
                <w:b/>
                <w:bCs/>
                <w:color w:val="231F20"/>
                <w:spacing w:val="-4"/>
                <w:w w:val="98"/>
                <w:sz w:val="20"/>
                <w:szCs w:val="20"/>
              </w:rPr>
              <w:t>o</w:t>
            </w:r>
            <w:r w:rsidRPr="001B477C">
              <w:rPr>
                <w:rFonts w:eastAsia="Calibri"/>
                <w:b/>
                <w:bCs/>
                <w:color w:val="231F20"/>
                <w:w w:val="98"/>
                <w:sz w:val="20"/>
                <w:szCs w:val="20"/>
              </w:rPr>
              <w:t>a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w w:val="98"/>
                <w:sz w:val="20"/>
                <w:szCs w:val="20"/>
              </w:rPr>
              <w:t>l</w:t>
            </w:r>
            <w:r w:rsidRPr="001B477C">
              <w:rPr>
                <w:rFonts w:eastAsia="Calibri"/>
                <w:b/>
                <w:bCs/>
                <w:color w:val="231F20"/>
                <w:w w:val="98"/>
                <w:sz w:val="20"/>
                <w:szCs w:val="20"/>
              </w:rPr>
              <w:t>b</w:t>
            </w:r>
            <w:r w:rsidRPr="001B477C">
              <w:rPr>
                <w:rFonts w:eastAsia="Calibri"/>
                <w:b/>
                <w:bCs/>
                <w:color w:val="231F20"/>
                <w:spacing w:val="-4"/>
                <w:w w:val="98"/>
                <w:sz w:val="20"/>
                <w:szCs w:val="20"/>
              </w:rPr>
              <w:t>u</w:t>
            </w:r>
            <w:r w:rsidRPr="001B477C">
              <w:rPr>
                <w:rFonts w:eastAsia="Calibri"/>
                <w:b/>
                <w:bCs/>
                <w:color w:val="231F20"/>
                <w:spacing w:val="-2"/>
                <w:w w:val="98"/>
                <w:sz w:val="20"/>
                <w:szCs w:val="20"/>
              </w:rPr>
              <w:t>m</w:t>
            </w:r>
            <w:r w:rsidRPr="001B477C">
              <w:rPr>
                <w:rFonts w:eastAsia="Calibri"/>
                <w:b/>
                <w:bCs/>
                <w:color w:val="231F20"/>
                <w:w w:val="98"/>
                <w:sz w:val="20"/>
                <w:szCs w:val="20"/>
              </w:rPr>
              <w:t>i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w w:val="98"/>
                <w:sz w:val="20"/>
                <w:szCs w:val="20"/>
              </w:rPr>
              <w:t>ne</w:t>
            </w:r>
            <w:r w:rsidRPr="001B477C">
              <w:rPr>
                <w:rFonts w:eastAsia="Calibri"/>
                <w:b/>
                <w:bCs/>
                <w:color w:val="231F20"/>
                <w:w w:val="98"/>
                <w:sz w:val="20"/>
                <w:szCs w:val="20"/>
              </w:rPr>
              <w:t>m</w:t>
            </w:r>
            <w:r w:rsidRPr="001B477C">
              <w:rPr>
                <w:rFonts w:eastAsia="Calibri"/>
                <w:b/>
                <w:bCs/>
                <w:color w:val="231F20"/>
                <w:spacing w:val="-4"/>
                <w:w w:val="98"/>
                <w:sz w:val="20"/>
                <w:szCs w:val="20"/>
              </w:rPr>
              <w:t>i</w:t>
            </w:r>
            <w:r w:rsidRPr="001B477C">
              <w:rPr>
                <w:rFonts w:eastAsia="Calibri"/>
                <w:b/>
                <w:bCs/>
                <w:color w:val="231F20"/>
                <w:w w:val="98"/>
                <w:sz w:val="20"/>
                <w:szCs w:val="20"/>
              </w:rPr>
              <w:t>a</w:t>
            </w:r>
            <w:proofErr w:type="spellEnd"/>
            <w:r w:rsidRPr="001B477C">
              <w:rPr>
                <w:rFonts w:eastAsia="Calibri"/>
                <w:b/>
                <w:bCs/>
                <w:color w:val="231F20"/>
                <w:spacing w:val="5"/>
                <w:w w:val="98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(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>se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r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>u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m</w:t>
            </w:r>
            <w:r w:rsidRPr="001B477C">
              <w:rPr>
                <w:rFonts w:eastAsia="Calibri"/>
                <w:b/>
                <w:bCs/>
                <w:color w:val="231F20"/>
                <w:spacing w:val="-10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a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>l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b</w:t>
            </w:r>
            <w:r w:rsidRPr="001B477C">
              <w:rPr>
                <w:rFonts w:eastAsia="Calibri"/>
                <w:b/>
                <w:bCs/>
                <w:color w:val="231F20"/>
                <w:spacing w:val="-4"/>
                <w:sz w:val="20"/>
                <w:szCs w:val="20"/>
              </w:rPr>
              <w:t>u</w:t>
            </w:r>
            <w:r w:rsidRPr="001B477C">
              <w:rPr>
                <w:rFonts w:eastAsia="Calibri"/>
                <w:b/>
                <w:bCs/>
                <w:color w:val="231F20"/>
                <w:spacing w:val="-2"/>
                <w:sz w:val="20"/>
                <w:szCs w:val="20"/>
              </w:rPr>
              <w:t>m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in</w:t>
            </w:r>
            <w:r w:rsidRPr="001B477C">
              <w:rPr>
                <w:rFonts w:eastAsia="Calibri"/>
                <w:b/>
                <w:bCs/>
                <w:color w:val="231F20"/>
                <w:spacing w:val="-12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&lt;</w:t>
            </w:r>
            <w:r w:rsidRPr="001B477C">
              <w:rPr>
                <w:rFonts w:eastAsia="Calibri"/>
                <w:b/>
                <w:bCs/>
                <w:color w:val="231F20"/>
                <w:spacing w:val="-12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30</w:t>
            </w:r>
            <w:r w:rsidRPr="001B477C">
              <w:rPr>
                <w:rFonts w:eastAsia="Calibri"/>
                <w:b/>
                <w:bCs/>
                <w:color w:val="231F20"/>
                <w:spacing w:val="7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g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>/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l)</w:t>
            </w:r>
            <w:r w:rsidRPr="001B477C">
              <w:rPr>
                <w:rFonts w:eastAsia="Calibri"/>
                <w:b/>
                <w:bCs/>
                <w:color w:val="231F20"/>
                <w:spacing w:val="-7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or</w:t>
            </w:r>
            <w:r w:rsidRPr="001B477C">
              <w:rPr>
                <w:rFonts w:eastAsia="Calibri"/>
                <w:b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e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>de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ma</w:t>
            </w:r>
            <w:r w:rsidRPr="001B477C">
              <w:rPr>
                <w:rFonts w:eastAsia="Calibri"/>
                <w:b/>
                <w:bCs/>
                <w:color w:val="231F20"/>
                <w:spacing w:val="-9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>w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h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>e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n</w:t>
            </w:r>
            <w:r w:rsidRPr="001B477C">
              <w:rPr>
                <w:rFonts w:eastAsia="Calibri"/>
                <w:b/>
                <w:bCs/>
                <w:color w:val="231F20"/>
                <w:spacing w:val="1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s</w:t>
            </w:r>
            <w:r w:rsidRPr="001B477C">
              <w:rPr>
                <w:rFonts w:eastAsia="Calibri"/>
                <w:b/>
                <w:bCs/>
                <w:color w:val="231F20"/>
                <w:spacing w:val="-4"/>
                <w:sz w:val="20"/>
                <w:szCs w:val="20"/>
              </w:rPr>
              <w:t>e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r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>u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m</w:t>
            </w:r>
            <w:r w:rsidRPr="001B477C">
              <w:rPr>
                <w:rFonts w:eastAsia="Calibri"/>
                <w:b/>
                <w:bCs/>
                <w:color w:val="231F20"/>
                <w:spacing w:val="-6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>a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l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>b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u</w:t>
            </w:r>
            <w:r w:rsidRPr="001B477C">
              <w:rPr>
                <w:rFonts w:eastAsia="Calibri"/>
                <w:b/>
                <w:bCs/>
                <w:color w:val="231F20"/>
                <w:spacing w:val="-4"/>
                <w:sz w:val="20"/>
                <w:szCs w:val="20"/>
              </w:rPr>
              <w:t>m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in</w:t>
            </w:r>
            <w:r w:rsidRPr="001B477C">
              <w:rPr>
                <w:rFonts w:eastAsia="Calibri"/>
                <w:b/>
                <w:bCs/>
                <w:color w:val="231F20"/>
                <w:spacing w:val="-10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l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>ev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el</w:t>
            </w:r>
            <w:r w:rsidRPr="001B477C">
              <w:rPr>
                <w:rFonts w:eastAsia="Calibri"/>
                <w:b/>
                <w:bCs/>
                <w:color w:val="231F20"/>
                <w:spacing w:val="-8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is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n</w:t>
            </w:r>
            <w:r w:rsidRPr="001B477C">
              <w:rPr>
                <w:rFonts w:eastAsia="Calibri"/>
                <w:b/>
                <w:bCs/>
                <w:color w:val="231F20"/>
                <w:spacing w:val="-4"/>
                <w:sz w:val="20"/>
                <w:szCs w:val="20"/>
              </w:rPr>
              <w:t>o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t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 xml:space="preserve"> a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v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>a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i</w:t>
            </w:r>
            <w:r w:rsidRPr="001B477C">
              <w:rPr>
                <w:rFonts w:eastAsia="Calibri"/>
                <w:b/>
                <w:bCs/>
                <w:color w:val="231F20"/>
                <w:spacing w:val="-4"/>
                <w:sz w:val="20"/>
                <w:szCs w:val="20"/>
              </w:rPr>
              <w:t>l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a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>b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le.</w:t>
            </w:r>
          </w:p>
        </w:tc>
      </w:tr>
      <w:tr w:rsidR="001B477C" w:rsidRPr="001B477C" w:rsidTr="001B47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0" w:type="dxa"/>
          </w:tcPr>
          <w:p w:rsidR="001B477C" w:rsidRPr="001B477C" w:rsidRDefault="001B477C" w:rsidP="001B477C">
            <w:pPr>
              <w:bidi w:val="0"/>
              <w:ind w:left="-23" w:firstLine="23"/>
              <w:rPr>
                <w:rFonts w:eastAsia="Calibri"/>
                <w:color w:val="231F20"/>
                <w:sz w:val="20"/>
                <w:szCs w:val="20"/>
              </w:rPr>
            </w:pPr>
          </w:p>
          <w:p w:rsidR="001B477C" w:rsidRPr="001B477C" w:rsidRDefault="001B477C" w:rsidP="001B477C">
            <w:pPr>
              <w:bidi w:val="0"/>
              <w:ind w:left="-23" w:firstLine="23"/>
              <w:rPr>
                <w:rFonts w:eastAsia="Calibri"/>
                <w:color w:val="231F20"/>
                <w:sz w:val="20"/>
                <w:szCs w:val="20"/>
              </w:rPr>
            </w:pPr>
            <w:r w:rsidRPr="001B477C">
              <w:rPr>
                <w:rFonts w:eastAsia="Calibri"/>
                <w:color w:val="231F20"/>
                <w:sz w:val="20"/>
                <w:szCs w:val="20"/>
              </w:rPr>
              <w:t>Complete remission</w:t>
            </w:r>
          </w:p>
          <w:p w:rsidR="001B477C" w:rsidRPr="001B477C" w:rsidRDefault="001B477C" w:rsidP="001B477C">
            <w:pPr>
              <w:bidi w:val="0"/>
              <w:ind w:left="-23" w:firstLine="23"/>
              <w:rPr>
                <w:rFonts w:eastAsia="Calibri"/>
                <w:color w:val="231F20"/>
                <w:sz w:val="20"/>
                <w:szCs w:val="20"/>
              </w:rPr>
            </w:pPr>
          </w:p>
        </w:tc>
        <w:tc>
          <w:tcPr>
            <w:tcW w:w="7055" w:type="dxa"/>
          </w:tcPr>
          <w:p w:rsidR="001B477C" w:rsidRPr="001B477C" w:rsidRDefault="001B477C" w:rsidP="001B477C">
            <w:pPr>
              <w:autoSpaceDE w:val="0"/>
              <w:autoSpaceDN w:val="0"/>
              <w:bidi w:val="0"/>
              <w:adjustRightInd w:val="0"/>
              <w:spacing w:before="58" w:line="245" w:lineRule="auto"/>
              <w:ind w:right="414" w:firstLine="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bCs/>
                <w:color w:val="231F20"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 xml:space="preserve">UPCR (based on first morning void or 24 h urine sample) </w:t>
            </w:r>
            <w:r w:rsidRPr="001B477C">
              <w:rPr>
                <w:rFonts w:eastAsia="MsfjglRbcdpjAdvTT3713a231+22"/>
                <w:b/>
                <w:bCs/>
                <w:color w:val="231F20"/>
                <w:sz w:val="20"/>
                <w:szCs w:val="20"/>
              </w:rPr>
              <w:t xml:space="preserve">≤ 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20 mg/</w:t>
            </w:r>
            <w:proofErr w:type="spellStart"/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mmol</w:t>
            </w:r>
            <w:proofErr w:type="spellEnd"/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 xml:space="preserve"> (0.2 mg/mg) or negative or trace dipstick on three or more consecutive occasions.</w:t>
            </w:r>
          </w:p>
        </w:tc>
      </w:tr>
      <w:tr w:rsidR="001B477C" w:rsidRPr="001B477C" w:rsidTr="001B47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0" w:type="dxa"/>
          </w:tcPr>
          <w:p w:rsidR="001B477C" w:rsidRPr="001B477C" w:rsidRDefault="001B477C" w:rsidP="001B477C">
            <w:pPr>
              <w:bidi w:val="0"/>
              <w:ind w:left="-23" w:firstLine="23"/>
              <w:rPr>
                <w:rFonts w:eastAsia="Calibri"/>
                <w:color w:val="231F20"/>
                <w:sz w:val="20"/>
                <w:szCs w:val="20"/>
              </w:rPr>
            </w:pPr>
            <w:r w:rsidRPr="001B477C">
              <w:rPr>
                <w:rFonts w:eastAsia="Calibri"/>
                <w:color w:val="231F20"/>
                <w:sz w:val="20"/>
                <w:szCs w:val="20"/>
              </w:rPr>
              <w:t>Partial remission</w:t>
            </w:r>
          </w:p>
          <w:p w:rsidR="001B477C" w:rsidRPr="001B477C" w:rsidRDefault="001B477C" w:rsidP="001B477C">
            <w:pPr>
              <w:bidi w:val="0"/>
              <w:ind w:left="-23" w:firstLine="23"/>
              <w:rPr>
                <w:rFonts w:eastAsia="Calibri"/>
                <w:color w:val="231F20"/>
                <w:sz w:val="20"/>
                <w:szCs w:val="20"/>
              </w:rPr>
            </w:pPr>
          </w:p>
        </w:tc>
        <w:tc>
          <w:tcPr>
            <w:tcW w:w="7055" w:type="dxa"/>
          </w:tcPr>
          <w:p w:rsidR="001B477C" w:rsidRPr="001B477C" w:rsidRDefault="001B477C" w:rsidP="001B477C">
            <w:pPr>
              <w:autoSpaceDE w:val="0"/>
              <w:autoSpaceDN w:val="0"/>
              <w:bidi w:val="0"/>
              <w:adjustRightInd w:val="0"/>
              <w:spacing w:before="58" w:line="245" w:lineRule="auto"/>
              <w:ind w:right="414" w:firstLine="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color w:val="231F20"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UPCR (based on first morning void or 24 h urine sample) &gt; 20 but &lt; 200 mg/</w:t>
            </w:r>
            <w:proofErr w:type="spellStart"/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mmol</w:t>
            </w:r>
            <w:proofErr w:type="spellEnd"/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 xml:space="preserve"> and, if available, serum albumin </w:t>
            </w:r>
            <w:r w:rsidRPr="001B477C">
              <w:rPr>
                <w:rFonts w:eastAsia="MsfjglRbcdpjAdvTT3713a231+22"/>
                <w:b/>
                <w:bCs/>
                <w:color w:val="231F20"/>
                <w:sz w:val="20"/>
                <w:szCs w:val="20"/>
              </w:rPr>
              <w:t xml:space="preserve">≥ 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30 g/l.</w:t>
            </w:r>
          </w:p>
        </w:tc>
      </w:tr>
      <w:tr w:rsidR="001B477C" w:rsidRPr="001B477C" w:rsidTr="001B47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0" w:type="dxa"/>
          </w:tcPr>
          <w:p w:rsidR="001B477C" w:rsidRPr="001B477C" w:rsidRDefault="001B477C" w:rsidP="001B477C">
            <w:pPr>
              <w:bidi w:val="0"/>
              <w:ind w:left="-23" w:firstLine="23"/>
              <w:rPr>
                <w:rFonts w:eastAsia="Calibri"/>
                <w:color w:val="231F20"/>
                <w:sz w:val="20"/>
                <w:szCs w:val="20"/>
              </w:rPr>
            </w:pPr>
            <w:r w:rsidRPr="001B477C">
              <w:rPr>
                <w:rFonts w:eastAsia="Calibri"/>
                <w:color w:val="231F20"/>
                <w:sz w:val="20"/>
                <w:szCs w:val="20"/>
              </w:rPr>
              <w:t xml:space="preserve">Relapse </w:t>
            </w:r>
          </w:p>
        </w:tc>
        <w:tc>
          <w:tcPr>
            <w:tcW w:w="7055" w:type="dxa"/>
          </w:tcPr>
          <w:p w:rsidR="001B477C" w:rsidRPr="001B477C" w:rsidRDefault="001B477C" w:rsidP="001B477C">
            <w:pPr>
              <w:autoSpaceDE w:val="0"/>
              <w:autoSpaceDN w:val="0"/>
              <w:bidi w:val="0"/>
              <w:adjustRightInd w:val="0"/>
              <w:ind w:firstLine="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bCs/>
                <w:color w:val="231F20"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 xml:space="preserve">Relapse Recurrence of </w:t>
            </w:r>
            <w:proofErr w:type="spellStart"/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nephrotic</w:t>
            </w:r>
            <w:proofErr w:type="spellEnd"/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-range proteinuria.</w:t>
            </w:r>
          </w:p>
          <w:p w:rsidR="001B477C" w:rsidRPr="001B477C" w:rsidRDefault="001B477C" w:rsidP="001B477C">
            <w:pPr>
              <w:numPr>
                <w:ilvl w:val="0"/>
                <w:numId w:val="2"/>
              </w:numPr>
              <w:tabs>
                <w:tab w:val="left" w:pos="238"/>
              </w:tabs>
              <w:autoSpaceDE w:val="0"/>
              <w:autoSpaceDN w:val="0"/>
              <w:bidi w:val="0"/>
              <w:adjustRightInd w:val="0"/>
              <w:ind w:left="5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bCs/>
                <w:color w:val="231F20"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 xml:space="preserve">In children, relapse is commonly assessed by urine dipstick and is thus defined as dipstick </w:t>
            </w:r>
            <w:r w:rsidRPr="001B477C">
              <w:rPr>
                <w:rFonts w:eastAsia="MsfjglRbcdpjAdvTT3713a231+22"/>
                <w:b/>
                <w:bCs/>
                <w:color w:val="231F20"/>
                <w:sz w:val="20"/>
                <w:szCs w:val="20"/>
              </w:rPr>
              <w:t xml:space="preserve">≥ 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 xml:space="preserve">3+ on 3 consecutive days, or </w:t>
            </w:r>
          </w:p>
          <w:p w:rsidR="001B477C" w:rsidRPr="001B477C" w:rsidRDefault="001B477C" w:rsidP="001B477C">
            <w:pPr>
              <w:autoSpaceDE w:val="0"/>
              <w:autoSpaceDN w:val="0"/>
              <w:bidi w:val="0"/>
              <w:adjustRightInd w:val="0"/>
              <w:spacing w:before="54" w:line="193" w:lineRule="exact"/>
              <w:ind w:right="-20" w:firstLine="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bCs/>
                <w:color w:val="231F20"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 xml:space="preserve">UPCR </w:t>
            </w:r>
            <w:r w:rsidRPr="001B477C">
              <w:rPr>
                <w:rFonts w:eastAsia="MsfjglRbcdpjAdvTT3713a231+22"/>
                <w:b/>
                <w:bCs/>
                <w:color w:val="231F20"/>
                <w:sz w:val="20"/>
                <w:szCs w:val="20"/>
              </w:rPr>
              <w:t xml:space="preserve">≥ 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200 mg/</w:t>
            </w:r>
            <w:proofErr w:type="spellStart"/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mmol</w:t>
            </w:r>
            <w:proofErr w:type="spellEnd"/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 xml:space="preserve"> (2 mg/mg) on a first morning urine sample, with or without reappearance of edema in a child who had previously achieved partial or complete remission.</w:t>
            </w:r>
          </w:p>
        </w:tc>
      </w:tr>
      <w:tr w:rsidR="001B477C" w:rsidRPr="001B477C" w:rsidTr="001B47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0" w:type="dxa"/>
          </w:tcPr>
          <w:p w:rsidR="001B477C" w:rsidRPr="001B477C" w:rsidRDefault="001B477C" w:rsidP="001B477C">
            <w:pPr>
              <w:bidi w:val="0"/>
              <w:ind w:left="-23" w:firstLine="23"/>
              <w:rPr>
                <w:rFonts w:eastAsia="Calibri"/>
                <w:color w:val="231F20"/>
                <w:sz w:val="20"/>
                <w:szCs w:val="20"/>
              </w:rPr>
            </w:pPr>
          </w:p>
          <w:p w:rsidR="001B477C" w:rsidRPr="001B477C" w:rsidRDefault="001B477C" w:rsidP="001B477C">
            <w:pPr>
              <w:bidi w:val="0"/>
              <w:ind w:left="-23" w:firstLine="23"/>
              <w:rPr>
                <w:rFonts w:eastAsia="Calibri"/>
                <w:color w:val="231F20"/>
                <w:sz w:val="20"/>
                <w:szCs w:val="20"/>
              </w:rPr>
            </w:pPr>
            <w:r w:rsidRPr="001B477C">
              <w:rPr>
                <w:rFonts w:eastAsia="Calibri"/>
                <w:color w:val="231F20"/>
                <w:sz w:val="20"/>
                <w:szCs w:val="20"/>
              </w:rPr>
              <w:t>Confirmation Period</w:t>
            </w:r>
          </w:p>
          <w:p w:rsidR="001B477C" w:rsidRPr="001B477C" w:rsidRDefault="001B477C" w:rsidP="001B477C">
            <w:pPr>
              <w:bidi w:val="0"/>
              <w:ind w:left="-23" w:firstLine="23"/>
              <w:rPr>
                <w:rFonts w:eastAsia="Calibri"/>
                <w:color w:val="231F20"/>
                <w:sz w:val="20"/>
                <w:szCs w:val="20"/>
              </w:rPr>
            </w:pPr>
          </w:p>
          <w:p w:rsidR="001B477C" w:rsidRPr="001B477C" w:rsidRDefault="001B477C" w:rsidP="001B477C">
            <w:pPr>
              <w:bidi w:val="0"/>
              <w:ind w:left="-23" w:firstLine="23"/>
              <w:rPr>
                <w:rFonts w:eastAsia="Calibri"/>
                <w:color w:val="231F20"/>
                <w:sz w:val="20"/>
                <w:szCs w:val="20"/>
              </w:rPr>
            </w:pPr>
          </w:p>
        </w:tc>
        <w:tc>
          <w:tcPr>
            <w:tcW w:w="7055" w:type="dxa"/>
          </w:tcPr>
          <w:p w:rsidR="001B477C" w:rsidRPr="001B477C" w:rsidRDefault="001B477C" w:rsidP="001B477C">
            <w:pPr>
              <w:autoSpaceDE w:val="0"/>
              <w:autoSpaceDN w:val="0"/>
              <w:bidi w:val="0"/>
              <w:adjustRightInd w:val="0"/>
              <w:ind w:firstLine="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color w:val="231F20"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 xml:space="preserve">Time period between 4 and 6 weeks from PDN initiation during which response to further oral PDN and/or pulses of iv MPDN and </w:t>
            </w:r>
            <w:proofErr w:type="spellStart"/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RAASi</w:t>
            </w:r>
            <w:proofErr w:type="spellEnd"/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 xml:space="preserve"> are ascertained in patients achieving only partial remission at 4 weeks.</w:t>
            </w:r>
          </w:p>
          <w:p w:rsidR="001B477C" w:rsidRPr="001B477C" w:rsidRDefault="001B477C" w:rsidP="001B477C">
            <w:pPr>
              <w:numPr>
                <w:ilvl w:val="0"/>
                <w:numId w:val="1"/>
              </w:numPr>
              <w:tabs>
                <w:tab w:val="left" w:pos="238"/>
              </w:tabs>
              <w:autoSpaceDE w:val="0"/>
              <w:autoSpaceDN w:val="0"/>
              <w:bidi w:val="0"/>
              <w:adjustRightInd w:val="0"/>
              <w:ind w:left="5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color w:val="231F20"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 xml:space="preserve">A patient achieving complete remission at 6 weeks is defined as a late responder. </w:t>
            </w:r>
          </w:p>
          <w:p w:rsidR="001B477C" w:rsidRPr="001B477C" w:rsidRDefault="001B477C" w:rsidP="001B477C">
            <w:pPr>
              <w:numPr>
                <w:ilvl w:val="0"/>
                <w:numId w:val="1"/>
              </w:numPr>
              <w:autoSpaceDE w:val="0"/>
              <w:autoSpaceDN w:val="0"/>
              <w:bidi w:val="0"/>
              <w:adjustRightInd w:val="0"/>
              <w:ind w:left="220" w:hanging="1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color w:val="231F20"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A patient not achieving complete remission at 6 weeks although he had achieved partial remission at 4 weeks is defined as SRNS.</w:t>
            </w:r>
          </w:p>
        </w:tc>
      </w:tr>
      <w:tr w:rsidR="001B477C" w:rsidRPr="001B477C" w:rsidTr="001B47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0" w:type="dxa"/>
          </w:tcPr>
          <w:p w:rsidR="001B477C" w:rsidRPr="001B477C" w:rsidRDefault="001B477C" w:rsidP="001B477C">
            <w:pPr>
              <w:bidi w:val="0"/>
              <w:ind w:left="-23" w:firstLine="23"/>
              <w:rPr>
                <w:rFonts w:eastAsia="Calibri"/>
                <w:color w:val="231F20"/>
                <w:sz w:val="20"/>
                <w:szCs w:val="20"/>
              </w:rPr>
            </w:pPr>
          </w:p>
          <w:p w:rsidR="001B477C" w:rsidRPr="001B477C" w:rsidRDefault="001B477C" w:rsidP="001B477C">
            <w:pPr>
              <w:bidi w:val="0"/>
              <w:ind w:left="-23" w:firstLine="23"/>
              <w:rPr>
                <w:rFonts w:eastAsia="Calibri"/>
                <w:color w:val="231F20"/>
                <w:sz w:val="20"/>
                <w:szCs w:val="20"/>
              </w:rPr>
            </w:pPr>
            <w:r w:rsidRPr="001B477C">
              <w:rPr>
                <w:rFonts w:eastAsia="Calibri"/>
                <w:color w:val="231F20"/>
                <w:sz w:val="20"/>
                <w:szCs w:val="20"/>
              </w:rPr>
              <w:t>S</w:t>
            </w:r>
            <w:r w:rsidRPr="001B477C">
              <w:rPr>
                <w:rFonts w:eastAsia="Calibri"/>
                <w:color w:val="231F20"/>
                <w:spacing w:val="-4"/>
                <w:sz w:val="20"/>
                <w:szCs w:val="20"/>
              </w:rPr>
              <w:t>S</w:t>
            </w:r>
            <w:r w:rsidRPr="001B477C">
              <w:rPr>
                <w:rFonts w:eastAsia="Calibri"/>
                <w:color w:val="231F20"/>
                <w:sz w:val="20"/>
                <w:szCs w:val="20"/>
              </w:rPr>
              <w:t xml:space="preserve">NS  </w:t>
            </w:r>
          </w:p>
        </w:tc>
        <w:tc>
          <w:tcPr>
            <w:tcW w:w="7055" w:type="dxa"/>
          </w:tcPr>
          <w:p w:rsidR="001B477C" w:rsidRPr="001B477C" w:rsidRDefault="001B477C" w:rsidP="001B477C">
            <w:pPr>
              <w:autoSpaceDE w:val="0"/>
              <w:autoSpaceDN w:val="0"/>
              <w:bidi w:val="0"/>
              <w:adjustRightInd w:val="0"/>
              <w:ind w:firstLine="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bCs/>
                <w:color w:val="231F20"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C</w:t>
            </w:r>
            <w:r w:rsidRPr="001B477C">
              <w:rPr>
                <w:rFonts w:eastAsia="Calibri"/>
                <w:b/>
                <w:bCs/>
                <w:color w:val="231F20"/>
                <w:spacing w:val="-4"/>
                <w:sz w:val="20"/>
                <w:szCs w:val="20"/>
              </w:rPr>
              <w:t>o</w:t>
            </w:r>
            <w:r w:rsidRPr="001B477C">
              <w:rPr>
                <w:rFonts w:eastAsia="Calibri"/>
                <w:b/>
                <w:bCs/>
                <w:color w:val="231F20"/>
                <w:spacing w:val="-2"/>
                <w:sz w:val="20"/>
                <w:szCs w:val="20"/>
              </w:rPr>
              <w:t>m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p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>le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te</w:t>
            </w:r>
            <w:r w:rsidRPr="001B477C">
              <w:rPr>
                <w:rFonts w:eastAsia="Calibri"/>
                <w:b/>
                <w:bCs/>
                <w:color w:val="231F20"/>
                <w:spacing w:val="-12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b/>
                <w:bCs/>
                <w:color w:val="231F20"/>
                <w:spacing w:val="-2"/>
                <w:sz w:val="20"/>
                <w:szCs w:val="20"/>
              </w:rPr>
              <w:t>r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e</w:t>
            </w:r>
            <w:r w:rsidRPr="001B477C">
              <w:rPr>
                <w:rFonts w:eastAsia="Calibri"/>
                <w:b/>
                <w:bCs/>
                <w:color w:val="231F20"/>
                <w:spacing w:val="-4"/>
                <w:sz w:val="20"/>
                <w:szCs w:val="20"/>
              </w:rPr>
              <w:t>m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i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>s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s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>io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n</w:t>
            </w:r>
            <w:r w:rsidRPr="001B477C">
              <w:rPr>
                <w:rFonts w:eastAsia="Calibri"/>
                <w:b/>
                <w:bCs/>
                <w:color w:val="231F20"/>
                <w:spacing w:val="-13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>w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i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>t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h</w:t>
            </w:r>
            <w:r w:rsidRPr="001B477C">
              <w:rPr>
                <w:rFonts w:eastAsia="Calibri"/>
                <w:b/>
                <w:bCs/>
                <w:color w:val="231F20"/>
                <w:spacing w:val="-5"/>
                <w:sz w:val="20"/>
                <w:szCs w:val="20"/>
              </w:rPr>
              <w:t>i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n</w:t>
            </w:r>
            <w:r w:rsidRPr="001B477C">
              <w:rPr>
                <w:rFonts w:eastAsia="Calibri"/>
                <w:b/>
                <w:bCs/>
                <w:color w:val="231F20"/>
                <w:spacing w:val="-8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4</w:t>
            </w:r>
            <w:r w:rsidRPr="001B477C">
              <w:rPr>
                <w:rFonts w:eastAsia="Calibri"/>
                <w:b/>
                <w:bCs/>
                <w:color w:val="231F20"/>
                <w:spacing w:val="11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w</w:t>
            </w:r>
            <w:r w:rsidRPr="001B477C">
              <w:rPr>
                <w:rFonts w:eastAsia="Calibri"/>
                <w:b/>
                <w:bCs/>
                <w:color w:val="231F20"/>
                <w:spacing w:val="-4"/>
                <w:sz w:val="20"/>
                <w:szCs w:val="20"/>
              </w:rPr>
              <w:t>e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e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>k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s</w:t>
            </w:r>
            <w:r w:rsidRPr="001B477C">
              <w:rPr>
                <w:rFonts w:eastAsia="Calibri"/>
                <w:b/>
                <w:bCs/>
                <w:color w:val="231F20"/>
                <w:spacing w:val="-8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of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 xml:space="preserve"> p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r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>e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d</w:t>
            </w:r>
            <w:r w:rsidRPr="001B477C">
              <w:rPr>
                <w:rFonts w:eastAsia="Calibri"/>
                <w:b/>
                <w:bCs/>
                <w:color w:val="231F20"/>
                <w:spacing w:val="-5"/>
                <w:sz w:val="20"/>
                <w:szCs w:val="20"/>
              </w:rPr>
              <w:t>n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i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>s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o</w:t>
            </w:r>
            <w:r w:rsidRPr="001B477C">
              <w:rPr>
                <w:rFonts w:eastAsia="Calibri"/>
                <w:b/>
                <w:bCs/>
                <w:color w:val="231F20"/>
                <w:spacing w:val="-4"/>
                <w:sz w:val="20"/>
                <w:szCs w:val="20"/>
              </w:rPr>
              <w:t>n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e</w:t>
            </w:r>
            <w:r w:rsidRPr="001B477C">
              <w:rPr>
                <w:rFonts w:eastAsia="Calibri"/>
                <w:b/>
                <w:bCs/>
                <w:color w:val="231F20"/>
                <w:spacing w:val="-12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or</w:t>
            </w:r>
            <w:r w:rsidRPr="001B477C">
              <w:rPr>
                <w:rFonts w:eastAsia="Calibri"/>
                <w:b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p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>re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d</w:t>
            </w:r>
            <w:r w:rsidRPr="001B477C">
              <w:rPr>
                <w:rFonts w:eastAsia="Calibri"/>
                <w:b/>
                <w:bCs/>
                <w:color w:val="231F20"/>
                <w:spacing w:val="-4"/>
                <w:sz w:val="20"/>
                <w:szCs w:val="20"/>
              </w:rPr>
              <w:t>n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i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>s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o</w:t>
            </w:r>
            <w:r w:rsidRPr="001B477C">
              <w:rPr>
                <w:rFonts w:eastAsia="Calibri"/>
                <w:b/>
                <w:bCs/>
                <w:color w:val="231F20"/>
                <w:spacing w:val="-5"/>
                <w:sz w:val="20"/>
                <w:szCs w:val="20"/>
              </w:rPr>
              <w:t>l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o</w:t>
            </w:r>
            <w:r w:rsidRPr="001B477C">
              <w:rPr>
                <w:rFonts w:eastAsia="Calibri"/>
                <w:b/>
                <w:bCs/>
                <w:color w:val="231F20"/>
                <w:spacing w:val="-4"/>
                <w:sz w:val="20"/>
                <w:szCs w:val="20"/>
              </w:rPr>
              <w:t>n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e</w:t>
            </w:r>
            <w:r w:rsidRPr="001B477C">
              <w:rPr>
                <w:rFonts w:eastAsia="Calibri"/>
                <w:b/>
                <w:bCs/>
                <w:color w:val="231F20"/>
                <w:spacing w:val="-14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(</w:t>
            </w:r>
            <w:r w:rsidRPr="001B477C">
              <w:rPr>
                <w:rFonts w:eastAsia="Calibri"/>
                <w:b/>
                <w:bCs/>
                <w:color w:val="231F20"/>
                <w:spacing w:val="-4"/>
                <w:sz w:val="20"/>
                <w:szCs w:val="20"/>
              </w:rPr>
              <w:t>P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D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>N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)</w:t>
            </w:r>
            <w:r w:rsidRPr="001B477C">
              <w:rPr>
                <w:rFonts w:eastAsia="Calibri"/>
                <w:b/>
                <w:bCs/>
                <w:color w:val="231F20"/>
                <w:spacing w:val="-9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at</w:t>
            </w:r>
            <w:r w:rsidRPr="001B477C">
              <w:rPr>
                <w:rFonts w:eastAsia="Calibri"/>
                <w:b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s</w:t>
            </w:r>
            <w:r w:rsidRPr="001B477C">
              <w:rPr>
                <w:rFonts w:eastAsia="Calibri"/>
                <w:b/>
                <w:bCs/>
                <w:color w:val="231F20"/>
                <w:spacing w:val="-4"/>
                <w:sz w:val="20"/>
                <w:szCs w:val="20"/>
              </w:rPr>
              <w:t>t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a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>n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d</w:t>
            </w:r>
            <w:r w:rsidRPr="001B477C">
              <w:rPr>
                <w:rFonts w:eastAsia="Calibri"/>
                <w:b/>
                <w:bCs/>
                <w:color w:val="231F20"/>
                <w:spacing w:val="-4"/>
                <w:sz w:val="20"/>
                <w:szCs w:val="20"/>
              </w:rPr>
              <w:t>a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rd</w:t>
            </w:r>
            <w:r w:rsidRPr="001B477C">
              <w:rPr>
                <w:rFonts w:eastAsia="Calibri"/>
                <w:b/>
                <w:bCs/>
                <w:color w:val="231F20"/>
                <w:spacing w:val="-13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d</w:t>
            </w:r>
            <w:r w:rsidRPr="001B477C">
              <w:rPr>
                <w:rFonts w:eastAsia="Calibri"/>
                <w:b/>
                <w:bCs/>
                <w:color w:val="231F20"/>
                <w:spacing w:val="-4"/>
                <w:sz w:val="20"/>
                <w:szCs w:val="20"/>
              </w:rPr>
              <w:t>o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se</w:t>
            </w:r>
            <w:r w:rsidRPr="001B477C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(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>6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0</w:t>
            </w:r>
            <w:r w:rsidRPr="001B477C">
              <w:rPr>
                <w:rFonts w:eastAsia="Calibri"/>
                <w:b/>
                <w:bCs/>
                <w:color w:val="231F20"/>
                <w:spacing w:val="7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m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>g/</w:t>
            </w:r>
            <w:r w:rsidRPr="001B477C">
              <w:rPr>
                <w:rFonts w:eastAsia="Calibri"/>
                <w:b/>
                <w:bCs/>
                <w:color w:val="231F20"/>
                <w:spacing w:val="-1"/>
                <w:sz w:val="20"/>
                <w:szCs w:val="20"/>
              </w:rPr>
              <w:t>m</w:t>
            </w:r>
            <w:r w:rsidRPr="001B477C">
              <w:rPr>
                <w:rFonts w:eastAsia="Calibri"/>
                <w:b/>
                <w:bCs/>
                <w:color w:val="231F20"/>
                <w:spacing w:val="-2"/>
                <w:position w:val="7"/>
                <w:sz w:val="20"/>
                <w:szCs w:val="20"/>
              </w:rPr>
              <w:t>2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/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>da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y</w:t>
            </w:r>
            <w:r w:rsidRPr="001B477C">
              <w:rPr>
                <w:rFonts w:eastAsia="Calibri"/>
                <w:b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>o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r</w:t>
            </w:r>
            <w:r w:rsidRPr="001B477C">
              <w:rPr>
                <w:rFonts w:eastAsia="Calibri"/>
                <w:b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2</w:t>
            </w:r>
            <w:r w:rsidRPr="001B477C">
              <w:rPr>
                <w:rFonts w:eastAsia="Calibri"/>
                <w:b/>
                <w:bCs/>
                <w:color w:val="231F20"/>
                <w:spacing w:val="11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b/>
                <w:bCs/>
                <w:color w:val="231F20"/>
                <w:spacing w:val="-2"/>
                <w:sz w:val="20"/>
                <w:szCs w:val="20"/>
              </w:rPr>
              <w:t>m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g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>/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k</w:t>
            </w:r>
            <w:r w:rsidRPr="001B477C">
              <w:rPr>
                <w:rFonts w:eastAsia="Calibri"/>
                <w:b/>
                <w:bCs/>
                <w:color w:val="231F20"/>
                <w:spacing w:val="-4"/>
                <w:sz w:val="20"/>
                <w:szCs w:val="20"/>
              </w:rPr>
              <w:t>g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/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>da</w:t>
            </w:r>
            <w:r w:rsidRPr="001B477C">
              <w:rPr>
                <w:rFonts w:eastAsia="Calibri"/>
                <w:b/>
                <w:bCs/>
                <w:color w:val="231F20"/>
                <w:spacing w:val="-12"/>
                <w:sz w:val="20"/>
                <w:szCs w:val="20"/>
              </w:rPr>
              <w:t>y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,</w:t>
            </w:r>
            <w:r w:rsidRPr="001B477C">
              <w:rPr>
                <w:rFonts w:eastAsia="Calibri"/>
                <w:b/>
                <w:bCs/>
                <w:color w:val="231F20"/>
                <w:spacing w:val="-11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b/>
                <w:bCs/>
                <w:color w:val="231F20"/>
                <w:spacing w:val="-2"/>
                <w:sz w:val="20"/>
                <w:szCs w:val="20"/>
              </w:rPr>
              <w:t>m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a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>xi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m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>u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m</w:t>
            </w:r>
            <w:r w:rsidRPr="001B477C">
              <w:rPr>
                <w:rFonts w:eastAsia="Calibri"/>
                <w:b/>
                <w:bCs/>
                <w:color w:val="231F20"/>
                <w:spacing w:val="-11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>6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0</w:t>
            </w:r>
            <w:r w:rsidRPr="001B477C">
              <w:rPr>
                <w:rFonts w:eastAsia="Calibri"/>
                <w:b/>
                <w:bCs/>
                <w:color w:val="231F20"/>
                <w:spacing w:val="10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m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>g/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d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>a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y</w:t>
            </w:r>
            <w:r w:rsidRPr="001B477C">
              <w:rPr>
                <w:rFonts w:eastAsia="Calibri"/>
                <w:b/>
                <w:bCs/>
                <w:color w:val="231F20"/>
                <w:spacing w:val="-4"/>
                <w:sz w:val="20"/>
                <w:szCs w:val="20"/>
              </w:rPr>
              <w:t>)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.</w:t>
            </w:r>
          </w:p>
        </w:tc>
      </w:tr>
      <w:tr w:rsidR="001B477C" w:rsidRPr="001B477C" w:rsidTr="001B477C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0" w:type="dxa"/>
          </w:tcPr>
          <w:p w:rsidR="001B477C" w:rsidRPr="001B477C" w:rsidRDefault="001B477C" w:rsidP="001B477C">
            <w:pPr>
              <w:bidi w:val="0"/>
              <w:rPr>
                <w:rFonts w:eastAsia="Calibri"/>
                <w:color w:val="231F20"/>
                <w:sz w:val="20"/>
                <w:szCs w:val="20"/>
              </w:rPr>
            </w:pPr>
            <w:r w:rsidRPr="001B477C">
              <w:rPr>
                <w:rFonts w:eastAsia="Calibri"/>
                <w:color w:val="231F20"/>
                <w:sz w:val="20"/>
                <w:szCs w:val="20"/>
              </w:rPr>
              <w:t xml:space="preserve">Infrequent relapsing NS </w:t>
            </w:r>
          </w:p>
        </w:tc>
        <w:tc>
          <w:tcPr>
            <w:tcW w:w="7055" w:type="dxa"/>
          </w:tcPr>
          <w:p w:rsidR="001B477C" w:rsidRPr="001B477C" w:rsidRDefault="001B477C" w:rsidP="001B477C">
            <w:pPr>
              <w:autoSpaceDE w:val="0"/>
              <w:autoSpaceDN w:val="0"/>
              <w:bidi w:val="0"/>
              <w:adjustRightInd w:val="0"/>
              <w:ind w:firstLine="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color w:val="231F20"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˂ 2 relapses per 6 months or ˂ 4 relapses per 12 months.</w:t>
            </w:r>
          </w:p>
          <w:p w:rsidR="001B477C" w:rsidRPr="001B477C" w:rsidRDefault="001B477C" w:rsidP="001B477C">
            <w:pPr>
              <w:autoSpaceDE w:val="0"/>
              <w:autoSpaceDN w:val="0"/>
              <w:bidi w:val="0"/>
              <w:adjustRightInd w:val="0"/>
              <w:ind w:firstLine="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color w:val="231F20"/>
                <w:sz w:val="20"/>
                <w:szCs w:val="20"/>
              </w:rPr>
            </w:pPr>
          </w:p>
        </w:tc>
      </w:tr>
      <w:tr w:rsidR="001B477C" w:rsidRPr="001B477C" w:rsidTr="001B47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0" w:type="dxa"/>
          </w:tcPr>
          <w:p w:rsidR="001B477C" w:rsidRPr="001B477C" w:rsidRDefault="001B477C" w:rsidP="001B477C">
            <w:pPr>
              <w:bidi w:val="0"/>
              <w:rPr>
                <w:rFonts w:eastAsia="Calibri"/>
                <w:color w:val="231F20"/>
                <w:sz w:val="20"/>
                <w:szCs w:val="20"/>
              </w:rPr>
            </w:pPr>
            <w:r w:rsidRPr="001B477C">
              <w:rPr>
                <w:rFonts w:eastAsia="Calibri"/>
                <w:color w:val="231F20"/>
                <w:sz w:val="20"/>
                <w:szCs w:val="20"/>
              </w:rPr>
              <w:t>Frequent relapsing  NS</w:t>
            </w:r>
          </w:p>
        </w:tc>
        <w:tc>
          <w:tcPr>
            <w:tcW w:w="7055" w:type="dxa"/>
          </w:tcPr>
          <w:p w:rsidR="001B477C" w:rsidRPr="001B477C" w:rsidRDefault="001B477C" w:rsidP="001B477C">
            <w:pPr>
              <w:autoSpaceDE w:val="0"/>
              <w:autoSpaceDN w:val="0"/>
              <w:bidi w:val="0"/>
              <w:adjustRightInd w:val="0"/>
              <w:ind w:firstLine="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bCs/>
                <w:color w:val="231F20"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≤ 2 relapses per 6 months or ≤ 4 relapses per 12 months.</w:t>
            </w:r>
          </w:p>
          <w:p w:rsidR="001B477C" w:rsidRPr="001B477C" w:rsidRDefault="001B477C" w:rsidP="001B477C">
            <w:pPr>
              <w:autoSpaceDE w:val="0"/>
              <w:autoSpaceDN w:val="0"/>
              <w:bidi w:val="0"/>
              <w:adjustRightInd w:val="0"/>
              <w:ind w:firstLine="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bCs/>
                <w:color w:val="231F20"/>
                <w:sz w:val="20"/>
                <w:szCs w:val="20"/>
              </w:rPr>
            </w:pPr>
          </w:p>
        </w:tc>
      </w:tr>
      <w:tr w:rsidR="001B477C" w:rsidRPr="001B477C" w:rsidTr="001B47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0" w:type="dxa"/>
          </w:tcPr>
          <w:p w:rsidR="001B477C" w:rsidRPr="001B477C" w:rsidRDefault="001B477C" w:rsidP="001B477C">
            <w:pPr>
              <w:bidi w:val="0"/>
              <w:rPr>
                <w:rFonts w:eastAsia="Calibri"/>
                <w:color w:val="231F20"/>
                <w:sz w:val="20"/>
                <w:szCs w:val="20"/>
              </w:rPr>
            </w:pPr>
            <w:r w:rsidRPr="001B477C">
              <w:rPr>
                <w:rFonts w:eastAsia="Calibri"/>
                <w:color w:val="231F20"/>
                <w:sz w:val="20"/>
                <w:szCs w:val="20"/>
              </w:rPr>
              <w:t xml:space="preserve">Steroid dependent NS </w:t>
            </w:r>
          </w:p>
        </w:tc>
        <w:tc>
          <w:tcPr>
            <w:tcW w:w="7055" w:type="dxa"/>
          </w:tcPr>
          <w:p w:rsidR="001B477C" w:rsidRPr="001B477C" w:rsidRDefault="001B477C" w:rsidP="001B477C">
            <w:pPr>
              <w:autoSpaceDE w:val="0"/>
              <w:autoSpaceDN w:val="0"/>
              <w:bidi w:val="0"/>
              <w:adjustRightInd w:val="0"/>
              <w:ind w:firstLine="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color w:val="231F20"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 xml:space="preserve">Relapses during therapy with 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>p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r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>e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d</w:t>
            </w:r>
            <w:r w:rsidRPr="001B477C">
              <w:rPr>
                <w:rFonts w:eastAsia="Calibri"/>
                <w:b/>
                <w:bCs/>
                <w:color w:val="231F20"/>
                <w:spacing w:val="-5"/>
                <w:sz w:val="20"/>
                <w:szCs w:val="20"/>
              </w:rPr>
              <w:t>n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i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>s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o</w:t>
            </w:r>
            <w:r w:rsidRPr="001B477C">
              <w:rPr>
                <w:rFonts w:eastAsia="Calibri"/>
                <w:b/>
                <w:bCs/>
                <w:color w:val="231F20"/>
                <w:spacing w:val="-4"/>
                <w:sz w:val="20"/>
                <w:szCs w:val="20"/>
              </w:rPr>
              <w:t>n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e</w:t>
            </w:r>
            <w:r w:rsidRPr="001B477C">
              <w:rPr>
                <w:rFonts w:eastAsia="Calibri"/>
                <w:b/>
                <w:bCs/>
                <w:color w:val="231F20"/>
                <w:spacing w:val="-12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or</w:t>
            </w:r>
            <w:r w:rsidRPr="001B477C">
              <w:rPr>
                <w:rFonts w:eastAsia="Calibri"/>
                <w:b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p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>re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d</w:t>
            </w:r>
            <w:r w:rsidRPr="001B477C">
              <w:rPr>
                <w:rFonts w:eastAsia="Calibri"/>
                <w:b/>
                <w:bCs/>
                <w:color w:val="231F20"/>
                <w:spacing w:val="-4"/>
                <w:sz w:val="20"/>
                <w:szCs w:val="20"/>
              </w:rPr>
              <w:t>n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i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>s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o</w:t>
            </w:r>
            <w:r w:rsidRPr="001B477C">
              <w:rPr>
                <w:rFonts w:eastAsia="Calibri"/>
                <w:b/>
                <w:bCs/>
                <w:color w:val="231F20"/>
                <w:spacing w:val="-5"/>
                <w:sz w:val="20"/>
                <w:szCs w:val="20"/>
              </w:rPr>
              <w:t>l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o</w:t>
            </w:r>
            <w:r w:rsidRPr="001B477C">
              <w:rPr>
                <w:rFonts w:eastAsia="Calibri"/>
                <w:b/>
                <w:bCs/>
                <w:color w:val="231F20"/>
                <w:spacing w:val="-4"/>
                <w:sz w:val="20"/>
                <w:szCs w:val="20"/>
              </w:rPr>
              <w:t>n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e</w:t>
            </w:r>
            <w:r w:rsidRPr="001B477C">
              <w:rPr>
                <w:rFonts w:eastAsia="Calibri"/>
                <w:b/>
                <w:bCs/>
                <w:color w:val="231F20"/>
                <w:spacing w:val="-14"/>
                <w:sz w:val="20"/>
                <w:szCs w:val="20"/>
              </w:rPr>
              <w:t xml:space="preserve"> (either at full dose or during tapering) or within 15 days of prednisone</w:t>
            </w:r>
            <w:r w:rsidRPr="001B477C">
              <w:rPr>
                <w:rFonts w:eastAsia="Calibri"/>
                <w:b/>
                <w:bCs/>
                <w:color w:val="231F20"/>
                <w:spacing w:val="-12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or</w:t>
            </w:r>
            <w:r w:rsidRPr="001B477C">
              <w:rPr>
                <w:rFonts w:eastAsia="Calibri"/>
                <w:b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p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>re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d</w:t>
            </w:r>
            <w:r w:rsidRPr="001B477C">
              <w:rPr>
                <w:rFonts w:eastAsia="Calibri"/>
                <w:b/>
                <w:bCs/>
                <w:color w:val="231F20"/>
                <w:spacing w:val="-4"/>
                <w:sz w:val="20"/>
                <w:szCs w:val="20"/>
              </w:rPr>
              <w:t>n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i</w:t>
            </w:r>
            <w:r w:rsidRPr="001B477C">
              <w:rPr>
                <w:rFonts w:eastAsia="Calibri"/>
                <w:b/>
                <w:bCs/>
                <w:color w:val="231F20"/>
                <w:spacing w:val="-3"/>
                <w:sz w:val="20"/>
                <w:szCs w:val="20"/>
              </w:rPr>
              <w:t>s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o</w:t>
            </w:r>
            <w:r w:rsidRPr="001B477C">
              <w:rPr>
                <w:rFonts w:eastAsia="Calibri"/>
                <w:b/>
                <w:bCs/>
                <w:color w:val="231F20"/>
                <w:spacing w:val="-5"/>
                <w:sz w:val="20"/>
                <w:szCs w:val="20"/>
              </w:rPr>
              <w:t>l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o</w:t>
            </w:r>
            <w:r w:rsidRPr="001B477C">
              <w:rPr>
                <w:rFonts w:eastAsia="Calibri"/>
                <w:b/>
                <w:bCs/>
                <w:color w:val="231F20"/>
                <w:spacing w:val="-4"/>
                <w:sz w:val="20"/>
                <w:szCs w:val="20"/>
              </w:rPr>
              <w:t>n</w:t>
            </w: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e discontinuation.</w:t>
            </w:r>
          </w:p>
        </w:tc>
      </w:tr>
      <w:tr w:rsidR="001B477C" w:rsidRPr="001B477C" w:rsidTr="001B47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0" w:type="dxa"/>
          </w:tcPr>
          <w:p w:rsidR="001B477C" w:rsidRPr="001B477C" w:rsidRDefault="001B477C" w:rsidP="001B477C">
            <w:pPr>
              <w:bidi w:val="0"/>
              <w:ind w:left="-23" w:firstLine="23"/>
              <w:rPr>
                <w:rFonts w:eastAsia="Calibri"/>
                <w:color w:val="231F20"/>
                <w:sz w:val="20"/>
                <w:szCs w:val="20"/>
              </w:rPr>
            </w:pPr>
            <w:r w:rsidRPr="001B477C">
              <w:rPr>
                <w:rFonts w:eastAsia="Calibri"/>
                <w:color w:val="231F20"/>
                <w:sz w:val="20"/>
                <w:szCs w:val="20"/>
              </w:rPr>
              <w:t>SRNS</w:t>
            </w:r>
          </w:p>
        </w:tc>
        <w:tc>
          <w:tcPr>
            <w:tcW w:w="7055" w:type="dxa"/>
          </w:tcPr>
          <w:p w:rsidR="001B477C" w:rsidRPr="001B477C" w:rsidRDefault="001B477C" w:rsidP="001B477C">
            <w:pPr>
              <w:autoSpaceDE w:val="0"/>
              <w:autoSpaceDN w:val="0"/>
              <w:bidi w:val="0"/>
              <w:adjustRightInd w:val="0"/>
              <w:spacing w:before="54" w:line="193" w:lineRule="exact"/>
              <w:ind w:right="-20" w:firstLine="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bCs/>
                <w:color w:val="231F20"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Lack of complete remission within 4 weeks of treatment with PDN at standard dose.</w:t>
            </w:r>
          </w:p>
        </w:tc>
      </w:tr>
      <w:tr w:rsidR="001B477C" w:rsidRPr="001B477C" w:rsidTr="001B47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0" w:type="dxa"/>
          </w:tcPr>
          <w:p w:rsidR="001B477C" w:rsidRPr="001B477C" w:rsidRDefault="001B477C" w:rsidP="001B477C">
            <w:pPr>
              <w:bidi w:val="0"/>
              <w:ind w:left="-23" w:firstLine="23"/>
              <w:rPr>
                <w:rFonts w:eastAsia="Calibri"/>
                <w:color w:val="231F20"/>
                <w:sz w:val="20"/>
                <w:szCs w:val="20"/>
              </w:rPr>
            </w:pPr>
            <w:r w:rsidRPr="001B477C">
              <w:rPr>
                <w:rFonts w:eastAsia="Calibri"/>
                <w:color w:val="231F20"/>
                <w:sz w:val="20"/>
                <w:szCs w:val="20"/>
              </w:rPr>
              <w:t>Late Responder NS</w:t>
            </w:r>
          </w:p>
        </w:tc>
        <w:tc>
          <w:tcPr>
            <w:tcW w:w="7055" w:type="dxa"/>
          </w:tcPr>
          <w:p w:rsidR="001B477C" w:rsidRPr="001B477C" w:rsidRDefault="001B477C" w:rsidP="001B477C">
            <w:pPr>
              <w:tabs>
                <w:tab w:val="left" w:pos="238"/>
              </w:tabs>
              <w:autoSpaceDE w:val="0"/>
              <w:autoSpaceDN w:val="0"/>
              <w:bidi w:val="0"/>
              <w:adjustRightInd w:val="0"/>
              <w:ind w:left="5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color w:val="231F20"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Complete remission at 6 weeks.</w:t>
            </w:r>
          </w:p>
          <w:p w:rsidR="001B477C" w:rsidRPr="001B477C" w:rsidRDefault="001B477C" w:rsidP="001B477C">
            <w:pPr>
              <w:tabs>
                <w:tab w:val="left" w:pos="238"/>
              </w:tabs>
              <w:autoSpaceDE w:val="0"/>
              <w:autoSpaceDN w:val="0"/>
              <w:bidi w:val="0"/>
              <w:adjustRightInd w:val="0"/>
              <w:ind w:left="5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color w:val="231F20"/>
                <w:sz w:val="20"/>
                <w:szCs w:val="20"/>
              </w:rPr>
            </w:pPr>
          </w:p>
        </w:tc>
      </w:tr>
      <w:tr w:rsidR="001B477C" w:rsidRPr="001B477C" w:rsidTr="001B47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0" w:type="dxa"/>
          </w:tcPr>
          <w:p w:rsidR="001B477C" w:rsidRPr="001B477C" w:rsidRDefault="001B477C" w:rsidP="001B477C">
            <w:pPr>
              <w:bidi w:val="0"/>
              <w:ind w:firstLine="23"/>
              <w:rPr>
                <w:rFonts w:eastAsia="Calibri"/>
                <w:color w:val="231F20"/>
                <w:sz w:val="20"/>
                <w:szCs w:val="20"/>
              </w:rPr>
            </w:pPr>
            <w:r w:rsidRPr="001B477C">
              <w:rPr>
                <w:rFonts w:eastAsia="Calibri"/>
                <w:color w:val="231F20"/>
                <w:sz w:val="20"/>
                <w:szCs w:val="20"/>
              </w:rPr>
              <w:t>CNI-resistant SRNS</w:t>
            </w:r>
          </w:p>
        </w:tc>
        <w:tc>
          <w:tcPr>
            <w:tcW w:w="7055" w:type="dxa"/>
          </w:tcPr>
          <w:p w:rsidR="001B477C" w:rsidRPr="001B477C" w:rsidRDefault="001B477C" w:rsidP="001B477C">
            <w:pPr>
              <w:autoSpaceDE w:val="0"/>
              <w:autoSpaceDN w:val="0"/>
              <w:bidi w:val="0"/>
              <w:adjustRightInd w:val="0"/>
              <w:ind w:firstLine="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bCs/>
                <w:color w:val="231F20"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Absence of at least partial remission after 6 months of treatment with a CNI at adequate doses and/or levels.</w:t>
            </w:r>
          </w:p>
        </w:tc>
      </w:tr>
      <w:tr w:rsidR="001B477C" w:rsidRPr="001B477C" w:rsidTr="001B47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0" w:type="dxa"/>
          </w:tcPr>
          <w:p w:rsidR="001B477C" w:rsidRPr="001B477C" w:rsidRDefault="001B477C" w:rsidP="001B477C">
            <w:pPr>
              <w:bidi w:val="0"/>
              <w:ind w:firstLine="23"/>
              <w:rPr>
                <w:rFonts w:eastAsia="Calibri"/>
                <w:color w:val="231F20"/>
                <w:sz w:val="20"/>
                <w:szCs w:val="20"/>
              </w:rPr>
            </w:pPr>
            <w:r w:rsidRPr="001B477C">
              <w:rPr>
                <w:rFonts w:eastAsia="Calibri"/>
                <w:color w:val="231F20"/>
                <w:sz w:val="20"/>
                <w:szCs w:val="20"/>
              </w:rPr>
              <w:t>Multi-drug-resistant SRNS</w:t>
            </w:r>
          </w:p>
        </w:tc>
        <w:tc>
          <w:tcPr>
            <w:tcW w:w="7055" w:type="dxa"/>
          </w:tcPr>
          <w:p w:rsidR="001B477C" w:rsidRPr="001B477C" w:rsidRDefault="001B477C" w:rsidP="001B477C">
            <w:pPr>
              <w:autoSpaceDE w:val="0"/>
              <w:autoSpaceDN w:val="0"/>
              <w:bidi w:val="0"/>
              <w:adjustRightInd w:val="0"/>
              <w:ind w:firstLine="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color w:val="231F20"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Absence of complete remission after 12 months of treatment with 2 mechanistically distinct steroid-sparing agents at standard doses (see text).</w:t>
            </w:r>
          </w:p>
        </w:tc>
      </w:tr>
      <w:tr w:rsidR="001B477C" w:rsidRPr="001B477C" w:rsidTr="001B47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0" w:type="dxa"/>
          </w:tcPr>
          <w:p w:rsidR="001B477C" w:rsidRPr="001B477C" w:rsidRDefault="001B477C" w:rsidP="001B477C">
            <w:pPr>
              <w:bidi w:val="0"/>
              <w:ind w:firstLine="23"/>
              <w:rPr>
                <w:rFonts w:eastAsia="Calibri"/>
                <w:color w:val="231F20"/>
                <w:sz w:val="20"/>
                <w:szCs w:val="20"/>
              </w:rPr>
            </w:pPr>
            <w:r w:rsidRPr="001B477C">
              <w:rPr>
                <w:rFonts w:eastAsia="Calibri"/>
                <w:color w:val="231F20"/>
                <w:sz w:val="20"/>
                <w:szCs w:val="20"/>
              </w:rPr>
              <w:t>Secondary steroid resistance</w:t>
            </w:r>
          </w:p>
        </w:tc>
        <w:tc>
          <w:tcPr>
            <w:tcW w:w="7055" w:type="dxa"/>
          </w:tcPr>
          <w:p w:rsidR="001B477C" w:rsidRPr="001B477C" w:rsidRDefault="001B477C" w:rsidP="001B477C">
            <w:pPr>
              <w:autoSpaceDE w:val="0"/>
              <w:autoSpaceDN w:val="0"/>
              <w:bidi w:val="0"/>
              <w:adjustRightInd w:val="0"/>
              <w:ind w:firstLine="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bCs/>
                <w:color w:val="231F20"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color w:val="231F20"/>
                <w:sz w:val="20"/>
                <w:szCs w:val="20"/>
              </w:rPr>
              <w:t>Children with initial steroid-sensitivity who in subsequent relapses develop SRNS.</w:t>
            </w:r>
          </w:p>
        </w:tc>
      </w:tr>
      <w:tr w:rsidR="001B477C" w:rsidRPr="001B477C" w:rsidTr="001B47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0" w:type="dxa"/>
          </w:tcPr>
          <w:p w:rsidR="001B477C" w:rsidRPr="001B477C" w:rsidRDefault="001B477C" w:rsidP="001B477C">
            <w:pPr>
              <w:autoSpaceDE w:val="0"/>
              <w:autoSpaceDN w:val="0"/>
              <w:adjustRightInd w:val="0"/>
              <w:ind w:firstLine="23"/>
              <w:rPr>
                <w:rFonts w:eastAsia="Calibri"/>
                <w:color w:val="231F20"/>
                <w:sz w:val="20"/>
                <w:szCs w:val="20"/>
              </w:rPr>
            </w:pPr>
          </w:p>
        </w:tc>
        <w:tc>
          <w:tcPr>
            <w:tcW w:w="7055" w:type="dxa"/>
          </w:tcPr>
          <w:p w:rsidR="001B477C" w:rsidRPr="001B477C" w:rsidRDefault="001B477C" w:rsidP="001B477C">
            <w:pPr>
              <w:tabs>
                <w:tab w:val="left" w:pos="238"/>
              </w:tabs>
              <w:autoSpaceDE w:val="0"/>
              <w:autoSpaceDN w:val="0"/>
              <w:bidi w:val="0"/>
              <w:adjustRightInd w:val="0"/>
              <w:ind w:left="5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color w:val="231F20"/>
                <w:sz w:val="20"/>
                <w:szCs w:val="20"/>
              </w:rPr>
            </w:pPr>
          </w:p>
        </w:tc>
      </w:tr>
      <w:tr w:rsidR="001B477C" w:rsidRPr="001B477C" w:rsidTr="001B47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5" w:type="dxa"/>
            <w:gridSpan w:val="2"/>
          </w:tcPr>
          <w:p w:rsidR="001B477C" w:rsidRPr="001B477C" w:rsidRDefault="001B477C" w:rsidP="001B477C">
            <w:pPr>
              <w:autoSpaceDE w:val="0"/>
              <w:autoSpaceDN w:val="0"/>
              <w:bidi w:val="0"/>
              <w:adjustRightInd w:val="0"/>
              <w:rPr>
                <w:rFonts w:eastAsia="Calibri"/>
                <w:color w:val="231F20"/>
                <w:sz w:val="20"/>
                <w:szCs w:val="20"/>
              </w:rPr>
            </w:pPr>
            <w:r w:rsidRPr="001B477C">
              <w:rPr>
                <w:rFonts w:eastAsia="Calibri"/>
                <w:color w:val="231F20"/>
                <w:sz w:val="20"/>
                <w:szCs w:val="20"/>
              </w:rPr>
              <w:t>Table abbreviations</w:t>
            </w:r>
          </w:p>
        </w:tc>
      </w:tr>
      <w:tr w:rsidR="001B477C" w:rsidRPr="001B477C" w:rsidTr="00442151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5" w:type="dxa"/>
            <w:gridSpan w:val="2"/>
          </w:tcPr>
          <w:p w:rsidR="001B477C" w:rsidRPr="001B477C" w:rsidRDefault="001B477C" w:rsidP="001B477C">
            <w:pPr>
              <w:autoSpaceDE w:val="0"/>
              <w:autoSpaceDN w:val="0"/>
              <w:bidi w:val="0"/>
              <w:adjustRightInd w:val="0"/>
              <w:rPr>
                <w:rFonts w:eastAsia="Calibri"/>
                <w:color w:val="231F20"/>
                <w:sz w:val="20"/>
                <w:szCs w:val="20"/>
              </w:rPr>
            </w:pPr>
            <w:r w:rsidRPr="001B477C">
              <w:rPr>
                <w:rFonts w:eastAsia="Calibri"/>
                <w:color w:val="231F20"/>
                <w:sz w:val="20"/>
                <w:szCs w:val="20"/>
              </w:rPr>
              <w:t xml:space="preserve">UPCR urine protein/creatinine ratio, SSNS steroid sensitive </w:t>
            </w:r>
            <w:proofErr w:type="spellStart"/>
            <w:r w:rsidRPr="001B477C">
              <w:rPr>
                <w:rFonts w:eastAsia="Calibri"/>
                <w:color w:val="231F20"/>
                <w:sz w:val="20"/>
                <w:szCs w:val="20"/>
              </w:rPr>
              <w:t>nephrotic</w:t>
            </w:r>
            <w:proofErr w:type="spellEnd"/>
            <w:r w:rsidRPr="001B477C">
              <w:rPr>
                <w:rFonts w:eastAsia="Calibri"/>
                <w:color w:val="231F20"/>
                <w:sz w:val="20"/>
                <w:szCs w:val="20"/>
              </w:rPr>
              <w:t xml:space="preserve"> syndrome, </w:t>
            </w:r>
          </w:p>
          <w:p w:rsidR="001B477C" w:rsidRPr="001B477C" w:rsidRDefault="001B477C" w:rsidP="001B477C">
            <w:pPr>
              <w:autoSpaceDE w:val="0"/>
              <w:autoSpaceDN w:val="0"/>
              <w:bidi w:val="0"/>
              <w:adjustRightInd w:val="0"/>
              <w:rPr>
                <w:rFonts w:eastAsia="Calibri"/>
                <w:color w:val="231F20"/>
                <w:sz w:val="20"/>
                <w:szCs w:val="20"/>
              </w:rPr>
            </w:pPr>
            <w:r w:rsidRPr="001B477C">
              <w:rPr>
                <w:rFonts w:eastAsia="Calibri"/>
                <w:color w:val="231F20"/>
                <w:sz w:val="20"/>
                <w:szCs w:val="20"/>
              </w:rPr>
              <w:t xml:space="preserve">SRNS steroid-resistant </w:t>
            </w:r>
            <w:proofErr w:type="spellStart"/>
            <w:r w:rsidRPr="001B477C">
              <w:rPr>
                <w:rFonts w:eastAsia="Calibri"/>
                <w:color w:val="231F20"/>
                <w:sz w:val="20"/>
                <w:szCs w:val="20"/>
              </w:rPr>
              <w:t>nephrotic</w:t>
            </w:r>
            <w:proofErr w:type="spellEnd"/>
            <w:r w:rsidRPr="001B477C">
              <w:rPr>
                <w:rFonts w:eastAsia="Calibri"/>
                <w:color w:val="231F20"/>
                <w:sz w:val="20"/>
                <w:szCs w:val="20"/>
              </w:rPr>
              <w:t xml:space="preserve"> syndrome, PDN prednisolone or prednisone, </w:t>
            </w:r>
          </w:p>
          <w:p w:rsidR="001B477C" w:rsidRPr="001B477C" w:rsidRDefault="001B477C" w:rsidP="001B477C">
            <w:pPr>
              <w:autoSpaceDE w:val="0"/>
              <w:autoSpaceDN w:val="0"/>
              <w:bidi w:val="0"/>
              <w:adjustRightInd w:val="0"/>
              <w:rPr>
                <w:rFonts w:eastAsia="Calibri"/>
                <w:color w:val="231F20"/>
                <w:sz w:val="20"/>
                <w:szCs w:val="20"/>
              </w:rPr>
            </w:pPr>
            <w:r w:rsidRPr="001B477C">
              <w:rPr>
                <w:rFonts w:eastAsia="Calibri"/>
                <w:color w:val="231F20"/>
                <w:sz w:val="20"/>
                <w:szCs w:val="20"/>
              </w:rPr>
              <w:t xml:space="preserve">MPDN methylprednisolone, </w:t>
            </w:r>
            <w:proofErr w:type="spellStart"/>
            <w:r w:rsidRPr="001B477C">
              <w:rPr>
                <w:rFonts w:eastAsia="Calibri"/>
                <w:color w:val="231F20"/>
                <w:sz w:val="20"/>
                <w:szCs w:val="20"/>
              </w:rPr>
              <w:t>RAASi</w:t>
            </w:r>
            <w:proofErr w:type="spellEnd"/>
            <w:r w:rsidRPr="001B477C">
              <w:rPr>
                <w:rFonts w:eastAsia="Calibri"/>
                <w:color w:val="231F20"/>
                <w:sz w:val="20"/>
                <w:szCs w:val="20"/>
              </w:rPr>
              <w:t xml:space="preserve"> renin-angiotensin-aldosterone system, CNI </w:t>
            </w:r>
            <w:proofErr w:type="spellStart"/>
            <w:r w:rsidRPr="001B477C">
              <w:rPr>
                <w:rFonts w:eastAsia="Calibri"/>
                <w:color w:val="231F20"/>
                <w:sz w:val="20"/>
                <w:szCs w:val="20"/>
              </w:rPr>
              <w:t>calcineurin</w:t>
            </w:r>
            <w:proofErr w:type="spellEnd"/>
            <w:r w:rsidRPr="001B477C">
              <w:rPr>
                <w:rFonts w:eastAsia="Calibri"/>
                <w:color w:val="231F20"/>
                <w:sz w:val="20"/>
                <w:szCs w:val="20"/>
              </w:rPr>
              <w:t xml:space="preserve"> inhibitor</w:t>
            </w:r>
          </w:p>
        </w:tc>
      </w:tr>
    </w:tbl>
    <w:p w:rsidR="001B477C" w:rsidRPr="001B477C" w:rsidRDefault="001B477C" w:rsidP="001B477C">
      <w:pPr>
        <w:ind w:firstLine="0"/>
        <w:jc w:val="left"/>
        <w:rPr>
          <w:rFonts w:ascii="Times New Roman" w:eastAsia="Times New Roman" w:hAnsi="Times New Roman" w:cs="Times New Roman"/>
          <w:b/>
          <w:bCs/>
          <w:color w:val="4F81BD"/>
          <w:sz w:val="24"/>
          <w:szCs w:val="24"/>
        </w:rPr>
      </w:pPr>
      <w:r w:rsidRPr="001B477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            </w:t>
      </w:r>
      <w:r w:rsidRPr="001B477C">
        <w:rPr>
          <w:rFonts w:ascii="Times New Roman" w:eastAsia="Calibri" w:hAnsi="Times New Roman" w:cs="Times New Roman"/>
          <w:b/>
          <w:bCs/>
          <w:color w:val="4F81BD"/>
          <w:sz w:val="24"/>
          <w:szCs w:val="24"/>
        </w:rPr>
        <w:t xml:space="preserve">Reproduced with permission from </w:t>
      </w:r>
      <w:r w:rsidRPr="001B477C">
        <w:rPr>
          <w:rFonts w:ascii="Times New Roman" w:eastAsia="Times New Roman" w:hAnsi="Times New Roman" w:cs="Times New Roman"/>
          <w:b/>
          <w:bCs/>
          <w:color w:val="4F81BD"/>
          <w:sz w:val="24"/>
          <w:szCs w:val="24"/>
        </w:rPr>
        <w:t>IPNA 2020 and KIDIGO 2021.</w:t>
      </w:r>
    </w:p>
    <w:p w:rsidR="001B477C" w:rsidRDefault="001B477C" w:rsidP="001B477C">
      <w:pPr>
        <w:ind w:firstLine="0"/>
        <w:jc w:val="left"/>
        <w:rPr>
          <w:rFonts w:ascii="Times New Roman" w:eastAsia="Times New Roman" w:hAnsi="Times New Roman" w:cs="Times New Roman"/>
          <w:b/>
          <w:bCs/>
          <w:color w:val="4F81BD"/>
          <w:sz w:val="24"/>
          <w:szCs w:val="24"/>
        </w:rPr>
      </w:pPr>
    </w:p>
    <w:p w:rsidR="000776F9" w:rsidRDefault="000776F9" w:rsidP="001B477C">
      <w:pPr>
        <w:ind w:firstLine="0"/>
        <w:jc w:val="left"/>
        <w:rPr>
          <w:rFonts w:ascii="Times New Roman" w:eastAsia="Times New Roman" w:hAnsi="Times New Roman" w:cs="Times New Roman"/>
          <w:b/>
          <w:bCs/>
          <w:color w:val="4F81BD"/>
          <w:sz w:val="24"/>
          <w:szCs w:val="24"/>
        </w:rPr>
      </w:pPr>
    </w:p>
    <w:p w:rsidR="000776F9" w:rsidRDefault="000776F9" w:rsidP="001B477C">
      <w:pPr>
        <w:ind w:firstLine="0"/>
        <w:jc w:val="left"/>
        <w:rPr>
          <w:rFonts w:ascii="Times New Roman" w:eastAsia="Times New Roman" w:hAnsi="Times New Roman" w:cs="Times New Roman"/>
          <w:b/>
          <w:bCs/>
          <w:color w:val="4F81BD"/>
          <w:sz w:val="24"/>
          <w:szCs w:val="24"/>
        </w:rPr>
      </w:pPr>
    </w:p>
    <w:p w:rsidR="000776F9" w:rsidRDefault="000776F9" w:rsidP="001B477C">
      <w:pPr>
        <w:ind w:firstLine="0"/>
        <w:jc w:val="left"/>
        <w:rPr>
          <w:rFonts w:ascii="Times New Roman" w:eastAsia="Times New Roman" w:hAnsi="Times New Roman" w:cs="Times New Roman"/>
          <w:b/>
          <w:bCs/>
          <w:color w:val="4F81BD"/>
          <w:sz w:val="24"/>
          <w:szCs w:val="24"/>
        </w:rPr>
      </w:pPr>
    </w:p>
    <w:p w:rsidR="000776F9" w:rsidRDefault="000776F9" w:rsidP="001B477C">
      <w:pPr>
        <w:ind w:firstLine="0"/>
        <w:jc w:val="left"/>
        <w:rPr>
          <w:rFonts w:ascii="Times New Roman" w:eastAsia="Times New Roman" w:hAnsi="Times New Roman" w:cs="Times New Roman"/>
          <w:b/>
          <w:bCs/>
          <w:color w:val="4F81BD"/>
          <w:sz w:val="24"/>
          <w:szCs w:val="24"/>
        </w:rPr>
      </w:pPr>
    </w:p>
    <w:p w:rsidR="000776F9" w:rsidRPr="001B477C" w:rsidRDefault="000776F9" w:rsidP="001B477C">
      <w:pPr>
        <w:ind w:firstLine="0"/>
        <w:jc w:val="left"/>
        <w:rPr>
          <w:rFonts w:ascii="Times New Roman" w:eastAsia="Times New Roman" w:hAnsi="Times New Roman" w:cs="Times New Roman"/>
          <w:b/>
          <w:bCs/>
          <w:color w:val="4F81BD"/>
          <w:sz w:val="24"/>
          <w:szCs w:val="24"/>
        </w:rPr>
      </w:pPr>
    </w:p>
    <w:p w:rsidR="001B477C" w:rsidRPr="001B477C" w:rsidRDefault="001B477C" w:rsidP="001B477C">
      <w:pPr>
        <w:ind w:left="1080" w:hanging="99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B477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Table 2:  Initial workup and follow-up for a child with steroid-resistant </w:t>
      </w:r>
      <w:proofErr w:type="spellStart"/>
      <w:proofErr w:type="gramStart"/>
      <w:r w:rsidRPr="001B477C">
        <w:rPr>
          <w:rFonts w:ascii="Times New Roman" w:eastAsia="Calibri" w:hAnsi="Times New Roman" w:cs="Times New Roman"/>
          <w:b/>
          <w:bCs/>
          <w:sz w:val="24"/>
          <w:szCs w:val="24"/>
        </w:rPr>
        <w:t>nephrotic</w:t>
      </w:r>
      <w:proofErr w:type="spellEnd"/>
      <w:r w:rsidRPr="001B477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syndrome</w:t>
      </w:r>
      <w:proofErr w:type="gramEnd"/>
      <w:r w:rsidRPr="001B477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(IPNA 2020).                                  </w:t>
      </w:r>
    </w:p>
    <w:tbl>
      <w:tblPr>
        <w:tblStyle w:val="GridTable4-Accent12"/>
        <w:tblW w:w="0" w:type="auto"/>
        <w:tblLayout w:type="fixed"/>
        <w:tblLook w:val="04A0" w:firstRow="1" w:lastRow="0" w:firstColumn="1" w:lastColumn="0" w:noHBand="0" w:noVBand="1"/>
      </w:tblPr>
      <w:tblGrid>
        <w:gridCol w:w="5148"/>
        <w:gridCol w:w="1507"/>
        <w:gridCol w:w="2561"/>
      </w:tblGrid>
      <w:tr w:rsidR="001B477C" w:rsidRPr="001B477C" w:rsidTr="001B47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6" w:type="dxa"/>
            <w:gridSpan w:val="3"/>
            <w:shd w:val="clear" w:color="auto" w:fill="548DD4"/>
          </w:tcPr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 xml:space="preserve">Table 2                                                                                                       </w:t>
            </w:r>
            <w:proofErr w:type="spellStart"/>
            <w:r w:rsidRPr="001B477C">
              <w:rPr>
                <w:rFonts w:eastAsia="Calibri"/>
                <w:sz w:val="20"/>
                <w:szCs w:val="20"/>
              </w:rPr>
              <w:t>Pediatr</w:t>
            </w:r>
            <w:proofErr w:type="spellEnd"/>
            <w:r w:rsidRPr="001B477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1B477C">
              <w:rPr>
                <w:rFonts w:eastAsia="Calibri"/>
                <w:sz w:val="20"/>
                <w:szCs w:val="20"/>
              </w:rPr>
              <w:t>Nephrol</w:t>
            </w:r>
            <w:proofErr w:type="spellEnd"/>
            <w:r w:rsidRPr="001B477C">
              <w:rPr>
                <w:rFonts w:eastAsia="Calibri"/>
                <w:sz w:val="20"/>
                <w:szCs w:val="20"/>
              </w:rPr>
              <w:t xml:space="preserve"> (2020) 35:1529–1561 </w:t>
            </w:r>
          </w:p>
        </w:tc>
      </w:tr>
      <w:tr w:rsidR="001B477C" w:rsidRPr="001B477C" w:rsidTr="001B47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</w:tcPr>
          <w:p w:rsidR="001B477C" w:rsidRPr="001B477C" w:rsidRDefault="001B477C" w:rsidP="001B477C">
            <w:pPr>
              <w:bidi w:val="0"/>
              <w:jc w:val="center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>Investigations</w:t>
            </w:r>
          </w:p>
        </w:tc>
        <w:tc>
          <w:tcPr>
            <w:tcW w:w="1507" w:type="dxa"/>
          </w:tcPr>
          <w:p w:rsidR="001B477C" w:rsidRPr="001B477C" w:rsidRDefault="001B477C" w:rsidP="001B477C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t>Initial work up</w:t>
            </w:r>
          </w:p>
        </w:tc>
        <w:tc>
          <w:tcPr>
            <w:tcW w:w="2561" w:type="dxa"/>
          </w:tcPr>
          <w:p w:rsidR="001B477C" w:rsidRPr="001B477C" w:rsidRDefault="001B477C" w:rsidP="001B477C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t>Follow-up mentoring</w:t>
            </w:r>
          </w:p>
        </w:tc>
      </w:tr>
      <w:tr w:rsidR="001B477C" w:rsidRPr="001B477C" w:rsidTr="001B477C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  <w:shd w:val="clear" w:color="auto" w:fill="B8CCE4"/>
          </w:tcPr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>Clinical Evaluation</w:t>
            </w:r>
          </w:p>
        </w:tc>
        <w:tc>
          <w:tcPr>
            <w:tcW w:w="1507" w:type="dxa"/>
            <w:shd w:val="clear" w:color="auto" w:fill="B8CCE4"/>
          </w:tcPr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2561" w:type="dxa"/>
            <w:shd w:val="clear" w:color="auto" w:fill="B8CCE4"/>
          </w:tcPr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</w:tr>
      <w:tr w:rsidR="001B477C" w:rsidRPr="001B477C" w:rsidTr="001B47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  <w:shd w:val="clear" w:color="auto" w:fill="FFFFFF"/>
          </w:tcPr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 xml:space="preserve">Patient history </w:t>
            </w:r>
          </w:p>
          <w:p w:rsidR="001B477C" w:rsidRPr="001B477C" w:rsidRDefault="001B477C" w:rsidP="001B477C">
            <w:pPr>
              <w:bidi w:val="0"/>
              <w:ind w:left="270" w:hanging="18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 xml:space="preserve">– Including results of dipstick assessments at home, physical   activity, fever episodes, pain, abdominal discomfort, swelling, fatigue, school attendance, adherence to medication, menstrual cycle in female adolescents                                                               </w:t>
            </w:r>
          </w:p>
          <w:p w:rsidR="001B477C" w:rsidRPr="001B477C" w:rsidRDefault="001B477C" w:rsidP="001B477C">
            <w:pPr>
              <w:bidi w:val="0"/>
              <w:ind w:left="270" w:hanging="18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 xml:space="preserve">- Search for risk factors for secondary causes                                       As appropriate (sickle cell disease, HIV, SLE, </w:t>
            </w:r>
            <w:proofErr w:type="spellStart"/>
            <w:r w:rsidRPr="001B477C">
              <w:rPr>
                <w:rFonts w:eastAsia="Calibri"/>
                <w:sz w:val="20"/>
                <w:szCs w:val="20"/>
              </w:rPr>
              <w:t>HepB</w:t>
            </w:r>
            <w:proofErr w:type="spellEnd"/>
            <w:r w:rsidRPr="001B477C">
              <w:rPr>
                <w:rFonts w:eastAsia="Calibri"/>
                <w:sz w:val="20"/>
                <w:szCs w:val="20"/>
              </w:rPr>
              <w:t xml:space="preserve">, malaria, parvovirus B19)                                                                                              </w:t>
            </w: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 xml:space="preserve"> - Check for tuberculosis in endemic areas before</w:t>
            </w:r>
          </w:p>
          <w:p w:rsidR="001B477C" w:rsidRPr="001B477C" w:rsidRDefault="001B477C" w:rsidP="001B477C">
            <w:pPr>
              <w:bidi w:val="0"/>
              <w:ind w:left="810" w:hanging="720"/>
              <w:rPr>
                <w:rFonts w:eastAsia="Calibri"/>
              </w:rPr>
            </w:pPr>
            <w:r w:rsidRPr="001B477C">
              <w:rPr>
                <w:rFonts w:eastAsia="Calibri"/>
                <w:sz w:val="20"/>
                <w:szCs w:val="20"/>
              </w:rPr>
              <w:t xml:space="preserve"> starting immunosuppressant drugs</w:t>
            </w:r>
            <w:r w:rsidRPr="001B477C">
              <w:rPr>
                <w:rFonts w:ascii="Calibri" w:eastAsia="Calibri" w:hAnsi="Calibri" w:cs="Arial"/>
              </w:rPr>
              <w:t xml:space="preserve">  </w:t>
            </w:r>
          </w:p>
        </w:tc>
        <w:tc>
          <w:tcPr>
            <w:tcW w:w="1507" w:type="dxa"/>
            <w:shd w:val="clear" w:color="auto" w:fill="FFFFFF"/>
          </w:tcPr>
          <w:p w:rsidR="001B477C" w:rsidRPr="001B477C" w:rsidRDefault="001B477C" w:rsidP="001B477C">
            <w:pPr>
              <w:bidi w:val="0"/>
              <w:spacing w:after="160" w:line="254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Calibri" w:hAnsi="Segoe UI Symbol" w:cs="Segoe UI Symbol"/>
              </w:rPr>
            </w:pPr>
          </w:p>
          <w:p w:rsidR="001B477C" w:rsidRPr="001B477C" w:rsidRDefault="001B477C" w:rsidP="001B477C">
            <w:pPr>
              <w:bidi w:val="0"/>
              <w:spacing w:after="160" w:line="254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Calibri" w:hAnsi="Segoe UI Symbol" w:cs="Segoe UI Symbol"/>
              </w:rPr>
            </w:pPr>
            <w:r w:rsidRPr="001B477C">
              <w:rPr>
                <w:rFonts w:ascii="Segoe UI Symbol" w:eastAsia="Calibri" w:hAnsi="Segoe UI Symbol" w:cs="Segoe UI Symbol"/>
              </w:rPr>
              <w:t>✓</w:t>
            </w:r>
          </w:p>
          <w:p w:rsidR="001B477C" w:rsidRPr="001B477C" w:rsidRDefault="001B477C" w:rsidP="001B477C">
            <w:pPr>
              <w:bidi w:val="0"/>
              <w:spacing w:after="160" w:line="254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Calibri" w:hAnsi="Segoe UI Symbol" w:cs="Segoe UI Symbol"/>
              </w:rPr>
            </w:pPr>
          </w:p>
          <w:p w:rsidR="001B477C" w:rsidRPr="001B477C" w:rsidRDefault="001B477C" w:rsidP="001B477C">
            <w:pPr>
              <w:bidi w:val="0"/>
              <w:spacing w:after="160" w:line="254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Calibri" w:hAnsi="Segoe UI Symbol" w:cs="Segoe UI Symbol"/>
              </w:rPr>
            </w:pPr>
            <w:r w:rsidRPr="001B477C">
              <w:rPr>
                <w:rFonts w:ascii="Segoe UI Symbol" w:eastAsia="Calibri" w:hAnsi="Segoe UI Symbol" w:cs="Segoe UI Symbol"/>
              </w:rPr>
              <w:t>✓</w:t>
            </w:r>
          </w:p>
          <w:p w:rsidR="001B477C" w:rsidRPr="001B477C" w:rsidRDefault="001B477C" w:rsidP="001B477C">
            <w:pPr>
              <w:bidi w:val="0"/>
              <w:spacing w:after="160" w:line="254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bCs/>
              </w:rPr>
            </w:pPr>
            <w:r w:rsidRPr="001B477C">
              <w:rPr>
                <w:rFonts w:ascii="Segoe UI Symbol" w:eastAsia="Calibri" w:hAnsi="Segoe UI Symbol" w:cs="Segoe UI Symbol"/>
              </w:rPr>
              <w:t>✓</w:t>
            </w:r>
          </w:p>
        </w:tc>
        <w:tc>
          <w:tcPr>
            <w:tcW w:w="2561" w:type="dxa"/>
            <w:shd w:val="clear" w:color="auto" w:fill="FFFFFF"/>
          </w:tcPr>
          <w:p w:rsidR="001B477C" w:rsidRPr="001B477C" w:rsidRDefault="001B477C" w:rsidP="001B477C">
            <w:pPr>
              <w:bidi w:val="0"/>
              <w:spacing w:after="160" w:line="254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</w:p>
          <w:p w:rsidR="001B477C" w:rsidRPr="001B477C" w:rsidRDefault="001B477C" w:rsidP="001B477C">
            <w:pPr>
              <w:bidi w:val="0"/>
              <w:spacing w:after="160" w:line="254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t>Every 3 months</w:t>
            </w:r>
          </w:p>
          <w:p w:rsidR="001B477C" w:rsidRPr="001B477C" w:rsidRDefault="001B477C" w:rsidP="001B477C">
            <w:pPr>
              <w:bidi w:val="0"/>
              <w:spacing w:after="160" w:line="254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</w:p>
          <w:p w:rsidR="001B477C" w:rsidRPr="001B477C" w:rsidRDefault="001B477C" w:rsidP="001B477C">
            <w:pPr>
              <w:bidi w:val="0"/>
              <w:spacing w:after="160" w:line="254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</w:p>
          <w:p w:rsidR="001B477C" w:rsidRPr="001B477C" w:rsidRDefault="001B477C" w:rsidP="001B477C">
            <w:pPr>
              <w:bidi w:val="0"/>
              <w:spacing w:after="160" w:line="254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t>As appropriate</w:t>
            </w:r>
          </w:p>
          <w:p w:rsidR="001B477C" w:rsidRPr="001B477C" w:rsidRDefault="001B477C" w:rsidP="001B477C">
            <w:pPr>
              <w:bidi w:val="0"/>
              <w:spacing w:after="160" w:line="254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bCs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t>As appropriate</w:t>
            </w:r>
          </w:p>
        </w:tc>
      </w:tr>
      <w:tr w:rsidR="001B477C" w:rsidRPr="001B477C" w:rsidTr="001B47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</w:tcPr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>Physical examination</w:t>
            </w:r>
          </w:p>
          <w:p w:rsidR="001B477C" w:rsidRPr="001B477C" w:rsidRDefault="001B477C" w:rsidP="001B477C">
            <w:pPr>
              <w:bidi w:val="0"/>
              <w:ind w:left="9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 xml:space="preserve">- Assessing fluid status including signs of edema (e.g.,   ascites, pericardial &amp; pleural effusions), </w:t>
            </w:r>
            <w:proofErr w:type="spellStart"/>
            <w:r w:rsidRPr="001B477C">
              <w:rPr>
                <w:rFonts w:eastAsia="Calibri"/>
                <w:sz w:val="20"/>
                <w:szCs w:val="20"/>
              </w:rPr>
              <w:t>tetany</w:t>
            </w:r>
            <w:proofErr w:type="spellEnd"/>
            <w:r w:rsidRPr="001B477C">
              <w:rPr>
                <w:rFonts w:eastAsia="Calibri"/>
                <w:sz w:val="20"/>
                <w:szCs w:val="20"/>
              </w:rPr>
              <w:t xml:space="preserve">, lymphadenopathy                                                                                           - Drug toxicity (e.g., eyes, skin) Every 3 months -  </w:t>
            </w:r>
          </w:p>
          <w:p w:rsidR="001B477C" w:rsidRPr="001B477C" w:rsidRDefault="001B477C" w:rsidP="001B477C">
            <w:pPr>
              <w:bidi w:val="0"/>
              <w:ind w:left="9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 xml:space="preserve">- Skeletal status                                                                                                    - </w:t>
            </w:r>
            <w:proofErr w:type="spellStart"/>
            <w:r w:rsidRPr="001B477C">
              <w:rPr>
                <w:rFonts w:eastAsia="Calibri"/>
                <w:sz w:val="20"/>
                <w:szCs w:val="20"/>
              </w:rPr>
              <w:t>Extrarenal</w:t>
            </w:r>
            <w:proofErr w:type="spellEnd"/>
            <w:r w:rsidRPr="001B477C">
              <w:rPr>
                <w:rFonts w:eastAsia="Calibri"/>
                <w:sz w:val="20"/>
                <w:szCs w:val="20"/>
              </w:rPr>
              <w:t xml:space="preserve"> features, e.g., </w:t>
            </w:r>
            <w:proofErr w:type="spellStart"/>
            <w:r w:rsidRPr="001B477C">
              <w:rPr>
                <w:rFonts w:eastAsia="Calibri"/>
                <w:sz w:val="20"/>
                <w:szCs w:val="20"/>
              </w:rPr>
              <w:t>dysmorphic</w:t>
            </w:r>
            <w:proofErr w:type="spellEnd"/>
            <w:r w:rsidRPr="001B477C">
              <w:rPr>
                <w:rFonts w:eastAsia="Calibri"/>
                <w:sz w:val="20"/>
                <w:szCs w:val="20"/>
              </w:rPr>
              <w:t xml:space="preserve"> features </w:t>
            </w:r>
          </w:p>
          <w:p w:rsidR="001B477C" w:rsidRPr="001B477C" w:rsidRDefault="001B477C" w:rsidP="001B477C">
            <w:pPr>
              <w:bidi w:val="0"/>
              <w:ind w:left="9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 xml:space="preserve">   ambiguous genitalia                                                                                                </w:t>
            </w:r>
          </w:p>
          <w:p w:rsidR="001B477C" w:rsidRPr="001B477C" w:rsidRDefault="001B477C" w:rsidP="001B477C">
            <w:pPr>
              <w:bidi w:val="0"/>
              <w:ind w:left="9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>- Full neurological examination &amp; standardized</w:t>
            </w:r>
          </w:p>
          <w:p w:rsidR="001B477C" w:rsidRPr="001B477C" w:rsidRDefault="001B477C" w:rsidP="001B477C">
            <w:pPr>
              <w:bidi w:val="0"/>
              <w:ind w:left="9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 xml:space="preserve">   assessment of cognitive status                                                                                       </w:t>
            </w:r>
          </w:p>
          <w:p w:rsidR="001B477C" w:rsidRPr="001B477C" w:rsidRDefault="001B477C" w:rsidP="001B477C">
            <w:pPr>
              <w:numPr>
                <w:ilvl w:val="0"/>
                <w:numId w:val="3"/>
              </w:numPr>
              <w:tabs>
                <w:tab w:val="left" w:pos="180"/>
              </w:tabs>
              <w:bidi w:val="0"/>
              <w:ind w:left="90" w:firstLine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 xml:space="preserve">Pubertal status: Tanner stage, testicular volume in boys  </w:t>
            </w:r>
          </w:p>
          <w:p w:rsidR="001B477C" w:rsidRPr="001B477C" w:rsidRDefault="001B477C" w:rsidP="001B477C">
            <w:pPr>
              <w:tabs>
                <w:tab w:val="left" w:pos="180"/>
              </w:tabs>
              <w:bidi w:val="0"/>
              <w:ind w:left="9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 xml:space="preserve">    ( in patients aged &gt; 10 years)      </w:t>
            </w:r>
          </w:p>
          <w:p w:rsidR="001B477C" w:rsidRPr="001B477C" w:rsidRDefault="001B477C" w:rsidP="001B477C">
            <w:pPr>
              <w:tabs>
                <w:tab w:val="left" w:pos="180"/>
              </w:tabs>
              <w:bidi w:val="0"/>
              <w:ind w:left="9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 xml:space="preserve">                                                  </w:t>
            </w:r>
          </w:p>
          <w:p w:rsidR="001B477C" w:rsidRPr="001B477C" w:rsidRDefault="001B477C" w:rsidP="001B477C">
            <w:pPr>
              <w:tabs>
                <w:tab w:val="left" w:pos="180"/>
              </w:tabs>
              <w:bidi w:val="0"/>
              <w:ind w:left="9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 xml:space="preserve"> - Vital parameters: blood pressure       </w:t>
            </w:r>
          </w:p>
          <w:p w:rsidR="001B477C" w:rsidRPr="001B477C" w:rsidRDefault="001B477C" w:rsidP="001B477C">
            <w:pPr>
              <w:tabs>
                <w:tab w:val="left" w:pos="180"/>
              </w:tabs>
              <w:bidi w:val="0"/>
              <w:ind w:left="9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 xml:space="preserve">                                                                     </w:t>
            </w:r>
          </w:p>
          <w:p w:rsidR="001B477C" w:rsidRPr="001B477C" w:rsidRDefault="001B477C" w:rsidP="001B477C">
            <w:pPr>
              <w:numPr>
                <w:ilvl w:val="0"/>
                <w:numId w:val="3"/>
              </w:numPr>
              <w:tabs>
                <w:tab w:val="left" w:pos="180"/>
              </w:tabs>
              <w:bidi w:val="0"/>
              <w:spacing w:after="160" w:line="256" w:lineRule="auto"/>
              <w:ind w:left="427"/>
              <w:contextualSpacing/>
              <w:rPr>
                <w:rFonts w:eastAsia="Calibri"/>
                <w:sz w:val="20"/>
                <w:szCs w:val="20"/>
                <w:lang w:val="en-GB"/>
              </w:rPr>
            </w:pPr>
            <w:r w:rsidRPr="001B477C">
              <w:rPr>
                <w:rFonts w:eastAsia="Calibri"/>
                <w:sz w:val="20"/>
                <w:szCs w:val="20"/>
                <w:lang w:val="en-GB"/>
              </w:rPr>
              <w:t xml:space="preserve">Anthropometry  </w:t>
            </w:r>
          </w:p>
          <w:p w:rsidR="001B477C" w:rsidRPr="001B477C" w:rsidRDefault="001B477C" w:rsidP="001B477C">
            <w:pPr>
              <w:tabs>
                <w:tab w:val="left" w:pos="180"/>
              </w:tabs>
              <w:bidi w:val="0"/>
              <w:spacing w:after="160" w:line="256" w:lineRule="auto"/>
              <w:ind w:left="427"/>
              <w:contextualSpacing/>
              <w:rPr>
                <w:rFonts w:eastAsia="Calibri"/>
                <w:sz w:val="20"/>
                <w:szCs w:val="20"/>
                <w:lang w:val="en-GB"/>
              </w:rPr>
            </w:pPr>
            <w:r w:rsidRPr="001B477C">
              <w:rPr>
                <w:rFonts w:eastAsia="Calibri"/>
                <w:sz w:val="20"/>
                <w:szCs w:val="20"/>
                <w:lang w:val="en-GB"/>
              </w:rPr>
              <w:t xml:space="preserve">Growth chart: height/length, weight,                                                                                                    Head circumference &lt; 2 years </w:t>
            </w:r>
          </w:p>
          <w:p w:rsidR="001B477C" w:rsidRPr="001B477C" w:rsidRDefault="001B477C" w:rsidP="001B477C">
            <w:pPr>
              <w:tabs>
                <w:tab w:val="left" w:pos="180"/>
              </w:tabs>
              <w:bidi w:val="0"/>
              <w:spacing w:after="160" w:line="256" w:lineRule="auto"/>
              <w:ind w:left="427"/>
              <w:contextualSpacing/>
              <w:rPr>
                <w:rFonts w:eastAsia="Calibri"/>
                <w:sz w:val="20"/>
                <w:szCs w:val="20"/>
                <w:lang w:val="en-GB"/>
              </w:rPr>
            </w:pPr>
            <w:r w:rsidRPr="001B477C">
              <w:rPr>
                <w:rFonts w:eastAsia="Calibri"/>
                <w:sz w:val="20"/>
                <w:szCs w:val="20"/>
                <w:lang w:val="en-GB"/>
              </w:rPr>
              <w:t xml:space="preserve">Calculation of BMI and annual height velocity                                                </w:t>
            </w:r>
          </w:p>
          <w:p w:rsidR="001B477C" w:rsidRPr="001B477C" w:rsidRDefault="001B477C" w:rsidP="001B477C">
            <w:pPr>
              <w:numPr>
                <w:ilvl w:val="0"/>
                <w:numId w:val="3"/>
              </w:numPr>
              <w:bidi w:val="0"/>
              <w:ind w:left="270" w:hanging="18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 xml:space="preserve">Vaccination status </w:t>
            </w:r>
          </w:p>
          <w:p w:rsidR="001B477C" w:rsidRPr="001B477C" w:rsidRDefault="001B477C" w:rsidP="001B477C">
            <w:pPr>
              <w:bidi w:val="0"/>
              <w:ind w:left="270" w:hanging="18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 xml:space="preserve">    Check and complete, especially for encapsulated bacteria— Pneumococcal, Meningococcal, </w:t>
            </w:r>
            <w:proofErr w:type="spellStart"/>
            <w:r w:rsidRPr="001B477C">
              <w:rPr>
                <w:rFonts w:eastAsia="Calibri"/>
                <w:sz w:val="20"/>
                <w:szCs w:val="20"/>
              </w:rPr>
              <w:t>Hemophilus</w:t>
            </w:r>
            <w:proofErr w:type="spellEnd"/>
            <w:r w:rsidRPr="001B477C">
              <w:rPr>
                <w:rFonts w:eastAsia="Calibri"/>
                <w:sz w:val="20"/>
                <w:szCs w:val="20"/>
              </w:rPr>
              <w:t xml:space="preserve"> Influenza, and Varicella-Zoster.</w:t>
            </w:r>
          </w:p>
          <w:p w:rsidR="001B477C" w:rsidRPr="001B477C" w:rsidRDefault="001B477C" w:rsidP="001B477C">
            <w:pPr>
              <w:numPr>
                <w:ilvl w:val="0"/>
                <w:numId w:val="3"/>
              </w:numPr>
              <w:bidi w:val="0"/>
              <w:ind w:left="270" w:hanging="18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>Family history.</w:t>
            </w:r>
          </w:p>
          <w:p w:rsidR="001B477C" w:rsidRPr="001B477C" w:rsidRDefault="001B477C" w:rsidP="001B477C">
            <w:pPr>
              <w:numPr>
                <w:ilvl w:val="0"/>
                <w:numId w:val="3"/>
              </w:numPr>
              <w:bidi w:val="0"/>
              <w:ind w:left="270" w:hanging="18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 xml:space="preserve">Renal and </w:t>
            </w:r>
            <w:proofErr w:type="spellStart"/>
            <w:r w:rsidRPr="001B477C">
              <w:rPr>
                <w:rFonts w:eastAsia="Calibri"/>
                <w:sz w:val="20"/>
                <w:szCs w:val="20"/>
              </w:rPr>
              <w:t>extrarenal</w:t>
            </w:r>
            <w:proofErr w:type="spellEnd"/>
            <w:r w:rsidRPr="001B477C">
              <w:rPr>
                <w:rFonts w:eastAsia="Calibri"/>
                <w:sz w:val="20"/>
                <w:szCs w:val="20"/>
              </w:rPr>
              <w:t xml:space="preserve"> manifestations.</w:t>
            </w:r>
          </w:p>
          <w:p w:rsidR="001B477C" w:rsidRPr="001B477C" w:rsidRDefault="001B477C" w:rsidP="001B477C">
            <w:pPr>
              <w:numPr>
                <w:ilvl w:val="0"/>
                <w:numId w:val="3"/>
              </w:numPr>
              <w:bidi w:val="0"/>
              <w:ind w:left="270" w:hanging="18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>Consanguinity</w:t>
            </w:r>
            <w:r w:rsidRPr="001B477C">
              <w:rPr>
                <w:rFonts w:ascii="Calibri" w:eastAsia="Calibri" w:hAnsi="Calibri" w:cs="Arial"/>
              </w:rPr>
              <w:t xml:space="preserve">                                            </w:t>
            </w:r>
          </w:p>
        </w:tc>
        <w:tc>
          <w:tcPr>
            <w:tcW w:w="1507" w:type="dxa"/>
          </w:tcPr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Calibri" w:hAnsi="Segoe UI Symbol" w:cs="Segoe UI Symbol"/>
              </w:rPr>
            </w:pPr>
            <w:r w:rsidRPr="001B477C">
              <w:rPr>
                <w:rFonts w:ascii="Segoe UI Symbol" w:eastAsia="Calibri" w:hAnsi="Segoe UI Symbol" w:cs="Segoe UI Symbol"/>
              </w:rPr>
              <w:t>✓</w:t>
            </w: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Calibri" w:hAnsi="Segoe UI Symbol" w:cs="Segoe UI Symbol"/>
              </w:rPr>
            </w:pPr>
            <w:r w:rsidRPr="001B477C">
              <w:rPr>
                <w:rFonts w:ascii="Segoe UI Symbol" w:eastAsia="Calibri" w:hAnsi="Segoe UI Symbol" w:cs="Segoe UI Symbol"/>
              </w:rPr>
              <w:t>✓</w:t>
            </w: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Calibri" w:hAnsi="Segoe UI Symbol" w:cs="Segoe UI Symbol"/>
              </w:rPr>
            </w:pPr>
            <w:r w:rsidRPr="001B477C">
              <w:rPr>
                <w:rFonts w:ascii="Segoe UI Symbol" w:eastAsia="Calibri" w:hAnsi="Segoe UI Symbol" w:cs="Segoe UI Symbol"/>
              </w:rPr>
              <w:t>✓</w:t>
            </w: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Calibri" w:hAnsi="Segoe UI Symbol" w:cs="Segoe UI Symbol"/>
              </w:rPr>
            </w:pPr>
            <w:r w:rsidRPr="001B477C">
              <w:rPr>
                <w:rFonts w:ascii="Segoe UI Symbol" w:eastAsia="Calibri" w:hAnsi="Segoe UI Symbol" w:cs="Segoe UI Symbol"/>
              </w:rPr>
              <w:t>✓</w:t>
            </w: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Calibri" w:hAnsi="Segoe UI Symbol" w:cs="Segoe UI Symbol"/>
              </w:rPr>
            </w:pPr>
            <w:r w:rsidRPr="001B477C">
              <w:rPr>
                <w:rFonts w:ascii="Segoe UI Symbol" w:eastAsia="Calibri" w:hAnsi="Segoe UI Symbol" w:cs="Segoe UI Symbol"/>
              </w:rPr>
              <w:t>✓</w:t>
            </w:r>
          </w:p>
          <w:p w:rsidR="001B477C" w:rsidRPr="001B477C" w:rsidRDefault="001B477C" w:rsidP="001B477C">
            <w:pPr>
              <w:bidi w:val="0"/>
              <w:spacing w:after="160" w:line="25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Calibri" w:hAnsi="Segoe UI Symbol" w:cs="Segoe UI Symbol"/>
              </w:rPr>
            </w:pP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Calibri" w:hAnsi="Segoe UI Symbol" w:cs="Segoe UI Symbol"/>
              </w:rPr>
            </w:pPr>
          </w:p>
        </w:tc>
        <w:tc>
          <w:tcPr>
            <w:tcW w:w="2561" w:type="dxa"/>
          </w:tcPr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t>As appropriate</w:t>
            </w: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t>Every 3 months</w:t>
            </w: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t xml:space="preserve">Every 3 months </w:t>
            </w: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t>Every 3 months</w:t>
            </w: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t>As appropriate</w:t>
            </w: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t xml:space="preserve">Every 12 months or </w:t>
            </w: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t>as appropriate</w:t>
            </w: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t xml:space="preserve">Every 12 months </w:t>
            </w: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t>Every 3 months; yearly 24h ambulatory BP monitoring hypertension, if feasible.</w:t>
            </w: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t xml:space="preserve">       </w:t>
            </w: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</w:t>
            </w: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t xml:space="preserve">Every 3 months (monthly in infants)    </w:t>
            </w: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t xml:space="preserve">Every 12 month or as    appropriate                                                                                                                 </w:t>
            </w: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t xml:space="preserve">Every 12 month or as    appropriate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1B477C" w:rsidRPr="001B477C" w:rsidTr="001B47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  <w:shd w:val="clear" w:color="auto" w:fill="B8CCE4"/>
          </w:tcPr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>Biochemistry</w:t>
            </w:r>
          </w:p>
        </w:tc>
        <w:tc>
          <w:tcPr>
            <w:tcW w:w="1507" w:type="dxa"/>
            <w:shd w:val="clear" w:color="auto" w:fill="B8CCE4"/>
          </w:tcPr>
          <w:p w:rsidR="001B477C" w:rsidRPr="001B477C" w:rsidRDefault="001B477C" w:rsidP="001B477C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bCs/>
              </w:rPr>
            </w:pPr>
          </w:p>
        </w:tc>
        <w:tc>
          <w:tcPr>
            <w:tcW w:w="2561" w:type="dxa"/>
            <w:shd w:val="clear" w:color="auto" w:fill="B8CCE4"/>
          </w:tcPr>
          <w:p w:rsidR="001B477C" w:rsidRPr="001B477C" w:rsidRDefault="001B477C" w:rsidP="001B477C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bCs/>
              </w:rPr>
            </w:pPr>
          </w:p>
        </w:tc>
      </w:tr>
      <w:tr w:rsidR="001B477C" w:rsidRPr="001B477C" w:rsidTr="001B477C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  <w:shd w:val="clear" w:color="auto" w:fill="FFFFFF"/>
          </w:tcPr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  <w:u w:val="single"/>
              </w:rPr>
            </w:pPr>
            <w:r w:rsidRPr="001B477C">
              <w:rPr>
                <w:rFonts w:eastAsia="Calibri"/>
                <w:sz w:val="20"/>
                <w:szCs w:val="20"/>
                <w:u w:val="single"/>
              </w:rPr>
              <w:t>Urine</w:t>
            </w: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 xml:space="preserve">Spot urine (first morning void) or 24 h urine:  protein/creatinine                                                     </w:t>
            </w: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 xml:space="preserve">Urinalysis including hematuria            </w:t>
            </w: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 xml:space="preserve">Spot urine: calcium/creatinine ratio, low molecular weight proteinuria (e.g., α1-microglobulin/creatinine ratio </w:t>
            </w: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  <w:u w:val="single"/>
              </w:rPr>
            </w:pPr>
            <w:r w:rsidRPr="001B477C">
              <w:rPr>
                <w:rFonts w:eastAsia="Calibri"/>
                <w:sz w:val="20"/>
                <w:szCs w:val="20"/>
                <w:u w:val="single"/>
              </w:rPr>
              <w:t xml:space="preserve"> </w:t>
            </w: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  <w:u w:val="single"/>
              </w:rPr>
              <w:t>Blood</w:t>
            </w:r>
            <w:r w:rsidRPr="001B477C">
              <w:rPr>
                <w:rFonts w:eastAsia="Calibri"/>
                <w:sz w:val="20"/>
                <w:szCs w:val="20"/>
              </w:rPr>
              <w:t xml:space="preserve"> </w:t>
            </w: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>Complete blood count (CBC)</w:t>
            </w: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 xml:space="preserve">Creatinine, BUN, or urea </w:t>
            </w: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lastRenderedPageBreak/>
              <w:t xml:space="preserve">Electrolytes (including ionized calcium, potassium* and albumin corrected albumin if available) </w:t>
            </w: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>Serum albumin, total protein</w:t>
            </w: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 xml:space="preserve">Blood gas analysis (HCO3)   </w:t>
            </w: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 xml:space="preserve">C-reactive protein                                                                        </w:t>
            </w: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 xml:space="preserve">Estimated </w:t>
            </w:r>
            <w:proofErr w:type="spellStart"/>
            <w:r w:rsidRPr="001B477C">
              <w:rPr>
                <w:rFonts w:eastAsia="Calibri"/>
                <w:sz w:val="20"/>
                <w:szCs w:val="20"/>
              </w:rPr>
              <w:t>GFR</w:t>
            </w:r>
            <w:r w:rsidRPr="001B477C">
              <w:rPr>
                <w:rFonts w:eastAsia="Calibri"/>
                <w:sz w:val="20"/>
                <w:szCs w:val="20"/>
                <w:vertAlign w:val="superscript"/>
              </w:rPr>
              <w:t>b</w:t>
            </w:r>
            <w:proofErr w:type="spellEnd"/>
            <w:r w:rsidRPr="001B477C">
              <w:rPr>
                <w:rFonts w:eastAsia="Calibri"/>
                <w:sz w:val="20"/>
                <w:szCs w:val="20"/>
              </w:rPr>
              <w:t xml:space="preserve">                                                                          </w:t>
            </w: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 xml:space="preserve"> ALP, PTH, 25(OH) vitamin D                                                                                                                                                                                                            </w:t>
            </w: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 xml:space="preserve">Lipid profile   (LDL- and HDL-cholesterol, triglycerides) </w:t>
            </w: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 xml:space="preserve">                                                                                                         </w:t>
            </w: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>Baseline coagulation tests (</w:t>
            </w:r>
            <w:proofErr w:type="spellStart"/>
            <w:r w:rsidRPr="001B477C">
              <w:rPr>
                <w:rFonts w:eastAsia="Calibri"/>
                <w:sz w:val="20"/>
                <w:szCs w:val="20"/>
              </w:rPr>
              <w:t>prothrombine</w:t>
            </w:r>
            <w:proofErr w:type="spellEnd"/>
            <w:r w:rsidRPr="001B477C">
              <w:rPr>
                <w:rFonts w:eastAsia="Calibri"/>
                <w:sz w:val="20"/>
                <w:szCs w:val="20"/>
              </w:rPr>
              <w:t xml:space="preserve"> time (INR),</w:t>
            </w: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1B477C">
              <w:rPr>
                <w:rFonts w:eastAsia="Calibri"/>
                <w:sz w:val="20"/>
                <w:szCs w:val="20"/>
              </w:rPr>
              <w:t>aPTT</w:t>
            </w:r>
            <w:proofErr w:type="spellEnd"/>
            <w:r w:rsidRPr="001B477C">
              <w:rPr>
                <w:rFonts w:eastAsia="Calibri"/>
                <w:sz w:val="20"/>
                <w:szCs w:val="20"/>
              </w:rPr>
              <w:t xml:space="preserve">, fibrinogen, ATIII), detailed </w:t>
            </w:r>
            <w:proofErr w:type="spellStart"/>
            <w:r w:rsidRPr="001B477C">
              <w:rPr>
                <w:rFonts w:eastAsia="Calibri"/>
                <w:sz w:val="20"/>
                <w:szCs w:val="20"/>
              </w:rPr>
              <w:t>thrombophilic</w:t>
            </w:r>
            <w:proofErr w:type="spellEnd"/>
            <w:r w:rsidRPr="001B477C">
              <w:rPr>
                <w:rFonts w:eastAsia="Calibri"/>
                <w:sz w:val="20"/>
                <w:szCs w:val="20"/>
              </w:rPr>
              <w:t xml:space="preserve"> screening in patients with reported previous thrombotic events, central venous lines, persistent </w:t>
            </w:r>
            <w:proofErr w:type="spellStart"/>
            <w:r w:rsidRPr="001B477C">
              <w:rPr>
                <w:rFonts w:eastAsia="Calibri"/>
                <w:sz w:val="20"/>
                <w:szCs w:val="20"/>
              </w:rPr>
              <w:t>nephrotic</w:t>
            </w:r>
            <w:proofErr w:type="spellEnd"/>
            <w:r w:rsidRPr="001B477C">
              <w:rPr>
                <w:rFonts w:eastAsia="Calibri"/>
                <w:sz w:val="20"/>
                <w:szCs w:val="20"/>
              </w:rPr>
              <w:t xml:space="preserve"> range proteinuria and/or increased familial history for thrombotic events.</w:t>
            </w: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 xml:space="preserve">Thyroid function (T3, FT4, TSH)                                               </w:t>
            </w: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 xml:space="preserve"> Immunoglobulin G              </w:t>
            </w: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 xml:space="preserve">                                                      </w:t>
            </w: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 xml:space="preserve"> </w:t>
            </w: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 xml:space="preserve">Glucose/fasting glucose                                                           </w:t>
            </w: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 xml:space="preserve"> HbA1c                                                                                             </w:t>
            </w: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 xml:space="preserve"> C3, antinuclear antibodies</w:t>
            </w: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 xml:space="preserve"> ds-DNA, ENA, ANCA                                                               </w:t>
            </w: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>HBs-Ag, anti-HCV-</w:t>
            </w:r>
            <w:proofErr w:type="spellStart"/>
            <w:r w:rsidRPr="001B477C">
              <w:rPr>
                <w:rFonts w:eastAsia="Calibri"/>
                <w:sz w:val="20"/>
                <w:szCs w:val="20"/>
              </w:rPr>
              <w:t>IgG</w:t>
            </w:r>
            <w:proofErr w:type="spellEnd"/>
            <w:r w:rsidRPr="001B477C">
              <w:rPr>
                <w:rFonts w:eastAsia="Calibri"/>
                <w:sz w:val="20"/>
                <w:szCs w:val="20"/>
              </w:rPr>
              <w:t>, syphilis, and HIV tests                       Vaccination status including blood titer tests</w:t>
            </w:r>
            <w:r w:rsidRPr="001B477C">
              <w:rPr>
                <w:rFonts w:ascii="Calibri" w:eastAsia="Calibri" w:hAnsi="Calibri" w:cs="Arial"/>
              </w:rPr>
              <w:t xml:space="preserve">         </w:t>
            </w:r>
            <w:r w:rsidRPr="001B477C">
              <w:rPr>
                <w:rFonts w:ascii="Segoe UI Symbol" w:eastAsia="Calibri" w:hAnsi="Segoe UI Symbol" w:cs="Segoe UI Symbol"/>
              </w:rPr>
              <w:t xml:space="preserve">               </w:t>
            </w:r>
            <w:r w:rsidRPr="001B477C">
              <w:rPr>
                <w:rFonts w:ascii="Calibri" w:eastAsia="Calibri" w:hAnsi="Calibri" w:cs="Arial"/>
              </w:rPr>
              <w:t xml:space="preserve"> </w:t>
            </w:r>
            <w:r w:rsidRPr="001B477C">
              <w:rPr>
                <w:rFonts w:eastAsia="Calibri"/>
                <w:sz w:val="20"/>
                <w:szCs w:val="20"/>
              </w:rPr>
              <w:t xml:space="preserve">                       </w:t>
            </w:r>
          </w:p>
        </w:tc>
        <w:tc>
          <w:tcPr>
            <w:tcW w:w="1507" w:type="dxa"/>
            <w:shd w:val="clear" w:color="auto" w:fill="FFFFFF"/>
          </w:tcPr>
          <w:p w:rsidR="001B477C" w:rsidRPr="001B477C" w:rsidRDefault="001B477C" w:rsidP="001B477C">
            <w:pPr>
              <w:bidi w:val="0"/>
              <w:spacing w:after="160" w:line="25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ascii="Segoe UI Symbol" w:eastAsia="Calibri" w:hAnsi="Segoe UI Symbol" w:cs="Segoe UI Symbol"/>
                <w:b/>
                <w:bCs/>
                <w:sz w:val="20"/>
                <w:szCs w:val="20"/>
              </w:rPr>
              <w:lastRenderedPageBreak/>
              <w:t>✓</w:t>
            </w:r>
          </w:p>
          <w:p w:rsidR="001B477C" w:rsidRPr="001B477C" w:rsidRDefault="001B477C" w:rsidP="001B477C">
            <w:pPr>
              <w:bidi w:val="0"/>
              <w:spacing w:after="160" w:line="25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ascii="Segoe UI Symbol" w:eastAsia="Calibri" w:hAnsi="Segoe UI Symbol" w:cs="Segoe UI Symbol"/>
                <w:b/>
                <w:bCs/>
                <w:sz w:val="20"/>
                <w:szCs w:val="20"/>
              </w:rPr>
              <w:t>✓</w:t>
            </w: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t>Conditional</w:t>
            </w: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ascii="Segoe UI Symbol" w:eastAsia="Calibri" w:hAnsi="Segoe UI Symbol" w:cs="Segoe UI Symbol"/>
                <w:b/>
                <w:bCs/>
                <w:sz w:val="20"/>
                <w:szCs w:val="20"/>
              </w:rPr>
              <w:t>✓</w:t>
            </w: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ascii="Segoe UI Symbol" w:eastAsia="Calibri" w:hAnsi="Segoe UI Symbol" w:cs="Segoe UI Symbol"/>
                <w:b/>
                <w:bCs/>
                <w:sz w:val="20"/>
                <w:szCs w:val="20"/>
              </w:rPr>
              <w:t>✓</w:t>
            </w: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ascii="Segoe UI Symbol" w:eastAsia="Calibri" w:hAnsi="Segoe UI Symbol" w:cs="Segoe UI Symbol"/>
                <w:b/>
                <w:bCs/>
                <w:sz w:val="20"/>
                <w:szCs w:val="20"/>
              </w:rPr>
              <w:t>✓</w:t>
            </w: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ascii="Segoe UI Symbol" w:eastAsia="Calibri" w:hAnsi="Segoe UI Symbol" w:cs="Segoe UI Symbol"/>
                <w:b/>
                <w:bCs/>
                <w:sz w:val="20"/>
                <w:szCs w:val="20"/>
              </w:rPr>
              <w:t>✓</w:t>
            </w:r>
          </w:p>
          <w:p w:rsidR="001B477C" w:rsidRPr="001B477C" w:rsidRDefault="001B477C" w:rsidP="001B477C">
            <w:pPr>
              <w:bidi w:val="0"/>
              <w:spacing w:after="160" w:line="25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</w:p>
          <w:p w:rsidR="001B477C" w:rsidRPr="001B477C" w:rsidRDefault="001B477C" w:rsidP="001B477C">
            <w:pPr>
              <w:bidi w:val="0"/>
              <w:spacing w:after="160" w:line="25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ascii="Segoe UI Symbol" w:eastAsia="Calibri" w:hAnsi="Segoe UI Symbol" w:cs="Segoe UI Symbol"/>
                <w:b/>
                <w:bCs/>
                <w:sz w:val="20"/>
                <w:szCs w:val="20"/>
              </w:rPr>
              <w:t>✓</w:t>
            </w: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ascii="Segoe UI Symbol" w:eastAsia="Calibri" w:hAnsi="Segoe UI Symbol" w:cs="Segoe UI Symbol"/>
                <w:b/>
                <w:bCs/>
                <w:sz w:val="20"/>
                <w:szCs w:val="20"/>
              </w:rPr>
              <w:t>✓</w:t>
            </w: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ascii="Segoe UI Symbol" w:eastAsia="Calibri" w:hAnsi="Segoe UI Symbol" w:cs="Segoe UI Symbol"/>
                <w:b/>
                <w:bCs/>
                <w:sz w:val="20"/>
                <w:szCs w:val="20"/>
              </w:rPr>
              <w:t>✓</w:t>
            </w:r>
          </w:p>
          <w:p w:rsidR="001B477C" w:rsidRPr="001B477C" w:rsidRDefault="001B477C" w:rsidP="001B477C">
            <w:pPr>
              <w:bidi w:val="0"/>
              <w:spacing w:after="160" w:line="25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ascii="Segoe UI Symbol" w:eastAsia="Calibri" w:hAnsi="Segoe UI Symbol" w:cs="Segoe UI Symbol"/>
                <w:b/>
                <w:bCs/>
                <w:sz w:val="20"/>
                <w:szCs w:val="20"/>
              </w:rPr>
              <w:t>✓</w:t>
            </w:r>
          </w:p>
          <w:p w:rsidR="001B477C" w:rsidRPr="001B477C" w:rsidRDefault="001B477C" w:rsidP="001B477C">
            <w:pPr>
              <w:bidi w:val="0"/>
              <w:spacing w:after="160" w:line="25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Calibri" w:hAnsi="Segoe UI Symbol" w:cs="Segoe UI Symbol"/>
                <w:b/>
                <w:bCs/>
                <w:sz w:val="20"/>
                <w:szCs w:val="20"/>
              </w:rPr>
            </w:pP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ascii="Segoe UI Symbol" w:eastAsia="Calibri" w:hAnsi="Segoe UI Symbol" w:cs="Segoe UI Symbol"/>
                <w:b/>
                <w:bCs/>
                <w:sz w:val="20"/>
                <w:szCs w:val="20"/>
              </w:rPr>
              <w:t>✓</w:t>
            </w: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Calibri" w:hAnsi="Segoe UI Symbol" w:cs="Segoe UI Symbol"/>
                <w:b/>
                <w:bCs/>
                <w:sz w:val="20"/>
                <w:szCs w:val="20"/>
              </w:rPr>
            </w:pP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Calibri" w:hAnsi="Segoe UI Symbol" w:cs="Segoe UI Symbol"/>
                <w:b/>
                <w:bCs/>
                <w:sz w:val="20"/>
                <w:szCs w:val="20"/>
              </w:rPr>
            </w:pP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ascii="Segoe UI Symbol" w:eastAsia="Calibri" w:hAnsi="Segoe UI Symbol" w:cs="Segoe UI Symbol"/>
                <w:b/>
                <w:bCs/>
                <w:sz w:val="20"/>
                <w:szCs w:val="20"/>
              </w:rPr>
              <w:t>✓</w:t>
            </w: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ascii="Segoe UI Symbol" w:eastAsia="Calibri" w:hAnsi="Segoe UI Symbol" w:cs="Segoe UI Symbol"/>
                <w:b/>
                <w:bCs/>
                <w:sz w:val="20"/>
                <w:szCs w:val="20"/>
              </w:rPr>
              <w:t>✓</w:t>
            </w: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</w:rPr>
            </w:pP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</w:rPr>
            </w:pP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</w:rPr>
            </w:pP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</w:rPr>
            </w:pP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</w:rPr>
            </w:pP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t>Conditional</w:t>
            </w:r>
          </w:p>
        </w:tc>
        <w:tc>
          <w:tcPr>
            <w:tcW w:w="2561" w:type="dxa"/>
            <w:shd w:val="clear" w:color="auto" w:fill="FFFFFF"/>
          </w:tcPr>
          <w:p w:rsidR="001B477C" w:rsidRPr="001B477C" w:rsidRDefault="001B477C" w:rsidP="001B477C">
            <w:pPr>
              <w:bidi w:val="0"/>
              <w:spacing w:after="160" w:line="25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lastRenderedPageBreak/>
              <w:t>Essential Every 3 months (more frequently until remission)</w:t>
            </w:r>
          </w:p>
          <w:p w:rsidR="001B477C" w:rsidRPr="001B477C" w:rsidRDefault="001B477C" w:rsidP="001B477C">
            <w:pPr>
              <w:bidi w:val="0"/>
              <w:spacing w:after="160" w:line="25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t>Every 6–12</w:t>
            </w:r>
          </w:p>
          <w:p w:rsidR="001B477C" w:rsidRPr="001B477C" w:rsidRDefault="001B477C" w:rsidP="001B477C">
            <w:pPr>
              <w:bidi w:val="0"/>
              <w:spacing w:after="160" w:line="25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</w:p>
          <w:p w:rsidR="001B477C" w:rsidRPr="001B477C" w:rsidRDefault="001B477C" w:rsidP="001B477C">
            <w:pPr>
              <w:bidi w:val="0"/>
              <w:spacing w:after="160" w:line="25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</w:p>
          <w:p w:rsidR="001B477C" w:rsidRPr="001B477C" w:rsidRDefault="001B477C" w:rsidP="001B477C">
            <w:pPr>
              <w:bidi w:val="0"/>
              <w:ind w:left="5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t xml:space="preserve">Essential </w:t>
            </w:r>
          </w:p>
          <w:p w:rsidR="001B477C" w:rsidRPr="001B477C" w:rsidRDefault="001B477C" w:rsidP="001B477C">
            <w:pPr>
              <w:bidi w:val="0"/>
              <w:ind w:left="5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lastRenderedPageBreak/>
              <w:t>Every 3 months (more frequently until remission)</w:t>
            </w:r>
          </w:p>
          <w:p w:rsidR="001B477C" w:rsidRPr="001B477C" w:rsidRDefault="001B477C" w:rsidP="001B477C">
            <w:pPr>
              <w:bidi w:val="0"/>
              <w:ind w:left="5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t>and in CKD stage 4–5)</w:t>
            </w:r>
          </w:p>
          <w:p w:rsidR="001B477C" w:rsidRPr="001B477C" w:rsidRDefault="001B477C" w:rsidP="001B477C">
            <w:pPr>
              <w:bidi w:val="0"/>
              <w:ind w:left="5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t xml:space="preserve"> Every day or every other day when using high dose diuretics                                                                                                        </w:t>
            </w: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</w:t>
            </w: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t>As required (clinical decision)</w:t>
            </w: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t>Every 3 months (more frequently in CKD stage 4).</w:t>
            </w:r>
          </w:p>
          <w:p w:rsidR="001B477C" w:rsidRPr="001B477C" w:rsidRDefault="001B477C" w:rsidP="001B477C">
            <w:pPr>
              <w:bidi w:val="0"/>
              <w:ind w:left="72" w:hanging="1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t xml:space="preserve"> Every 12 months (more   frequently in  patients with CKD stages(  3-  5)  </w:t>
            </w:r>
          </w:p>
          <w:p w:rsidR="001B477C" w:rsidRPr="001B477C" w:rsidRDefault="001B477C" w:rsidP="001B477C">
            <w:pPr>
              <w:bidi w:val="0"/>
              <w:ind w:left="162" w:hanging="2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t xml:space="preserve"> Every 12 months or as appropriate</w:t>
            </w: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t xml:space="preserve"> At diagnosis and then as   appropriate, e.g., in case of relapses.</w:t>
            </w: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   Every 12 months or as appropriate especially in    patients with prolonged proteinuria. </w:t>
            </w: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t>In case of recurrent infections</w:t>
            </w: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t xml:space="preserve">Every 6 months or as </w:t>
            </w:r>
            <w:proofErr w:type="spellStart"/>
            <w:r w:rsidRPr="001B477C">
              <w:rPr>
                <w:rFonts w:eastAsia="Calibri"/>
                <w:b/>
                <w:bCs/>
                <w:sz w:val="20"/>
                <w:szCs w:val="20"/>
              </w:rPr>
              <w:t>appro</w:t>
            </w:r>
            <w:proofErr w:type="spellEnd"/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t xml:space="preserve">Every 12 months or as </w:t>
            </w:r>
            <w:proofErr w:type="spellStart"/>
            <w:r w:rsidRPr="001B477C">
              <w:rPr>
                <w:rFonts w:eastAsia="Calibri"/>
                <w:b/>
                <w:bCs/>
                <w:sz w:val="20"/>
                <w:szCs w:val="20"/>
              </w:rPr>
              <w:t>appro</w:t>
            </w:r>
            <w:proofErr w:type="spellEnd"/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t xml:space="preserve">As appropriate </w:t>
            </w: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t xml:space="preserve">As appropriate                                                                                                       </w:t>
            </w: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t>Before prednisolone &amp; as app</w:t>
            </w: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t xml:space="preserve">Yearly or as appropriate                                                                                       </w:t>
            </w:r>
          </w:p>
        </w:tc>
      </w:tr>
      <w:tr w:rsidR="001B477C" w:rsidRPr="001B477C" w:rsidTr="001B47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  <w:shd w:val="clear" w:color="auto" w:fill="B8CCE4"/>
          </w:tcPr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lastRenderedPageBreak/>
              <w:t>Genetics</w:t>
            </w:r>
          </w:p>
        </w:tc>
        <w:tc>
          <w:tcPr>
            <w:tcW w:w="1507" w:type="dxa"/>
            <w:shd w:val="clear" w:color="auto" w:fill="B8CCE4"/>
          </w:tcPr>
          <w:p w:rsidR="001B477C" w:rsidRPr="001B477C" w:rsidRDefault="001B477C" w:rsidP="001B477C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bCs/>
              </w:rPr>
            </w:pPr>
          </w:p>
        </w:tc>
        <w:tc>
          <w:tcPr>
            <w:tcW w:w="2561" w:type="dxa"/>
            <w:shd w:val="clear" w:color="auto" w:fill="B8CCE4"/>
          </w:tcPr>
          <w:p w:rsidR="001B477C" w:rsidRPr="001B477C" w:rsidRDefault="001B477C" w:rsidP="001B477C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bCs/>
              </w:rPr>
            </w:pPr>
          </w:p>
        </w:tc>
      </w:tr>
      <w:tr w:rsidR="001B477C" w:rsidRPr="001B477C" w:rsidTr="001B477C">
        <w:trPr>
          <w:trHeight w:val="1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  <w:shd w:val="clear" w:color="auto" w:fill="FFFFFF"/>
          </w:tcPr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 xml:space="preserve"> Next-generation sequencing (NGS)/Whole </w:t>
            </w:r>
            <w:proofErr w:type="spellStart"/>
            <w:r w:rsidRPr="001B477C">
              <w:rPr>
                <w:rFonts w:eastAsia="Calibri"/>
                <w:sz w:val="20"/>
                <w:szCs w:val="20"/>
              </w:rPr>
              <w:t>Exome</w:t>
            </w:r>
            <w:proofErr w:type="spellEnd"/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 xml:space="preserve"> Sequencing (WES)                                                           </w:t>
            </w:r>
          </w:p>
        </w:tc>
        <w:tc>
          <w:tcPr>
            <w:tcW w:w="1507" w:type="dxa"/>
            <w:shd w:val="clear" w:color="auto" w:fill="FFFFFF"/>
          </w:tcPr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ascii="Segoe UI Symbol" w:eastAsia="Calibri" w:hAnsi="Segoe UI Symbol" w:cs="Segoe UI Symbol"/>
                <w:b/>
                <w:bCs/>
                <w:sz w:val="20"/>
                <w:szCs w:val="20"/>
              </w:rPr>
              <w:t>✓</w:t>
            </w:r>
          </w:p>
        </w:tc>
        <w:tc>
          <w:tcPr>
            <w:tcW w:w="2561" w:type="dxa"/>
            <w:shd w:val="clear" w:color="auto" w:fill="FFFFFF"/>
          </w:tcPr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t xml:space="preserve"> Extended screening   for patients with SRNS depending on new findings (Table 3); </w:t>
            </w: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proofErr w:type="gramStart"/>
            <w:r w:rsidRPr="001B477C">
              <w:rPr>
                <w:rFonts w:eastAsia="Calibri"/>
                <w:b/>
                <w:bCs/>
                <w:sz w:val="20"/>
                <w:szCs w:val="20"/>
              </w:rPr>
              <w:t>whole</w:t>
            </w:r>
            <w:proofErr w:type="gramEnd"/>
            <w:r w:rsidRPr="001B477C">
              <w:rPr>
                <w:rFonts w:eastAsia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B477C">
              <w:rPr>
                <w:rFonts w:eastAsia="Calibri"/>
                <w:b/>
                <w:bCs/>
                <w:sz w:val="20"/>
                <w:szCs w:val="20"/>
              </w:rPr>
              <w:t>exome</w:t>
            </w:r>
            <w:proofErr w:type="spellEnd"/>
            <w:r w:rsidRPr="001B477C">
              <w:rPr>
                <w:rFonts w:eastAsia="Calibri"/>
                <w:b/>
                <w:bCs/>
                <w:sz w:val="20"/>
                <w:szCs w:val="20"/>
              </w:rPr>
              <w:t xml:space="preserve"> sequencing if indicated    transplantation, if not previously performed. </w:t>
            </w:r>
          </w:p>
        </w:tc>
      </w:tr>
      <w:tr w:rsidR="001B477C" w:rsidRPr="001B477C" w:rsidTr="001B47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  <w:shd w:val="clear" w:color="auto" w:fill="B8CCE4"/>
          </w:tcPr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>Drug-specific monitoring</w:t>
            </w: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07" w:type="dxa"/>
            <w:shd w:val="clear" w:color="auto" w:fill="B8CCE4"/>
          </w:tcPr>
          <w:p w:rsidR="001B477C" w:rsidRPr="001B477C" w:rsidRDefault="001B477C" w:rsidP="001B477C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2561" w:type="dxa"/>
            <w:shd w:val="clear" w:color="auto" w:fill="B8CCE4"/>
          </w:tcPr>
          <w:p w:rsidR="001B477C" w:rsidRPr="001B477C" w:rsidRDefault="001B477C" w:rsidP="001B477C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</w:tr>
      <w:tr w:rsidR="001B477C" w:rsidRPr="001B477C" w:rsidTr="001B477C">
        <w:trPr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  <w:shd w:val="clear" w:color="auto" w:fill="auto"/>
          </w:tcPr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proofErr w:type="spellStart"/>
            <w:r w:rsidRPr="001B477C">
              <w:rPr>
                <w:rFonts w:eastAsia="Calibri"/>
                <w:sz w:val="20"/>
                <w:szCs w:val="20"/>
              </w:rPr>
              <w:t>CsA</w:t>
            </w:r>
            <w:proofErr w:type="spellEnd"/>
            <w:r w:rsidRPr="001B477C">
              <w:rPr>
                <w:rFonts w:eastAsia="Calibri"/>
                <w:sz w:val="20"/>
                <w:szCs w:val="20"/>
              </w:rPr>
              <w:t xml:space="preserve">: and </w:t>
            </w:r>
            <w:proofErr w:type="spellStart"/>
            <w:r w:rsidRPr="001B477C">
              <w:rPr>
                <w:rFonts w:eastAsia="Calibri"/>
                <w:sz w:val="20"/>
                <w:szCs w:val="20"/>
              </w:rPr>
              <w:t>Tacrolimus</w:t>
            </w:r>
            <w:proofErr w:type="spellEnd"/>
            <w:r w:rsidRPr="001B477C">
              <w:rPr>
                <w:rFonts w:eastAsia="Calibri"/>
                <w:sz w:val="20"/>
                <w:szCs w:val="20"/>
              </w:rPr>
              <w:t xml:space="preserve">: Drug trough levels </w:t>
            </w:r>
          </w:p>
          <w:p w:rsidR="001B477C" w:rsidRPr="001B477C" w:rsidRDefault="001B477C" w:rsidP="001B477C">
            <w:pPr>
              <w:jc w:val="right"/>
              <w:rPr>
                <w:rFonts w:eastAsia="Calibri"/>
                <w:sz w:val="20"/>
                <w:szCs w:val="20"/>
              </w:rPr>
            </w:pP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07" w:type="dxa"/>
            <w:shd w:val="clear" w:color="auto" w:fill="auto"/>
          </w:tcPr>
          <w:p w:rsidR="001B477C" w:rsidRPr="001B477C" w:rsidRDefault="001B477C" w:rsidP="001B477C">
            <w:pPr>
              <w:bidi w:val="0"/>
              <w:ind w:left="-18" w:right="-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t>Weekly during titration    (for 4 weeks)</w:t>
            </w:r>
          </w:p>
        </w:tc>
        <w:tc>
          <w:tcPr>
            <w:tcW w:w="2561" w:type="dxa"/>
            <w:shd w:val="clear" w:color="auto" w:fill="auto"/>
          </w:tcPr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t xml:space="preserve">Thereafter every 3 months or as appropriate </w:t>
            </w: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</w:tr>
      <w:tr w:rsidR="001B477C" w:rsidRPr="001B477C" w:rsidTr="001B47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  <w:shd w:val="clear" w:color="auto" w:fill="FFFFFF"/>
          </w:tcPr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lastRenderedPageBreak/>
              <w:t xml:space="preserve">MMF: </w:t>
            </w:r>
            <w:proofErr w:type="spellStart"/>
            <w:r w:rsidRPr="001B477C">
              <w:rPr>
                <w:rFonts w:eastAsia="Calibri"/>
                <w:sz w:val="20"/>
                <w:szCs w:val="20"/>
              </w:rPr>
              <w:t>mycophenolic</w:t>
            </w:r>
            <w:proofErr w:type="spellEnd"/>
            <w:r w:rsidRPr="001B477C">
              <w:rPr>
                <w:rFonts w:eastAsia="Calibri"/>
                <w:sz w:val="20"/>
                <w:szCs w:val="20"/>
              </w:rPr>
              <w:t xml:space="preserve"> acid kinetic (2 h) c </w:t>
            </w: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 xml:space="preserve"> </w:t>
            </w: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>Rituximab – CD19 B cell count: baseline</w:t>
            </w: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>Statins: creatinine kinase (CK) – If on statins, every 6 months</w:t>
            </w: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 xml:space="preserve"> Prolonged glucocorticoid therapy Conditional  </w:t>
            </w: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>Ophthalmological examination for cataract</w:t>
            </w: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 xml:space="preserve">  and   intraocular pressure </w:t>
            </w: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>Bone mineral density by lumbar DEXA</w:t>
            </w:r>
          </w:p>
        </w:tc>
        <w:tc>
          <w:tcPr>
            <w:tcW w:w="1507" w:type="dxa"/>
            <w:shd w:val="clear" w:color="auto" w:fill="FFFFFF"/>
          </w:tcPr>
          <w:p w:rsidR="001B477C" w:rsidRPr="001B477C" w:rsidRDefault="001B477C" w:rsidP="001B477C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t>AUC after 4 weeks of treatment.</w:t>
            </w:r>
          </w:p>
          <w:p w:rsidR="001B477C" w:rsidRPr="001B477C" w:rsidRDefault="001B477C" w:rsidP="001B477C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</w:p>
          <w:p w:rsidR="001B477C" w:rsidRPr="001B477C" w:rsidRDefault="001B477C" w:rsidP="001B477C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t xml:space="preserve">1 month after the first dose (nadir) </w:t>
            </w:r>
          </w:p>
          <w:p w:rsidR="001B477C" w:rsidRPr="001B477C" w:rsidRDefault="001B477C" w:rsidP="001B477C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t>every 6 months</w:t>
            </w:r>
          </w:p>
          <w:p w:rsidR="001B477C" w:rsidRPr="001B477C" w:rsidRDefault="001B477C" w:rsidP="001B477C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t>Conditional</w:t>
            </w:r>
          </w:p>
        </w:tc>
        <w:tc>
          <w:tcPr>
            <w:tcW w:w="2561" w:type="dxa"/>
            <w:shd w:val="clear" w:color="auto" w:fill="FFFFFF"/>
          </w:tcPr>
          <w:p w:rsidR="001B477C" w:rsidRPr="001B477C" w:rsidRDefault="001B477C" w:rsidP="001B477C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t>Thereafter every 6–12 months or as appropriate.</w:t>
            </w:r>
          </w:p>
          <w:p w:rsidR="001B477C" w:rsidRPr="001B477C" w:rsidRDefault="001B477C" w:rsidP="001B477C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</w:p>
          <w:p w:rsidR="001B477C" w:rsidRPr="001B477C" w:rsidRDefault="001B477C" w:rsidP="001B477C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t>Every 1–3 months until B cell recovery</w:t>
            </w:r>
          </w:p>
          <w:p w:rsidR="001B477C" w:rsidRPr="001B477C" w:rsidRDefault="001B477C" w:rsidP="001B477C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</w:p>
          <w:p w:rsidR="001B477C" w:rsidRPr="001B477C" w:rsidRDefault="001B477C" w:rsidP="001B477C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t>every 6 months</w:t>
            </w:r>
          </w:p>
          <w:p w:rsidR="001B477C" w:rsidRPr="001B477C" w:rsidRDefault="001B477C" w:rsidP="001B477C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</w:p>
          <w:p w:rsidR="001B477C" w:rsidRPr="001B477C" w:rsidRDefault="001B477C" w:rsidP="001B477C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t>Conditional</w:t>
            </w:r>
          </w:p>
        </w:tc>
      </w:tr>
      <w:tr w:rsidR="001B477C" w:rsidRPr="001B477C" w:rsidTr="001B477C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  <w:shd w:val="clear" w:color="auto" w:fill="B8CCE4"/>
          </w:tcPr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>Imaging</w:t>
            </w:r>
          </w:p>
        </w:tc>
        <w:tc>
          <w:tcPr>
            <w:tcW w:w="1507" w:type="dxa"/>
            <w:shd w:val="clear" w:color="auto" w:fill="B8CCE4"/>
          </w:tcPr>
          <w:p w:rsidR="001B477C" w:rsidRPr="001B477C" w:rsidRDefault="001B477C" w:rsidP="001B477C">
            <w:pPr>
              <w:bidi w:val="0"/>
              <w:ind w:left="-18" w:right="-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2561" w:type="dxa"/>
            <w:shd w:val="clear" w:color="auto" w:fill="B8CCE4"/>
          </w:tcPr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</w:tr>
      <w:tr w:rsidR="001B477C" w:rsidRPr="001B477C" w:rsidTr="001B47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  <w:shd w:val="clear" w:color="auto" w:fill="auto"/>
          </w:tcPr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 xml:space="preserve">Renal ultrasound: renal echogenicity and size of kidneys </w:t>
            </w: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</w:p>
          <w:p w:rsidR="001B477C" w:rsidRPr="001B477C" w:rsidRDefault="001B477C" w:rsidP="001B477C">
            <w:pPr>
              <w:jc w:val="righ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07" w:type="dxa"/>
            <w:shd w:val="clear" w:color="auto" w:fill="auto"/>
          </w:tcPr>
          <w:p w:rsidR="001B477C" w:rsidRPr="001B477C" w:rsidRDefault="001B477C" w:rsidP="001B477C">
            <w:pPr>
              <w:bidi w:val="0"/>
              <w:ind w:left="-18" w:right="-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Calibri" w:hAnsi="Segoe UI Symbol" w:cs="Segoe UI Symbol"/>
                <w:sz w:val="20"/>
                <w:szCs w:val="20"/>
              </w:rPr>
            </w:pPr>
            <w:r w:rsidRPr="001B477C">
              <w:rPr>
                <w:rFonts w:ascii="Segoe UI Symbol" w:eastAsia="Calibri" w:hAnsi="Segoe UI Symbol" w:cs="Segoe UI Symbol"/>
                <w:sz w:val="20"/>
                <w:szCs w:val="20"/>
              </w:rPr>
              <w:t>✓</w:t>
            </w:r>
          </w:p>
          <w:p w:rsidR="001B477C" w:rsidRPr="001B477C" w:rsidRDefault="001B477C" w:rsidP="001B477C">
            <w:pPr>
              <w:ind w:left="-18" w:right="-18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2561" w:type="dxa"/>
            <w:shd w:val="clear" w:color="auto" w:fill="auto"/>
          </w:tcPr>
          <w:p w:rsidR="001B477C" w:rsidRPr="001B477C" w:rsidRDefault="001B477C" w:rsidP="001B477C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t xml:space="preserve">At presentation (mandatory </w:t>
            </w:r>
            <w:proofErr w:type="spellStart"/>
            <w:r w:rsidRPr="001B477C">
              <w:rPr>
                <w:rFonts w:eastAsia="Calibri"/>
                <w:b/>
                <w:bCs/>
                <w:sz w:val="20"/>
                <w:szCs w:val="20"/>
              </w:rPr>
              <w:t>prerenal</w:t>
            </w:r>
            <w:proofErr w:type="spellEnd"/>
            <w:r w:rsidRPr="001B477C">
              <w:rPr>
                <w:rFonts w:eastAsia="Calibri"/>
                <w:b/>
                <w:bCs/>
                <w:sz w:val="20"/>
                <w:szCs w:val="20"/>
              </w:rPr>
              <w:t xml:space="preserve">   biopsy) </w:t>
            </w:r>
          </w:p>
          <w:p w:rsidR="001B477C" w:rsidRPr="001B477C" w:rsidRDefault="001B477C" w:rsidP="001B477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</w:tr>
      <w:tr w:rsidR="001B477C" w:rsidRPr="001B477C" w:rsidTr="001B477C">
        <w:trPr>
          <w:trHeight w:val="2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  <w:shd w:val="clear" w:color="auto" w:fill="FFFFFF"/>
          </w:tcPr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 xml:space="preserve">Ultrasound of abdomen &amp; pleural space (ascites, effusions, thrombosis)     </w:t>
            </w: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 xml:space="preserve"> </w:t>
            </w: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 xml:space="preserve">Cardiac ultrasound (left ventricular mass, effusions) </w:t>
            </w: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 xml:space="preserve">Chest X-ray                                                                                                                       </w:t>
            </w: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</w:t>
            </w: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 xml:space="preserve"> X-ray of the left wrist (bone age assessment</w:t>
            </w: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 xml:space="preserve">       in children aged &gt; 5 years, mineralization)                     </w:t>
            </w:r>
          </w:p>
        </w:tc>
        <w:tc>
          <w:tcPr>
            <w:tcW w:w="1507" w:type="dxa"/>
            <w:shd w:val="clear" w:color="auto" w:fill="FFFFFF"/>
          </w:tcPr>
          <w:p w:rsidR="001B477C" w:rsidRPr="001B477C" w:rsidRDefault="001B477C" w:rsidP="001B477C">
            <w:pPr>
              <w:bidi w:val="0"/>
              <w:ind w:right="-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Calibri" w:hAnsi="Segoe UI Symbol" w:cs="Segoe UI Symbol"/>
                <w:sz w:val="20"/>
                <w:szCs w:val="20"/>
              </w:rPr>
            </w:pPr>
            <w:r w:rsidRPr="001B477C">
              <w:rPr>
                <w:rFonts w:ascii="Segoe UI Symbol" w:eastAsia="Calibri" w:hAnsi="Segoe UI Symbol" w:cs="Segoe UI Symbol"/>
                <w:sz w:val="20"/>
                <w:szCs w:val="20"/>
              </w:rPr>
              <w:t>✓</w:t>
            </w:r>
          </w:p>
          <w:p w:rsidR="001B477C" w:rsidRPr="001B477C" w:rsidRDefault="001B477C" w:rsidP="001B477C">
            <w:pPr>
              <w:bidi w:val="0"/>
              <w:ind w:left="-18" w:right="-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Calibri" w:hAnsi="Segoe UI Symbol" w:cs="Segoe UI Symbol"/>
                <w:sz w:val="20"/>
                <w:szCs w:val="20"/>
              </w:rPr>
            </w:pPr>
          </w:p>
          <w:p w:rsidR="001B477C" w:rsidRPr="001B477C" w:rsidRDefault="001B477C" w:rsidP="001B477C">
            <w:pPr>
              <w:bidi w:val="0"/>
              <w:ind w:left="-18" w:right="-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Calibri" w:hAnsi="Segoe UI Symbol" w:cs="Segoe UI Symbol"/>
                <w:sz w:val="20"/>
                <w:szCs w:val="20"/>
              </w:rPr>
            </w:pPr>
          </w:p>
          <w:p w:rsidR="001B477C" w:rsidRPr="001B477C" w:rsidRDefault="001B477C" w:rsidP="001B477C">
            <w:pPr>
              <w:bidi w:val="0"/>
              <w:ind w:left="-18" w:right="-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Calibri" w:hAnsi="Segoe UI Symbol" w:cs="Segoe UI Symbol"/>
                <w:sz w:val="20"/>
                <w:szCs w:val="20"/>
              </w:rPr>
            </w:pPr>
            <w:r w:rsidRPr="001B477C">
              <w:rPr>
                <w:rFonts w:ascii="Segoe UI Symbol" w:eastAsia="Calibri" w:hAnsi="Segoe UI Symbol" w:cs="Segoe UI Symbol"/>
                <w:sz w:val="20"/>
                <w:szCs w:val="20"/>
              </w:rPr>
              <w:t>✓</w:t>
            </w:r>
          </w:p>
          <w:p w:rsidR="001B477C" w:rsidRPr="001B477C" w:rsidRDefault="001B477C" w:rsidP="001B477C">
            <w:pPr>
              <w:bidi w:val="0"/>
              <w:ind w:left="-18" w:right="-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Calibri" w:hAnsi="Segoe UI Symbol" w:cs="Segoe UI Symbol"/>
                <w:sz w:val="20"/>
                <w:szCs w:val="20"/>
              </w:rPr>
            </w:pPr>
          </w:p>
          <w:p w:rsidR="001B477C" w:rsidRPr="001B477C" w:rsidRDefault="001B477C" w:rsidP="001B477C">
            <w:pPr>
              <w:bidi w:val="0"/>
              <w:ind w:left="-18" w:right="-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Calibri" w:hAnsi="Segoe UI Symbol" w:cs="Segoe UI Symbol"/>
                <w:sz w:val="20"/>
                <w:szCs w:val="20"/>
              </w:rPr>
            </w:pPr>
            <w:r w:rsidRPr="001B477C">
              <w:rPr>
                <w:rFonts w:ascii="Segoe UI Symbol" w:eastAsia="Calibri" w:hAnsi="Segoe UI Symbol" w:cs="Segoe UI Symbol"/>
                <w:sz w:val="20"/>
                <w:szCs w:val="20"/>
              </w:rPr>
              <w:t>✓</w:t>
            </w:r>
          </w:p>
          <w:p w:rsidR="001B477C" w:rsidRPr="001B477C" w:rsidRDefault="001B477C" w:rsidP="001B477C">
            <w:pPr>
              <w:bidi w:val="0"/>
              <w:ind w:left="-18" w:right="-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Calibri" w:hAnsi="Segoe UI Symbol" w:cs="Segoe UI Symbol"/>
                <w:sz w:val="20"/>
                <w:szCs w:val="20"/>
              </w:rPr>
            </w:pPr>
          </w:p>
          <w:p w:rsidR="001B477C" w:rsidRPr="001B477C" w:rsidRDefault="001B477C" w:rsidP="001B477C">
            <w:pPr>
              <w:bidi w:val="0"/>
              <w:ind w:left="-18" w:right="-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ascii="Segoe UI Symbol" w:eastAsia="Calibri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2561" w:type="dxa"/>
            <w:shd w:val="clear" w:color="auto" w:fill="FFFFFF"/>
          </w:tcPr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t xml:space="preserve">            as appropriate  </w:t>
            </w: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t xml:space="preserve"> </w:t>
            </w: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t xml:space="preserve">Every 12 months in hypertensive patients or in case of severe edema </w:t>
            </w: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t>Optional If indicated</w:t>
            </w: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t xml:space="preserve">  </w:t>
            </w: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t xml:space="preserve"> Every 12 months or as appropriate                                                                                                                            </w:t>
            </w:r>
          </w:p>
        </w:tc>
      </w:tr>
      <w:tr w:rsidR="001B477C" w:rsidRPr="001B477C" w:rsidTr="001B47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  <w:shd w:val="clear" w:color="auto" w:fill="B8CCE4"/>
          </w:tcPr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proofErr w:type="spellStart"/>
            <w:r w:rsidRPr="001B477C">
              <w:rPr>
                <w:rFonts w:eastAsia="Calibri"/>
                <w:sz w:val="20"/>
                <w:szCs w:val="20"/>
              </w:rPr>
              <w:t>Histopathological</w:t>
            </w:r>
            <w:proofErr w:type="spellEnd"/>
            <w:r w:rsidRPr="001B477C">
              <w:rPr>
                <w:rFonts w:eastAsia="Calibri"/>
                <w:sz w:val="20"/>
                <w:szCs w:val="20"/>
              </w:rPr>
              <w:t xml:space="preserve"> Renal Biopsy</w:t>
            </w:r>
          </w:p>
        </w:tc>
        <w:tc>
          <w:tcPr>
            <w:tcW w:w="1507" w:type="dxa"/>
            <w:shd w:val="clear" w:color="auto" w:fill="B8CCE4"/>
          </w:tcPr>
          <w:p w:rsidR="001B477C" w:rsidRPr="001B477C" w:rsidRDefault="001B477C" w:rsidP="001B477C">
            <w:pPr>
              <w:bidi w:val="0"/>
              <w:ind w:left="-18" w:right="-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2561" w:type="dxa"/>
            <w:shd w:val="clear" w:color="auto" w:fill="B8CCE4"/>
          </w:tcPr>
          <w:p w:rsidR="001B477C" w:rsidRPr="001B477C" w:rsidRDefault="001B477C" w:rsidP="001B477C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</w:tr>
      <w:tr w:rsidR="001B477C" w:rsidRPr="001B477C" w:rsidTr="001B477C">
        <w:trPr>
          <w:trHeight w:val="18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  <w:shd w:val="clear" w:color="auto" w:fill="FFFFFF"/>
          </w:tcPr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07" w:type="dxa"/>
            <w:shd w:val="clear" w:color="auto" w:fill="FFFFFF"/>
          </w:tcPr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</w:rPr>
            </w:pPr>
            <w:r w:rsidRPr="001B477C">
              <w:rPr>
                <w:rFonts w:ascii="Calibri" w:eastAsia="Calibri" w:hAnsi="Calibri" w:cs="Arial"/>
              </w:rPr>
              <w:t xml:space="preserve">                                     </w:t>
            </w:r>
            <w:r w:rsidRPr="001B477C">
              <w:rPr>
                <w:rFonts w:ascii="Segoe UI Symbol" w:eastAsia="Calibri" w:hAnsi="Segoe UI Symbol" w:cs="Segoe UI Symbol"/>
              </w:rPr>
              <w:t>✓</w:t>
            </w:r>
            <w:r w:rsidRPr="001B477C">
              <w:rPr>
                <w:rFonts w:ascii="Calibri" w:eastAsia="Calibri" w:hAnsi="Calibri" w:cs="Arial"/>
              </w:rPr>
              <w:t xml:space="preserve">                       </w:t>
            </w:r>
          </w:p>
          <w:p w:rsidR="001B477C" w:rsidRPr="001B477C" w:rsidRDefault="001B477C" w:rsidP="001B477C">
            <w:pPr>
              <w:bidi w:val="0"/>
              <w:ind w:left="-18" w:right="-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2561" w:type="dxa"/>
            <w:shd w:val="clear" w:color="auto" w:fill="FFFFFF"/>
          </w:tcPr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 xml:space="preserve">See text: at diagnosis, and subsequently if indicated: in case of unexplained drop in </w:t>
            </w:r>
            <w:proofErr w:type="spellStart"/>
            <w:r w:rsidRPr="001B477C">
              <w:rPr>
                <w:rFonts w:eastAsia="Calibri"/>
                <w:sz w:val="20"/>
                <w:szCs w:val="20"/>
              </w:rPr>
              <w:t>eGFR</w:t>
            </w:r>
            <w:proofErr w:type="spellEnd"/>
            <w:r w:rsidRPr="001B477C">
              <w:rPr>
                <w:rFonts w:eastAsia="Calibri"/>
                <w:sz w:val="20"/>
                <w:szCs w:val="20"/>
              </w:rPr>
              <w:t>, unexplained increase in</w:t>
            </w: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0"/>
                <w:szCs w:val="20"/>
              </w:rPr>
            </w:pPr>
            <w:proofErr w:type="gramStart"/>
            <w:r w:rsidRPr="001B477C">
              <w:rPr>
                <w:rFonts w:eastAsia="Calibri"/>
                <w:sz w:val="20"/>
                <w:szCs w:val="20"/>
              </w:rPr>
              <w:t>proteinuria</w:t>
            </w:r>
            <w:proofErr w:type="gramEnd"/>
            <w:r w:rsidRPr="001B477C">
              <w:rPr>
                <w:rFonts w:eastAsia="Calibri"/>
                <w:sz w:val="20"/>
                <w:szCs w:val="20"/>
              </w:rPr>
              <w:t xml:space="preserve">, to rule out and/or to monitor CNI   nephrotoxicity during prolonged (&lt; 2 years) treatment. </w:t>
            </w:r>
          </w:p>
        </w:tc>
      </w:tr>
      <w:tr w:rsidR="001B477C" w:rsidRPr="001B477C" w:rsidTr="001B47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  <w:shd w:val="clear" w:color="auto" w:fill="B8CCE4"/>
          </w:tcPr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>Dietary assessment</w:t>
            </w:r>
          </w:p>
        </w:tc>
        <w:tc>
          <w:tcPr>
            <w:tcW w:w="1507" w:type="dxa"/>
            <w:shd w:val="clear" w:color="auto" w:fill="B8CCE4"/>
          </w:tcPr>
          <w:p w:rsidR="001B477C" w:rsidRPr="001B477C" w:rsidRDefault="001B477C" w:rsidP="001B477C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2561" w:type="dxa"/>
            <w:shd w:val="clear" w:color="auto" w:fill="B8CCE4"/>
          </w:tcPr>
          <w:p w:rsidR="001B477C" w:rsidRPr="001B477C" w:rsidRDefault="001B477C" w:rsidP="001B477C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</w:tr>
      <w:tr w:rsidR="001B477C" w:rsidRPr="001B477C" w:rsidTr="001B477C">
        <w:trPr>
          <w:trHeight w:val="8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  <w:shd w:val="clear" w:color="auto" w:fill="FFFFFF"/>
          </w:tcPr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 xml:space="preserve">Dietician review and advice by a dietician </w:t>
            </w: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>regarding salt, potassium, caloric and protein</w:t>
            </w: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 xml:space="preserve"> intake   </w:t>
            </w: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 xml:space="preserve">                                                    </w:t>
            </w:r>
          </w:p>
        </w:tc>
        <w:tc>
          <w:tcPr>
            <w:tcW w:w="1507" w:type="dxa"/>
            <w:shd w:val="clear" w:color="auto" w:fill="FFFFFF"/>
          </w:tcPr>
          <w:p w:rsidR="001B477C" w:rsidRPr="001B477C" w:rsidRDefault="001B477C" w:rsidP="001B477C">
            <w:pPr>
              <w:bidi w:val="0"/>
              <w:ind w:left="-18" w:right="-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ascii="Segoe UI Symbol" w:eastAsia="Calibri" w:hAnsi="Segoe UI Symbol" w:cs="Segoe UI Symbol"/>
              </w:rPr>
              <w:t>✓</w:t>
            </w:r>
          </w:p>
        </w:tc>
        <w:tc>
          <w:tcPr>
            <w:tcW w:w="2561" w:type="dxa"/>
            <w:shd w:val="clear" w:color="auto" w:fill="FFFFFF"/>
          </w:tcPr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t xml:space="preserve">Every 3 months (more frequently in   infants, malnourished patients, and patients with CKD stage 4–5)                                                                                                                                                                                      </w:t>
            </w:r>
          </w:p>
        </w:tc>
      </w:tr>
      <w:tr w:rsidR="001B477C" w:rsidRPr="001B477C" w:rsidTr="001B47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  <w:shd w:val="clear" w:color="auto" w:fill="B8CCE4"/>
          </w:tcPr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 xml:space="preserve">Assessment for </w:t>
            </w:r>
            <w:proofErr w:type="spellStart"/>
            <w:r w:rsidRPr="001B477C">
              <w:rPr>
                <w:rFonts w:eastAsia="Calibri"/>
                <w:sz w:val="20"/>
                <w:szCs w:val="20"/>
              </w:rPr>
              <w:t>extrarenal</w:t>
            </w:r>
            <w:proofErr w:type="spellEnd"/>
            <w:r w:rsidRPr="001B477C">
              <w:rPr>
                <w:rFonts w:eastAsia="Calibri"/>
                <w:sz w:val="20"/>
                <w:szCs w:val="20"/>
              </w:rPr>
              <w:t xml:space="preserve"> involvement</w:t>
            </w:r>
          </w:p>
        </w:tc>
        <w:tc>
          <w:tcPr>
            <w:tcW w:w="1507" w:type="dxa"/>
            <w:shd w:val="clear" w:color="auto" w:fill="B8CCE4"/>
          </w:tcPr>
          <w:p w:rsidR="001B477C" w:rsidRPr="001B477C" w:rsidRDefault="001B477C" w:rsidP="001B477C">
            <w:pPr>
              <w:bidi w:val="0"/>
              <w:ind w:left="-18" w:right="-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2561" w:type="dxa"/>
            <w:shd w:val="clear" w:color="auto" w:fill="B8CCE4"/>
          </w:tcPr>
          <w:p w:rsidR="001B477C" w:rsidRPr="001B477C" w:rsidRDefault="001B477C" w:rsidP="001B477C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</w:tr>
      <w:tr w:rsidR="001B477C" w:rsidRPr="001B477C" w:rsidTr="001B477C">
        <w:trPr>
          <w:trHeight w:val="25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  <w:shd w:val="clear" w:color="auto" w:fill="FFFFFF"/>
          </w:tcPr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 xml:space="preserve">Depending on underlying disease and clinically evident </w:t>
            </w:r>
            <w:proofErr w:type="spellStart"/>
            <w:r w:rsidRPr="001B477C">
              <w:rPr>
                <w:rFonts w:eastAsia="Calibri"/>
                <w:sz w:val="20"/>
                <w:szCs w:val="20"/>
              </w:rPr>
              <w:t>extrarenal</w:t>
            </w:r>
            <w:proofErr w:type="spellEnd"/>
            <w:r w:rsidRPr="001B477C">
              <w:rPr>
                <w:rFonts w:eastAsia="Calibri"/>
                <w:sz w:val="20"/>
                <w:szCs w:val="20"/>
              </w:rPr>
              <w:t xml:space="preserve"> features: -</w:t>
            </w: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  <w:shd w:val="clear" w:color="auto" w:fill="FFFFFF"/>
              </w:rPr>
              <w:t xml:space="preserve"> Brain MRI</w:t>
            </w:r>
            <w:r w:rsidRPr="001B477C">
              <w:rPr>
                <w:rFonts w:eastAsia="Calibri"/>
                <w:sz w:val="20"/>
                <w:szCs w:val="20"/>
              </w:rPr>
              <w:t xml:space="preserve"> </w:t>
            </w:r>
          </w:p>
          <w:p w:rsidR="001B477C" w:rsidRPr="001B477C" w:rsidRDefault="001B477C" w:rsidP="001B477C">
            <w:pPr>
              <w:bidi w:val="0"/>
              <w:ind w:left="36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 xml:space="preserve">(e.g., microcephaly, psychomotor delay, mental retardation, myoclonic epilepsy, tremor, ataxia, </w:t>
            </w:r>
            <w:proofErr w:type="spellStart"/>
            <w:r w:rsidRPr="001B477C">
              <w:rPr>
                <w:rFonts w:eastAsia="Calibri"/>
                <w:sz w:val="20"/>
                <w:szCs w:val="20"/>
              </w:rPr>
              <w:t>hypotonia</w:t>
            </w:r>
            <w:proofErr w:type="spellEnd"/>
            <w:r w:rsidRPr="001B477C">
              <w:rPr>
                <w:rFonts w:eastAsia="Calibri"/>
                <w:sz w:val="20"/>
                <w:szCs w:val="20"/>
              </w:rPr>
              <w:t>)</w:t>
            </w: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 xml:space="preserve"> Interdisciplinary evaluation by Ophthalmology </w:t>
            </w:r>
          </w:p>
          <w:p w:rsidR="001B477C" w:rsidRPr="001B477C" w:rsidRDefault="001B477C" w:rsidP="001B477C">
            <w:pPr>
              <w:bidi w:val="0"/>
              <w:ind w:left="450" w:hanging="360"/>
              <w:rPr>
                <w:rFonts w:eastAsia="Calibri"/>
                <w:sz w:val="20"/>
                <w:szCs w:val="20"/>
              </w:rPr>
            </w:pPr>
            <w:r w:rsidRPr="001B477C">
              <w:rPr>
                <w:rFonts w:eastAsia="Calibri"/>
                <w:sz w:val="20"/>
                <w:szCs w:val="20"/>
              </w:rPr>
              <w:t xml:space="preserve">        (e.g., </w:t>
            </w:r>
            <w:proofErr w:type="spellStart"/>
            <w:r w:rsidRPr="001B477C">
              <w:rPr>
                <w:rFonts w:eastAsia="Calibri"/>
                <w:sz w:val="20"/>
                <w:szCs w:val="20"/>
              </w:rPr>
              <w:t>microcoria</w:t>
            </w:r>
            <w:proofErr w:type="spellEnd"/>
            <w:r w:rsidRPr="001B477C">
              <w:rPr>
                <w:rFonts w:eastAsia="Calibri"/>
                <w:sz w:val="20"/>
                <w:szCs w:val="20"/>
              </w:rPr>
              <w:t xml:space="preserve">, cataract, glaucoma, optic atrophy, </w:t>
            </w:r>
            <w:proofErr w:type="spellStart"/>
            <w:r w:rsidRPr="001B477C">
              <w:rPr>
                <w:rFonts w:eastAsia="Calibri"/>
                <w:sz w:val="20"/>
                <w:szCs w:val="20"/>
              </w:rPr>
              <w:t>keratoconus</w:t>
            </w:r>
            <w:proofErr w:type="spellEnd"/>
            <w:r w:rsidRPr="001B477C">
              <w:rPr>
                <w:rFonts w:eastAsia="Calibri"/>
                <w:sz w:val="20"/>
                <w:szCs w:val="20"/>
              </w:rPr>
              <w:t xml:space="preserve">, macular spots, </w:t>
            </w:r>
            <w:proofErr w:type="spellStart"/>
            <w:r w:rsidRPr="001B477C">
              <w:rPr>
                <w:rFonts w:eastAsia="Calibri"/>
                <w:sz w:val="20"/>
                <w:szCs w:val="20"/>
              </w:rPr>
              <w:t>lenticonus</w:t>
            </w:r>
            <w:proofErr w:type="spellEnd"/>
            <w:r w:rsidRPr="001B477C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1B477C">
              <w:rPr>
                <w:rFonts w:eastAsia="Calibri"/>
                <w:sz w:val="20"/>
                <w:szCs w:val="20"/>
              </w:rPr>
              <w:t>nystagmus</w:t>
            </w:r>
            <w:proofErr w:type="spellEnd"/>
            <w:r w:rsidRPr="001B477C">
              <w:rPr>
                <w:rFonts w:eastAsia="Calibri"/>
                <w:sz w:val="20"/>
                <w:szCs w:val="20"/>
              </w:rPr>
              <w:t>).</w:t>
            </w:r>
          </w:p>
          <w:p w:rsidR="001B477C" w:rsidRPr="001B477C" w:rsidRDefault="001B477C" w:rsidP="001B477C">
            <w:pPr>
              <w:bidi w:val="0"/>
              <w:rPr>
                <w:rFonts w:eastAsia="Calibri"/>
                <w:sz w:val="20"/>
                <w:szCs w:val="20"/>
                <w:shd w:val="clear" w:color="auto" w:fill="FFFFFF"/>
              </w:rPr>
            </w:pPr>
            <w:r w:rsidRPr="001B477C">
              <w:rPr>
                <w:rFonts w:eastAsia="Calibri"/>
                <w:sz w:val="20"/>
                <w:szCs w:val="20"/>
                <w:shd w:val="clear" w:color="auto" w:fill="FFFFFF"/>
              </w:rPr>
              <w:t xml:space="preserve"> Cardiology  (</w:t>
            </w:r>
            <w:r w:rsidRPr="001B477C">
              <w:rPr>
                <w:rFonts w:eastAsia="Calibri"/>
                <w:sz w:val="20"/>
                <w:szCs w:val="20"/>
              </w:rPr>
              <w:t xml:space="preserve">e.g., congenital heart defects)                           </w:t>
            </w:r>
          </w:p>
        </w:tc>
        <w:tc>
          <w:tcPr>
            <w:tcW w:w="1507" w:type="dxa"/>
            <w:shd w:val="clear" w:color="auto" w:fill="FFFFFF"/>
          </w:tcPr>
          <w:p w:rsidR="001B477C" w:rsidRPr="001B477C" w:rsidRDefault="001B477C" w:rsidP="001B477C">
            <w:pPr>
              <w:bidi w:val="0"/>
              <w:ind w:left="-18" w:right="-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Calibri" w:hAnsi="Segoe UI Symbol" w:cs="Segoe UI Symbol"/>
                <w:rtl/>
              </w:rPr>
            </w:pPr>
            <w:r w:rsidRPr="001B477C">
              <w:rPr>
                <w:rFonts w:ascii="Segoe UI Symbol" w:eastAsia="Calibri" w:hAnsi="Segoe UI Symbol" w:cs="Segoe UI Symbol"/>
              </w:rPr>
              <w:t>✓</w:t>
            </w:r>
          </w:p>
          <w:p w:rsidR="001B477C" w:rsidRPr="001B477C" w:rsidRDefault="001B477C" w:rsidP="001B477C">
            <w:pPr>
              <w:bidi w:val="0"/>
              <w:ind w:left="-18" w:right="-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Calibri" w:hAnsi="Segoe UI Symbol" w:cs="Segoe UI Symbol"/>
                <w:rtl/>
              </w:rPr>
            </w:pPr>
          </w:p>
          <w:p w:rsidR="001B477C" w:rsidRPr="001B477C" w:rsidRDefault="001B477C" w:rsidP="001B477C">
            <w:pPr>
              <w:bidi w:val="0"/>
              <w:ind w:left="-18" w:right="-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Calibri" w:hAnsi="Segoe UI Symbol" w:cs="Segoe UI Symbol"/>
                <w:rtl/>
              </w:rPr>
            </w:pPr>
            <w:r w:rsidRPr="001B477C">
              <w:rPr>
                <w:rFonts w:ascii="Segoe UI Symbol" w:eastAsia="Calibri" w:hAnsi="Segoe UI Symbol" w:cs="Segoe UI Symbol"/>
              </w:rPr>
              <w:t>✓</w:t>
            </w:r>
          </w:p>
          <w:p w:rsidR="001B477C" w:rsidRPr="001B477C" w:rsidRDefault="001B477C" w:rsidP="001B477C">
            <w:pPr>
              <w:bidi w:val="0"/>
              <w:ind w:left="-18" w:right="-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Calibri" w:hAnsi="Segoe UI Symbol" w:cs="Segoe UI Symbol"/>
                <w:rtl/>
              </w:rPr>
            </w:pPr>
          </w:p>
          <w:p w:rsidR="001B477C" w:rsidRPr="001B477C" w:rsidRDefault="001B477C" w:rsidP="001B477C">
            <w:pPr>
              <w:bidi w:val="0"/>
              <w:ind w:left="-18" w:right="-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Calibri" w:hAnsi="Segoe UI Symbol" w:cs="Segoe UI Symbol"/>
                <w:rtl/>
              </w:rPr>
            </w:pPr>
          </w:p>
          <w:p w:rsidR="001B477C" w:rsidRPr="001B477C" w:rsidRDefault="001B477C" w:rsidP="001B477C">
            <w:pPr>
              <w:bidi w:val="0"/>
              <w:ind w:left="-18" w:right="-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ascii="Segoe UI Symbol" w:eastAsia="Calibri" w:hAnsi="Segoe UI Symbol" w:cs="Segoe UI Symbol"/>
              </w:rPr>
              <w:t>✓</w:t>
            </w:r>
          </w:p>
        </w:tc>
        <w:tc>
          <w:tcPr>
            <w:tcW w:w="2561" w:type="dxa"/>
            <w:shd w:val="clear" w:color="auto" w:fill="FFFFFF"/>
          </w:tcPr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t xml:space="preserve">If indicated </w:t>
            </w: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</w:p>
          <w:p w:rsidR="001B477C" w:rsidRPr="001B477C" w:rsidRDefault="001B477C" w:rsidP="001B477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0"/>
                <w:szCs w:val="20"/>
              </w:rPr>
            </w:pPr>
            <w:r w:rsidRPr="001B477C">
              <w:rPr>
                <w:rFonts w:eastAsia="Calibri"/>
                <w:b/>
                <w:bCs/>
                <w:sz w:val="20"/>
                <w:szCs w:val="20"/>
              </w:rPr>
              <w:t>If indicat</w:t>
            </w:r>
            <w:r w:rsidRPr="001B477C">
              <w:rPr>
                <w:rFonts w:eastAsia="Calibri"/>
                <w:sz w:val="20"/>
                <w:szCs w:val="20"/>
              </w:rPr>
              <w:t>ed</w:t>
            </w:r>
          </w:p>
        </w:tc>
      </w:tr>
    </w:tbl>
    <w:p w:rsidR="001B477C" w:rsidRDefault="001B477C" w:rsidP="0071132F">
      <w:pPr>
        <w:ind w:firstLine="0"/>
        <w:jc w:val="left"/>
        <w:rPr>
          <w:rFonts w:ascii="Calibri" w:eastAsia="Calibri" w:hAnsi="Calibri" w:cs="Arial"/>
          <w:b/>
          <w:bCs/>
        </w:rPr>
      </w:pPr>
      <w:r w:rsidRPr="001B477C">
        <w:rPr>
          <w:rFonts w:ascii="Times New Roman" w:eastAsia="Calibri" w:hAnsi="Times New Roman" w:cs="Times New Roman"/>
          <w:b/>
          <w:bCs/>
          <w:color w:val="0070C0"/>
          <w:sz w:val="24"/>
          <w:szCs w:val="24"/>
        </w:rPr>
        <w:t xml:space="preserve">                                                                       Reproduced with permission from </w:t>
      </w:r>
      <w:r w:rsidRPr="001B477C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IPNA 2020.</w:t>
      </w:r>
      <w:r w:rsidRPr="001B477C">
        <w:rPr>
          <w:rFonts w:ascii="Calibri" w:eastAsia="Calibri" w:hAnsi="Calibri" w:cs="Arial"/>
          <w:b/>
          <w:bCs/>
        </w:rPr>
        <w:t xml:space="preserve"> </w:t>
      </w:r>
    </w:p>
    <w:p w:rsidR="000776F9" w:rsidRPr="001B477C" w:rsidRDefault="000776F9" w:rsidP="001B477C">
      <w:pPr>
        <w:ind w:firstLine="0"/>
        <w:jc w:val="left"/>
        <w:rPr>
          <w:rFonts w:ascii="Calibri" w:eastAsia="Calibri" w:hAnsi="Calibri" w:cs="Arial"/>
          <w:b/>
          <w:bCs/>
        </w:rPr>
      </w:pPr>
    </w:p>
    <w:p w:rsidR="001B477C" w:rsidRPr="001B477C" w:rsidRDefault="001B477C" w:rsidP="001B477C">
      <w:pPr>
        <w:ind w:firstLine="0"/>
        <w:jc w:val="lef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B477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Table 3- Steroid sparing therapy in SSNS (KDIGO 2021) </w:t>
      </w:r>
    </w:p>
    <w:p w:rsidR="001B477C" w:rsidRPr="001B477C" w:rsidRDefault="001B477C" w:rsidP="001B477C">
      <w:pPr>
        <w:ind w:firstLine="0"/>
        <w:jc w:val="left"/>
        <w:rPr>
          <w:rFonts w:ascii="Calibri" w:eastAsia="Calibri" w:hAnsi="Calibri" w:cs="Arial"/>
        </w:rPr>
      </w:pPr>
      <w:r w:rsidRPr="001B477C">
        <w:rPr>
          <w:rFonts w:ascii="Calibri" w:eastAsia="Calibri" w:hAnsi="Calibri" w:cs="Arial"/>
          <w:noProof/>
        </w:rPr>
        <w:drawing>
          <wp:inline distT="0" distB="0" distL="0" distR="0" wp14:anchorId="632EA7F8" wp14:editId="0FEEAF9C">
            <wp:extent cx="5876925" cy="8172450"/>
            <wp:effectExtent l="0" t="0" r="9525" b="0"/>
            <wp:docPr id="11" name="image46.png" descr="Table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age46.png" descr="Table&#10;&#10;Description automatically generated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76925" cy="8172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B477C" w:rsidRPr="000776F9" w:rsidRDefault="001B477C" w:rsidP="000776F9">
      <w:pPr>
        <w:ind w:firstLine="0"/>
        <w:jc w:val="left"/>
        <w:rPr>
          <w:rFonts w:ascii="Calibri" w:eastAsia="Calibri" w:hAnsi="Calibri" w:cs="Arial"/>
        </w:rPr>
      </w:pPr>
      <w:r w:rsidRPr="001B477C">
        <w:rPr>
          <w:rFonts w:ascii="Times New Roman" w:eastAsia="Calibri" w:hAnsi="Times New Roman" w:cs="Times New Roman"/>
          <w:b/>
          <w:bCs/>
          <w:color w:val="0070C0"/>
          <w:sz w:val="24"/>
          <w:szCs w:val="24"/>
        </w:rPr>
        <w:t xml:space="preserve">                                                                 Reproduced with permission from KDIGO 2021.</w:t>
      </w:r>
    </w:p>
    <w:sectPr w:rsidR="001B477C" w:rsidRPr="000776F9" w:rsidSect="001B477C"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OpenSan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fjglRbcdpjAdvTT3713a231+22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517B8E"/>
    <w:multiLevelType w:val="multilevel"/>
    <w:tmpl w:val="7B280DF2"/>
    <w:lvl w:ilvl="0">
      <w:start w:val="1"/>
      <w:numFmt w:val="lowerLetter"/>
      <w:lvlText w:val="%1-"/>
      <w:lvlJc w:val="left"/>
      <w:pPr>
        <w:ind w:left="450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1">
    <w:nsid w:val="0B823332"/>
    <w:multiLevelType w:val="hybridMultilevel"/>
    <w:tmpl w:val="6064686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>
    <w:nsid w:val="168C3611"/>
    <w:multiLevelType w:val="multilevel"/>
    <w:tmpl w:val="06E617DE"/>
    <w:lvl w:ilvl="0">
      <w:start w:val="1"/>
      <w:numFmt w:val="lowerLetter"/>
      <w:lvlText w:val="%1-"/>
      <w:lvlJc w:val="left"/>
      <w:pPr>
        <w:ind w:left="450" w:hanging="360"/>
      </w:pPr>
      <w:rPr>
        <w:b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8F207F"/>
    <w:multiLevelType w:val="hybridMultilevel"/>
    <w:tmpl w:val="CBE460C6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DB0C9E"/>
    <w:multiLevelType w:val="hybridMultilevel"/>
    <w:tmpl w:val="B0EAB52A"/>
    <w:lvl w:ilvl="0" w:tplc="21762AC8">
      <w:start w:val="1"/>
      <w:numFmt w:val="lowerLetter"/>
      <w:lvlText w:val="%1-"/>
      <w:lvlJc w:val="left"/>
      <w:pPr>
        <w:ind w:left="9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>
    <w:nsid w:val="2340077C"/>
    <w:multiLevelType w:val="hybridMultilevel"/>
    <w:tmpl w:val="B574B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432F1D"/>
    <w:multiLevelType w:val="multilevel"/>
    <w:tmpl w:val="2A4AB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1500A2A"/>
    <w:multiLevelType w:val="hybridMultilevel"/>
    <w:tmpl w:val="1A92AB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270652"/>
    <w:multiLevelType w:val="hybridMultilevel"/>
    <w:tmpl w:val="0C9281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FAEBB6"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38218D0"/>
    <w:multiLevelType w:val="hybridMultilevel"/>
    <w:tmpl w:val="8CC4E17C"/>
    <w:lvl w:ilvl="0" w:tplc="E990D756">
      <w:start w:val="1"/>
      <w:numFmt w:val="decimal"/>
      <w:lvlText w:val="%1-"/>
      <w:lvlJc w:val="left"/>
      <w:pPr>
        <w:ind w:left="450" w:hanging="360"/>
      </w:pPr>
      <w:rPr>
        <w:b/>
        <w:bCs/>
        <w:lang w:val="en-GB" w:bidi="ar-EG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874C70"/>
    <w:multiLevelType w:val="hybridMultilevel"/>
    <w:tmpl w:val="96049D36"/>
    <w:lvl w:ilvl="0" w:tplc="35B23952">
      <w:start w:val="1"/>
      <w:numFmt w:val="bullet"/>
      <w:lvlText w:val="*"/>
      <w:lvlJc w:val="left"/>
      <w:pPr>
        <w:ind w:left="795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1">
    <w:nsid w:val="45FD4FF0"/>
    <w:multiLevelType w:val="hybridMultilevel"/>
    <w:tmpl w:val="447A852E"/>
    <w:lvl w:ilvl="0" w:tplc="19761EFE">
      <w:start w:val="96"/>
      <w:numFmt w:val="bullet"/>
      <w:lvlText w:val="-"/>
      <w:lvlJc w:val="left"/>
      <w:pPr>
        <w:ind w:left="458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8" w:hanging="360"/>
      </w:pPr>
      <w:rPr>
        <w:rFonts w:ascii="Wingdings" w:hAnsi="Wingdings" w:hint="default"/>
      </w:rPr>
    </w:lvl>
  </w:abstractNum>
  <w:abstractNum w:abstractNumId="12">
    <w:nsid w:val="48900C61"/>
    <w:multiLevelType w:val="hybridMultilevel"/>
    <w:tmpl w:val="F0AE05CC"/>
    <w:lvl w:ilvl="0" w:tplc="E4E48D4A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B29181B"/>
    <w:multiLevelType w:val="hybridMultilevel"/>
    <w:tmpl w:val="03F4228E"/>
    <w:lvl w:ilvl="0" w:tplc="7AFCA264">
      <w:start w:val="1"/>
      <w:numFmt w:val="bullet"/>
      <w:lvlText w:val="o"/>
      <w:lvlJc w:val="left"/>
      <w:pPr>
        <w:ind w:left="54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181717"/>
        <w:sz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B8F677A"/>
    <w:multiLevelType w:val="hybridMultilevel"/>
    <w:tmpl w:val="1B04C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E165A8F"/>
    <w:multiLevelType w:val="hybridMultilevel"/>
    <w:tmpl w:val="DEEC80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76873BF"/>
    <w:multiLevelType w:val="hybridMultilevel"/>
    <w:tmpl w:val="0A6E9F68"/>
    <w:lvl w:ilvl="0" w:tplc="430803A4">
      <w:start w:val="3"/>
      <w:numFmt w:val="decimal"/>
      <w:lvlText w:val="%1-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7">
    <w:nsid w:val="59E90631"/>
    <w:multiLevelType w:val="hybridMultilevel"/>
    <w:tmpl w:val="8812A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DBB2946"/>
    <w:multiLevelType w:val="hybridMultilevel"/>
    <w:tmpl w:val="2A44FD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F940979"/>
    <w:multiLevelType w:val="hybridMultilevel"/>
    <w:tmpl w:val="FCACDA36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FBA3702"/>
    <w:multiLevelType w:val="hybridMultilevel"/>
    <w:tmpl w:val="0E60F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97B5BC6"/>
    <w:multiLevelType w:val="hybridMultilevel"/>
    <w:tmpl w:val="B13E453C"/>
    <w:lvl w:ilvl="0" w:tplc="126C0816">
      <w:start w:val="1"/>
      <w:numFmt w:val="upperLetter"/>
      <w:lvlText w:val="%1)"/>
      <w:lvlJc w:val="left"/>
      <w:pPr>
        <w:ind w:left="3105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3825" w:hanging="360"/>
      </w:pPr>
    </w:lvl>
    <w:lvl w:ilvl="2" w:tplc="0409001B" w:tentative="1">
      <w:start w:val="1"/>
      <w:numFmt w:val="lowerRoman"/>
      <w:lvlText w:val="%3."/>
      <w:lvlJc w:val="right"/>
      <w:pPr>
        <w:ind w:left="4545" w:hanging="180"/>
      </w:pPr>
    </w:lvl>
    <w:lvl w:ilvl="3" w:tplc="0409000F" w:tentative="1">
      <w:start w:val="1"/>
      <w:numFmt w:val="decimal"/>
      <w:lvlText w:val="%4."/>
      <w:lvlJc w:val="left"/>
      <w:pPr>
        <w:ind w:left="5265" w:hanging="360"/>
      </w:pPr>
    </w:lvl>
    <w:lvl w:ilvl="4" w:tplc="04090019" w:tentative="1">
      <w:start w:val="1"/>
      <w:numFmt w:val="lowerLetter"/>
      <w:lvlText w:val="%5."/>
      <w:lvlJc w:val="left"/>
      <w:pPr>
        <w:ind w:left="5985" w:hanging="360"/>
      </w:pPr>
    </w:lvl>
    <w:lvl w:ilvl="5" w:tplc="0409001B" w:tentative="1">
      <w:start w:val="1"/>
      <w:numFmt w:val="lowerRoman"/>
      <w:lvlText w:val="%6."/>
      <w:lvlJc w:val="right"/>
      <w:pPr>
        <w:ind w:left="6705" w:hanging="180"/>
      </w:pPr>
    </w:lvl>
    <w:lvl w:ilvl="6" w:tplc="0409000F" w:tentative="1">
      <w:start w:val="1"/>
      <w:numFmt w:val="decimal"/>
      <w:lvlText w:val="%7."/>
      <w:lvlJc w:val="left"/>
      <w:pPr>
        <w:ind w:left="7425" w:hanging="360"/>
      </w:pPr>
    </w:lvl>
    <w:lvl w:ilvl="7" w:tplc="04090019" w:tentative="1">
      <w:start w:val="1"/>
      <w:numFmt w:val="lowerLetter"/>
      <w:lvlText w:val="%8."/>
      <w:lvlJc w:val="left"/>
      <w:pPr>
        <w:ind w:left="8145" w:hanging="360"/>
      </w:pPr>
    </w:lvl>
    <w:lvl w:ilvl="8" w:tplc="0409001B" w:tentative="1">
      <w:start w:val="1"/>
      <w:numFmt w:val="lowerRoman"/>
      <w:lvlText w:val="%9."/>
      <w:lvlJc w:val="right"/>
      <w:pPr>
        <w:ind w:left="8865" w:hanging="180"/>
      </w:pPr>
    </w:lvl>
  </w:abstractNum>
  <w:abstractNum w:abstractNumId="22">
    <w:nsid w:val="74831224"/>
    <w:multiLevelType w:val="hybridMultilevel"/>
    <w:tmpl w:val="88522EB0"/>
    <w:lvl w:ilvl="0" w:tplc="35B23952">
      <w:start w:val="1"/>
      <w:numFmt w:val="bullet"/>
      <w:lvlText w:val="*"/>
      <w:lvlJc w:val="left"/>
      <w:pPr>
        <w:ind w:left="743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23">
    <w:nsid w:val="75A86FCB"/>
    <w:multiLevelType w:val="hybridMultilevel"/>
    <w:tmpl w:val="DDA0C738"/>
    <w:lvl w:ilvl="0" w:tplc="0B40E402">
      <w:start w:val="5"/>
      <w:numFmt w:val="decimal"/>
      <w:lvlText w:val="%1-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4">
    <w:nsid w:val="7E97450A"/>
    <w:multiLevelType w:val="hybridMultilevel"/>
    <w:tmpl w:val="BC7C6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F470CDA"/>
    <w:multiLevelType w:val="hybridMultilevel"/>
    <w:tmpl w:val="981CF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0"/>
  </w:num>
  <w:num w:numId="3">
    <w:abstractNumId w:val="12"/>
  </w:num>
  <w:num w:numId="4">
    <w:abstractNumId w:val="2"/>
  </w:num>
  <w:num w:numId="5">
    <w:abstractNumId w:val="0"/>
  </w:num>
  <w:num w:numId="6">
    <w:abstractNumId w:val="21"/>
  </w:num>
  <w:num w:numId="7">
    <w:abstractNumId w:val="16"/>
  </w:num>
  <w:num w:numId="8">
    <w:abstractNumId w:val="23"/>
  </w:num>
  <w:num w:numId="9">
    <w:abstractNumId w:val="9"/>
  </w:num>
  <w:num w:numId="10">
    <w:abstractNumId w:val="4"/>
  </w:num>
  <w:num w:numId="11">
    <w:abstractNumId w:val="19"/>
  </w:num>
  <w:num w:numId="12">
    <w:abstractNumId w:val="7"/>
  </w:num>
  <w:num w:numId="13">
    <w:abstractNumId w:val="5"/>
  </w:num>
  <w:num w:numId="14">
    <w:abstractNumId w:val="14"/>
  </w:num>
  <w:num w:numId="15">
    <w:abstractNumId w:val="8"/>
  </w:num>
  <w:num w:numId="16">
    <w:abstractNumId w:val="3"/>
  </w:num>
  <w:num w:numId="17">
    <w:abstractNumId w:val="17"/>
  </w:num>
  <w:num w:numId="18">
    <w:abstractNumId w:val="24"/>
  </w:num>
  <w:num w:numId="19">
    <w:abstractNumId w:val="15"/>
  </w:num>
  <w:num w:numId="20">
    <w:abstractNumId w:val="18"/>
  </w:num>
  <w:num w:numId="21">
    <w:abstractNumId w:val="20"/>
  </w:num>
  <w:num w:numId="22">
    <w:abstractNumId w:val="25"/>
  </w:num>
  <w:num w:numId="23">
    <w:abstractNumId w:val="1"/>
  </w:num>
  <w:num w:numId="24">
    <w:abstractNumId w:val="6"/>
  </w:num>
  <w:num w:numId="25">
    <w:abstractNumId w:val="13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B36"/>
    <w:rsid w:val="00001408"/>
    <w:rsid w:val="000118CF"/>
    <w:rsid w:val="000776F9"/>
    <w:rsid w:val="00111A04"/>
    <w:rsid w:val="0016758C"/>
    <w:rsid w:val="001B477C"/>
    <w:rsid w:val="001D4ADA"/>
    <w:rsid w:val="0021126D"/>
    <w:rsid w:val="002C1FB9"/>
    <w:rsid w:val="00302E02"/>
    <w:rsid w:val="00404B36"/>
    <w:rsid w:val="00442151"/>
    <w:rsid w:val="004E34D7"/>
    <w:rsid w:val="00503DFC"/>
    <w:rsid w:val="005304F1"/>
    <w:rsid w:val="0057627A"/>
    <w:rsid w:val="006706DD"/>
    <w:rsid w:val="0071132F"/>
    <w:rsid w:val="008050B0"/>
    <w:rsid w:val="008D5A68"/>
    <w:rsid w:val="00933291"/>
    <w:rsid w:val="00A34CD2"/>
    <w:rsid w:val="00A528EA"/>
    <w:rsid w:val="00B50A26"/>
    <w:rsid w:val="00CA6591"/>
    <w:rsid w:val="00E144F9"/>
    <w:rsid w:val="00E32C13"/>
    <w:rsid w:val="00F10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C00021-456D-4A91-BFFC-FEA0FE611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562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477C"/>
    <w:pPr>
      <w:keepNext/>
      <w:keepLines/>
      <w:spacing w:before="240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477C"/>
    <w:pPr>
      <w:keepNext/>
      <w:keepLines/>
      <w:spacing w:before="40"/>
      <w:outlineLvl w:val="2"/>
    </w:pPr>
    <w:rPr>
      <w:rFonts w:ascii="Calibri Light" w:eastAsia="Times New Roman" w:hAnsi="Calibri Light" w:cs="Times New Roman"/>
      <w:color w:val="1F3763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477C"/>
    <w:pPr>
      <w:keepNext/>
      <w:keepLines/>
      <w:spacing w:before="40"/>
      <w:outlineLvl w:val="6"/>
    </w:pPr>
    <w:rPr>
      <w:rFonts w:ascii="Calibri Light" w:eastAsia="Times New Roman" w:hAnsi="Calibri Light" w:cs="Times New Roman"/>
      <w:i/>
      <w:iCs/>
      <w:color w:val="4040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77C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477C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477C"/>
    <w:rPr>
      <w:rFonts w:ascii="Calibri Light" w:eastAsia="Times New Roman" w:hAnsi="Calibri Light" w:cs="Times New Roman"/>
      <w:i/>
      <w:iCs/>
      <w:color w:val="404040"/>
    </w:rPr>
  </w:style>
  <w:style w:type="numbering" w:customStyle="1" w:styleId="NoList1">
    <w:name w:val="No List1"/>
    <w:next w:val="NoList"/>
    <w:uiPriority w:val="99"/>
    <w:semiHidden/>
    <w:unhideWhenUsed/>
    <w:rsid w:val="001B477C"/>
  </w:style>
  <w:style w:type="paragraph" w:customStyle="1" w:styleId="Heading11">
    <w:name w:val="Heading 11"/>
    <w:basedOn w:val="Normal"/>
    <w:next w:val="Normal"/>
    <w:uiPriority w:val="9"/>
    <w:qFormat/>
    <w:rsid w:val="001B477C"/>
    <w:pPr>
      <w:keepNext/>
      <w:keepLines/>
      <w:spacing w:before="240" w:line="259" w:lineRule="auto"/>
      <w:ind w:firstLine="0"/>
      <w:jc w:val="left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Heading31">
    <w:name w:val="Heading 31"/>
    <w:basedOn w:val="Normal"/>
    <w:next w:val="Normal"/>
    <w:uiPriority w:val="9"/>
    <w:semiHidden/>
    <w:unhideWhenUsed/>
    <w:qFormat/>
    <w:rsid w:val="001B477C"/>
    <w:pPr>
      <w:keepNext/>
      <w:keepLines/>
      <w:spacing w:before="40" w:line="259" w:lineRule="auto"/>
      <w:ind w:firstLine="0"/>
      <w:jc w:val="left"/>
      <w:outlineLvl w:val="2"/>
    </w:pPr>
    <w:rPr>
      <w:rFonts w:ascii="Calibri Light" w:eastAsia="Times New Roman" w:hAnsi="Calibri Light" w:cs="Times New Roman"/>
      <w:color w:val="1F3763"/>
      <w:sz w:val="24"/>
      <w:szCs w:val="24"/>
    </w:rPr>
  </w:style>
  <w:style w:type="paragraph" w:customStyle="1" w:styleId="Heading71">
    <w:name w:val="Heading 71"/>
    <w:basedOn w:val="Normal"/>
    <w:next w:val="Normal"/>
    <w:uiPriority w:val="9"/>
    <w:unhideWhenUsed/>
    <w:qFormat/>
    <w:rsid w:val="001B477C"/>
    <w:pPr>
      <w:keepNext/>
      <w:keepLines/>
      <w:spacing w:before="200" w:line="254" w:lineRule="auto"/>
      <w:ind w:firstLine="0"/>
      <w:jc w:val="left"/>
      <w:outlineLvl w:val="6"/>
    </w:pPr>
    <w:rPr>
      <w:rFonts w:ascii="Calibri Light" w:eastAsia="Times New Roman" w:hAnsi="Calibri Light" w:cs="Times New Roman"/>
      <w:i/>
      <w:iCs/>
      <w:color w:val="404040"/>
    </w:rPr>
  </w:style>
  <w:style w:type="numbering" w:customStyle="1" w:styleId="NoList11">
    <w:name w:val="No List11"/>
    <w:next w:val="NoList"/>
    <w:uiPriority w:val="99"/>
    <w:semiHidden/>
    <w:unhideWhenUsed/>
    <w:rsid w:val="001B477C"/>
  </w:style>
  <w:style w:type="character" w:styleId="Hyperlink">
    <w:name w:val="Hyperlink"/>
    <w:basedOn w:val="DefaultParagraphFont"/>
    <w:uiPriority w:val="99"/>
    <w:rsid w:val="001B477C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B477C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1B477C"/>
    <w:rPr>
      <w:color w:val="954F72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1B477C"/>
    <w:rPr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1B477C"/>
    <w:pPr>
      <w:spacing w:after="160" w:line="256" w:lineRule="auto"/>
      <w:ind w:left="720" w:firstLine="0"/>
      <w:contextualSpacing/>
      <w:jc w:val="left"/>
    </w:pPr>
    <w:rPr>
      <w:lang w:val="en-GB"/>
    </w:rPr>
  </w:style>
  <w:style w:type="table" w:customStyle="1" w:styleId="TableGrid1">
    <w:name w:val="Table Grid1"/>
    <w:basedOn w:val="TableNormal"/>
    <w:uiPriority w:val="39"/>
    <w:rsid w:val="001B477C"/>
    <w:pPr>
      <w:ind w:firstLine="0"/>
      <w:jc w:val="left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7Char1">
    <w:name w:val="Heading 7 Char1"/>
    <w:basedOn w:val="DefaultParagraphFont"/>
    <w:uiPriority w:val="9"/>
    <w:semiHidden/>
    <w:rsid w:val="001B477C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1Char1">
    <w:name w:val="Heading 1 Char1"/>
    <w:basedOn w:val="DefaultParagraphFont"/>
    <w:uiPriority w:val="9"/>
    <w:rsid w:val="001B47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1">
    <w:name w:val="Heading 3 Char1"/>
    <w:basedOn w:val="DefaultParagraphFont"/>
    <w:uiPriority w:val="9"/>
    <w:semiHidden/>
    <w:rsid w:val="001B477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1B477C"/>
    <w:rPr>
      <w:color w:val="954F72" w:themeColor="followedHyperlink"/>
      <w:u w:val="single"/>
    </w:rPr>
  </w:style>
  <w:style w:type="table" w:customStyle="1" w:styleId="TableGrid2">
    <w:name w:val="Table Grid2"/>
    <w:basedOn w:val="TableNormal"/>
    <w:next w:val="TableGrid"/>
    <w:uiPriority w:val="39"/>
    <w:rsid w:val="001B477C"/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1B47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39"/>
    <w:rsid w:val="001B477C"/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1">
    <w:name w:val="Grid Table 4 - Accent 11"/>
    <w:basedOn w:val="TableNormal"/>
    <w:next w:val="GridTable4-Accent1"/>
    <w:uiPriority w:val="49"/>
    <w:rsid w:val="001B477C"/>
    <w:pPr>
      <w:bidi/>
      <w:ind w:firstLine="0"/>
      <w:jc w:val="left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styleId="GridTable4-Accent1">
    <w:name w:val="Grid Table 4 Accent 1"/>
    <w:basedOn w:val="TableNormal"/>
    <w:uiPriority w:val="49"/>
    <w:rsid w:val="001B477C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4-Accent12">
    <w:name w:val="Grid Table 4 - Accent 12"/>
    <w:basedOn w:val="TableNormal"/>
    <w:next w:val="GridTable4-Accent1"/>
    <w:uiPriority w:val="49"/>
    <w:rsid w:val="001B477C"/>
    <w:pPr>
      <w:bidi/>
      <w:ind w:firstLine="0"/>
      <w:jc w:val="left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TableGrid4">
    <w:name w:val="Table Grid4"/>
    <w:basedOn w:val="TableNormal"/>
    <w:next w:val="TableGrid"/>
    <w:uiPriority w:val="39"/>
    <w:rsid w:val="001B477C"/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B47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477C"/>
  </w:style>
  <w:style w:type="paragraph" w:styleId="Footer">
    <w:name w:val="footer"/>
    <w:basedOn w:val="Normal"/>
    <w:link w:val="FooterChar"/>
    <w:uiPriority w:val="99"/>
    <w:unhideWhenUsed/>
    <w:rsid w:val="001B477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477C"/>
  </w:style>
  <w:style w:type="table" w:customStyle="1" w:styleId="TableGrid5">
    <w:name w:val="Table Grid5"/>
    <w:basedOn w:val="TableNormal"/>
    <w:next w:val="TableGrid"/>
    <w:uiPriority w:val="39"/>
    <w:rsid w:val="001B477C"/>
    <w:pPr>
      <w:ind w:firstLine="0"/>
      <w:jc w:val="left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6">
    <w:name w:val="Table Grid6"/>
    <w:basedOn w:val="TableNormal"/>
    <w:next w:val="TableGrid"/>
    <w:uiPriority w:val="39"/>
    <w:rsid w:val="001B477C"/>
    <w:pPr>
      <w:ind w:firstLine="0"/>
      <w:jc w:val="left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1">
    <w:name w:val="Table Grid51"/>
    <w:basedOn w:val="TableNormal"/>
    <w:next w:val="TableGrid"/>
    <w:uiPriority w:val="39"/>
    <w:rsid w:val="001B477C"/>
    <w:pPr>
      <w:ind w:firstLine="0"/>
      <w:jc w:val="left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digo.org/guidelines/gd/(acessed29/09/2021)(KDIGO2021" TargetMode="External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i.org/10.1007/s00467-020-04519-1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hyperlink" Target="http://www.egyptpediatrics.org/" TargetMode="Externa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5031</Words>
  <Characters>28680</Characters>
  <Application>Microsoft Office Word</Application>
  <DocSecurity>0</DocSecurity>
  <Lines>239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Abeer Selim</dc:creator>
  <cp:keywords/>
  <dc:description/>
  <cp:lastModifiedBy>No Name</cp:lastModifiedBy>
  <cp:revision>12</cp:revision>
  <dcterms:created xsi:type="dcterms:W3CDTF">2022-06-28T13:28:00Z</dcterms:created>
  <dcterms:modified xsi:type="dcterms:W3CDTF">2022-12-26T11:17:00Z</dcterms:modified>
</cp:coreProperties>
</file>