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96DFE4">
      <w:pPr>
        <w:spacing w:after="60"/>
        <w:jc w:val="center"/>
      </w:pPr>
      <w:r>
        <w:rPr>
          <w:b/>
          <w:bCs/>
          <w:caps/>
        </w:rPr>
        <w:t>SUPPLEMENTARY MATERIAL</w:t>
      </w:r>
    </w:p>
    <w:tbl>
      <w:tblPr>
        <w:tblStyle w:val="3"/>
        <w:tblW w:w="96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380"/>
        <w:gridCol w:w="2203"/>
        <w:gridCol w:w="2416"/>
        <w:gridCol w:w="2646"/>
      </w:tblGrid>
      <w:tr w14:paraId="6BBD6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80" w:hRule="atLeast"/>
        </w:trPr>
        <w:tc>
          <w:tcPr>
            <w:tcW w:w="2330" w:type="dxa"/>
            <w:tcMar>
              <w:top w:w="40" w:type="dxa"/>
              <w:left w:w="80" w:type="dxa"/>
              <w:bottom w:w="40" w:type="dxa"/>
              <w:right w:w="80" w:type="dxa"/>
            </w:tcMar>
          </w:tcPr>
          <w:p w14:paraId="101806B2">
            <w:pPr>
              <w:jc w:val="center"/>
            </w:pPr>
            <w:r>
              <w:rPr>
                <w:rFonts w:ascii="Arial" w:hAnsi="Arial" w:eastAsia="Arial" w:cs="Arial"/>
                <w:b/>
                <w:bCs/>
                <w:sz w:val="17"/>
                <w:szCs w:val="17"/>
              </w:rPr>
              <w:t>1a. Posterior View</w:t>
            </w:r>
          </w:p>
        </w:tc>
        <w:tc>
          <w:tcPr>
            <w:tcW w:w="2261" w:type="dxa"/>
            <w:tcMar>
              <w:top w:w="40" w:type="dxa"/>
              <w:left w:w="80" w:type="dxa"/>
              <w:bottom w:w="40" w:type="dxa"/>
              <w:right w:w="80" w:type="dxa"/>
            </w:tcMar>
          </w:tcPr>
          <w:p w14:paraId="04C59E7A">
            <w:pPr>
              <w:jc w:val="center"/>
            </w:pPr>
            <w:r>
              <w:rPr>
                <w:rFonts w:ascii="Arial" w:hAnsi="Arial" w:eastAsia="Arial" w:cs="Arial"/>
                <w:b/>
                <w:bCs/>
                <w:sz w:val="17"/>
                <w:szCs w:val="17"/>
              </w:rPr>
              <w:t>1b. Lateral View</w:t>
            </w:r>
          </w:p>
        </w:tc>
        <w:tc>
          <w:tcPr>
            <w:tcW w:w="2339" w:type="dxa"/>
            <w:tcMar>
              <w:top w:w="40" w:type="dxa"/>
              <w:left w:w="80" w:type="dxa"/>
              <w:bottom w:w="40" w:type="dxa"/>
              <w:right w:w="80" w:type="dxa"/>
            </w:tcMar>
          </w:tcPr>
          <w:p w14:paraId="2C5D708F">
            <w:pPr>
              <w:jc w:val="center"/>
            </w:pPr>
            <w:r>
              <w:rPr>
                <w:rFonts w:ascii="Arial" w:hAnsi="Arial" w:eastAsia="Arial" w:cs="Arial"/>
                <w:b/>
                <w:bCs/>
                <w:sz w:val="17"/>
                <w:szCs w:val="17"/>
              </w:rPr>
              <w:t>1c. Extremity Detail</w:t>
            </w:r>
          </w:p>
        </w:tc>
        <w:tc>
          <w:tcPr>
            <w:tcW w:w="2715" w:type="dxa"/>
            <w:tcMar>
              <w:top w:w="40" w:type="dxa"/>
              <w:left w:w="80" w:type="dxa"/>
              <w:bottom w:w="40" w:type="dxa"/>
              <w:right w:w="80" w:type="dxa"/>
            </w:tcMar>
          </w:tcPr>
          <w:p w14:paraId="17B3E74F">
            <w:pPr>
              <w:jc w:val="center"/>
            </w:pPr>
            <w:r>
              <w:rPr>
                <w:rFonts w:ascii="Arial" w:hAnsi="Arial" w:eastAsia="Arial" w:cs="Arial"/>
                <w:b/>
                <w:bCs/>
                <w:sz w:val="17"/>
                <w:szCs w:val="17"/>
              </w:rPr>
              <w:t>1d. Facial Features</w:t>
            </w:r>
          </w:p>
        </w:tc>
      </w:tr>
      <w:tr w14:paraId="27238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658" w:hRule="atLeast"/>
        </w:trPr>
        <w:tc>
          <w:tcPr>
            <w:tcW w:w="2330" w:type="dxa"/>
            <w:tcMar>
              <w:top w:w="40" w:type="dxa"/>
              <w:left w:w="80" w:type="dxa"/>
              <w:bottom w:w="40" w:type="dxa"/>
              <w:right w:w="80" w:type="dxa"/>
            </w:tcMar>
          </w:tcPr>
          <w:p w14:paraId="5D453C87">
            <w:pPr>
              <w:jc w:val="center"/>
            </w:pPr>
            <w:r>
              <w:drawing>
                <wp:inline distT="0" distB="0" distL="0" distR="0">
                  <wp:extent cx="1407795" cy="175260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srcRect l="15439"/>
                          <a:stretch>
                            <a:fillRect/>
                          </a:stretch>
                        </pic:blipFill>
                        <pic:spPr>
                          <a:xfrm>
                            <a:off x="0" y="0"/>
                            <a:ext cx="1417931" cy="1765059"/>
                          </a:xfrm>
                          <a:prstGeom prst="rect">
                            <a:avLst/>
                          </a:prstGeom>
                          <a:ln>
                            <a:noFill/>
                          </a:ln>
                        </pic:spPr>
                      </pic:pic>
                    </a:graphicData>
                  </a:graphic>
                </wp:inline>
              </w:drawing>
            </w:r>
          </w:p>
        </w:tc>
        <w:tc>
          <w:tcPr>
            <w:tcW w:w="2261" w:type="dxa"/>
            <w:tcMar>
              <w:top w:w="40" w:type="dxa"/>
              <w:left w:w="80" w:type="dxa"/>
              <w:bottom w:w="40" w:type="dxa"/>
              <w:right w:w="80" w:type="dxa"/>
            </w:tcMar>
          </w:tcPr>
          <w:p w14:paraId="442FF603">
            <w:pPr>
              <w:jc w:val="center"/>
            </w:pPr>
            <w:r>
              <w:drawing>
                <wp:inline distT="0" distB="0" distL="0" distR="0">
                  <wp:extent cx="1238250" cy="1905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7"/>
                          <a:srcRect/>
                          <a:stretch>
                            <a:fillRect/>
                          </a:stretch>
                        </pic:blipFill>
                        <pic:spPr>
                          <a:xfrm>
                            <a:off x="0" y="0"/>
                            <a:ext cx="1238250" cy="1905000"/>
                          </a:xfrm>
                          <a:prstGeom prst="rect">
                            <a:avLst/>
                          </a:prstGeom>
                        </pic:spPr>
                      </pic:pic>
                    </a:graphicData>
                  </a:graphic>
                </wp:inline>
              </w:drawing>
            </w:r>
          </w:p>
        </w:tc>
        <w:tc>
          <w:tcPr>
            <w:tcW w:w="2339" w:type="dxa"/>
            <w:tcMar>
              <w:top w:w="40" w:type="dxa"/>
              <w:left w:w="80" w:type="dxa"/>
              <w:bottom w:w="40" w:type="dxa"/>
              <w:right w:w="80" w:type="dxa"/>
            </w:tcMar>
          </w:tcPr>
          <w:p w14:paraId="7EFDAB4D">
            <w:pPr>
              <w:jc w:val="center"/>
            </w:pPr>
            <w:r>
              <w:drawing>
                <wp:inline distT="0" distB="0" distL="0" distR="0">
                  <wp:extent cx="1432560" cy="190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8"/>
                          <a:srcRect l="24800"/>
                          <a:stretch>
                            <a:fillRect/>
                          </a:stretch>
                        </pic:blipFill>
                        <pic:spPr>
                          <a:xfrm>
                            <a:off x="0" y="0"/>
                            <a:ext cx="1432560" cy="1905000"/>
                          </a:xfrm>
                          <a:prstGeom prst="rect">
                            <a:avLst/>
                          </a:prstGeom>
                          <a:ln>
                            <a:noFill/>
                          </a:ln>
                        </pic:spPr>
                      </pic:pic>
                    </a:graphicData>
                  </a:graphic>
                </wp:inline>
              </w:drawing>
            </w:r>
          </w:p>
        </w:tc>
        <w:tc>
          <w:tcPr>
            <w:tcW w:w="2715" w:type="dxa"/>
            <w:tcMar>
              <w:top w:w="40" w:type="dxa"/>
              <w:left w:w="80" w:type="dxa"/>
              <w:bottom w:w="40" w:type="dxa"/>
              <w:right w:w="80" w:type="dxa"/>
            </w:tcMar>
          </w:tcPr>
          <w:p w14:paraId="64A19D7C">
            <w:pPr>
              <w:jc w:val="center"/>
            </w:pPr>
            <w:r>
              <w:drawing>
                <wp:inline distT="0" distB="0" distL="0" distR="0">
                  <wp:extent cx="1508760" cy="1905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9"/>
                          <a:srcRect l="13091" r="14909"/>
                          <a:stretch>
                            <a:fillRect/>
                          </a:stretch>
                        </pic:blipFill>
                        <pic:spPr>
                          <a:xfrm>
                            <a:off x="0" y="0"/>
                            <a:ext cx="1508760" cy="1905000"/>
                          </a:xfrm>
                          <a:prstGeom prst="rect">
                            <a:avLst/>
                          </a:prstGeom>
                          <a:ln>
                            <a:noFill/>
                          </a:ln>
                        </pic:spPr>
                      </pic:pic>
                    </a:graphicData>
                  </a:graphic>
                </wp:inline>
              </w:drawing>
            </w:r>
          </w:p>
        </w:tc>
      </w:tr>
    </w:tbl>
    <w:p w14:paraId="1955F323">
      <w:pPr>
        <w:spacing w:before="60"/>
      </w:pPr>
    </w:p>
    <w:tbl>
      <w:tblPr>
        <w:tblStyle w:val="3"/>
        <w:tblW w:w="89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211"/>
        <w:gridCol w:w="2763"/>
        <w:gridCol w:w="3212"/>
      </w:tblGrid>
      <w:tr w14:paraId="61334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785" w:hRule="atLeast"/>
        </w:trPr>
        <w:tc>
          <w:tcPr>
            <w:tcW w:w="3147" w:type="dxa"/>
            <w:tcMar>
              <w:top w:w="40" w:type="dxa"/>
              <w:left w:w="80" w:type="dxa"/>
              <w:bottom w:w="40" w:type="dxa"/>
              <w:right w:w="80" w:type="dxa"/>
            </w:tcMar>
          </w:tcPr>
          <w:p w14:paraId="115D3BBE">
            <w:pPr>
              <w:jc w:val="center"/>
            </w:pPr>
            <w:r>
              <w:drawing>
                <wp:inline distT="0" distB="0" distL="0" distR="0">
                  <wp:extent cx="2400300" cy="1504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0"/>
                          <a:srcRect/>
                          <a:stretch>
                            <a:fillRect/>
                          </a:stretch>
                        </pic:blipFill>
                        <pic:spPr>
                          <a:xfrm>
                            <a:off x="0" y="0"/>
                            <a:ext cx="2400300" cy="1504950"/>
                          </a:xfrm>
                          <a:prstGeom prst="rect">
                            <a:avLst/>
                          </a:prstGeom>
                        </pic:spPr>
                      </pic:pic>
                    </a:graphicData>
                  </a:graphic>
                </wp:inline>
              </w:drawing>
            </w:r>
          </w:p>
        </w:tc>
        <w:tc>
          <w:tcPr>
            <w:tcW w:w="2703" w:type="dxa"/>
            <w:tcMar>
              <w:top w:w="40" w:type="dxa"/>
              <w:left w:w="80" w:type="dxa"/>
              <w:bottom w:w="40" w:type="dxa"/>
              <w:right w:w="80" w:type="dxa"/>
            </w:tcMar>
          </w:tcPr>
          <w:p w14:paraId="40C99A13">
            <w:pPr>
              <w:jc w:val="center"/>
            </w:pPr>
            <w:r>
              <w:drawing>
                <wp:inline distT="0" distB="0" distL="0" distR="0">
                  <wp:extent cx="2047875" cy="15049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1"/>
                          <a:srcRect/>
                          <a:stretch>
                            <a:fillRect/>
                          </a:stretch>
                        </pic:blipFill>
                        <pic:spPr>
                          <a:xfrm>
                            <a:off x="0" y="0"/>
                            <a:ext cx="2047875" cy="1504950"/>
                          </a:xfrm>
                          <a:prstGeom prst="rect">
                            <a:avLst/>
                          </a:prstGeom>
                        </pic:spPr>
                      </pic:pic>
                    </a:graphicData>
                  </a:graphic>
                </wp:inline>
              </w:drawing>
            </w:r>
          </w:p>
        </w:tc>
        <w:tc>
          <w:tcPr>
            <w:tcW w:w="3147" w:type="dxa"/>
            <w:tcMar>
              <w:top w:w="40" w:type="dxa"/>
              <w:left w:w="80" w:type="dxa"/>
              <w:bottom w:w="40" w:type="dxa"/>
              <w:right w:w="80" w:type="dxa"/>
            </w:tcMar>
          </w:tcPr>
          <w:p w14:paraId="1128B1A2">
            <w:pPr>
              <w:jc w:val="center"/>
            </w:pPr>
            <w:r>
              <w:drawing>
                <wp:inline distT="0" distB="0" distL="0" distR="0">
                  <wp:extent cx="2400300" cy="15049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2"/>
                          <a:srcRect/>
                          <a:stretch>
                            <a:fillRect/>
                          </a:stretch>
                        </pic:blipFill>
                        <pic:spPr>
                          <a:xfrm>
                            <a:off x="0" y="0"/>
                            <a:ext cx="2400300" cy="1504950"/>
                          </a:xfrm>
                          <a:prstGeom prst="rect">
                            <a:avLst/>
                          </a:prstGeom>
                        </pic:spPr>
                      </pic:pic>
                    </a:graphicData>
                  </a:graphic>
                </wp:inline>
              </w:drawing>
            </w:r>
          </w:p>
        </w:tc>
      </w:tr>
    </w:tbl>
    <w:p w14:paraId="076F5140">
      <w:pPr>
        <w:spacing w:before="60"/>
      </w:pPr>
    </w:p>
    <w:tbl>
      <w:tblPr>
        <w:tblStyle w:val="3"/>
        <w:tblW w:w="97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938"/>
        <w:gridCol w:w="3385"/>
        <w:gridCol w:w="3385"/>
      </w:tblGrid>
      <w:tr w14:paraId="0F4C9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109" w:hRule="atLeast"/>
        </w:trPr>
        <w:tc>
          <w:tcPr>
            <w:tcW w:w="3236" w:type="dxa"/>
            <w:tcMar>
              <w:top w:w="40" w:type="dxa"/>
              <w:left w:w="80" w:type="dxa"/>
              <w:bottom w:w="40" w:type="dxa"/>
              <w:right w:w="80" w:type="dxa"/>
            </w:tcMar>
          </w:tcPr>
          <w:p w14:paraId="548CC630">
            <w:pPr>
              <w:jc w:val="center"/>
            </w:pPr>
            <w:r>
              <w:drawing>
                <wp:inline distT="0" distB="0" distL="0" distR="0">
                  <wp:extent cx="1762125" cy="15049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1762125" cy="1504950"/>
                          </a:xfrm>
                          <a:prstGeom prst="rect">
                            <a:avLst/>
                          </a:prstGeom>
                        </pic:spPr>
                      </pic:pic>
                    </a:graphicData>
                  </a:graphic>
                </wp:inline>
              </w:drawing>
            </w:r>
          </w:p>
        </w:tc>
        <w:tc>
          <w:tcPr>
            <w:tcW w:w="3236" w:type="dxa"/>
            <w:tcMar>
              <w:top w:w="40" w:type="dxa"/>
              <w:left w:w="80" w:type="dxa"/>
              <w:bottom w:w="40" w:type="dxa"/>
              <w:right w:w="80" w:type="dxa"/>
            </w:tcMar>
          </w:tcPr>
          <w:p w14:paraId="379BF348">
            <w:pPr>
              <w:jc w:val="center"/>
            </w:pPr>
            <w:r>
              <w:drawing>
                <wp:inline distT="0" distB="0" distL="0" distR="0">
                  <wp:extent cx="2047875" cy="15049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14"/>
                          <a:srcRect/>
                          <a:stretch>
                            <a:fillRect/>
                          </a:stretch>
                        </pic:blipFill>
                        <pic:spPr>
                          <a:xfrm>
                            <a:off x="0" y="0"/>
                            <a:ext cx="2047875" cy="1504950"/>
                          </a:xfrm>
                          <a:prstGeom prst="rect">
                            <a:avLst/>
                          </a:prstGeom>
                        </pic:spPr>
                      </pic:pic>
                    </a:graphicData>
                  </a:graphic>
                </wp:inline>
              </w:drawing>
            </w:r>
          </w:p>
        </w:tc>
        <w:tc>
          <w:tcPr>
            <w:tcW w:w="3236" w:type="dxa"/>
            <w:tcMar>
              <w:top w:w="40" w:type="dxa"/>
              <w:left w:w="80" w:type="dxa"/>
              <w:bottom w:w="40" w:type="dxa"/>
              <w:right w:w="80" w:type="dxa"/>
            </w:tcMar>
          </w:tcPr>
          <w:p w14:paraId="74D0F4CF">
            <w:pPr>
              <w:jc w:val="center"/>
            </w:pPr>
            <w:r>
              <w:drawing>
                <wp:inline distT="0" distB="0" distL="0" distR="0">
                  <wp:extent cx="2047875" cy="15049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15"/>
                          <a:srcRect/>
                          <a:stretch>
                            <a:fillRect/>
                          </a:stretch>
                        </pic:blipFill>
                        <pic:spPr>
                          <a:xfrm>
                            <a:off x="0" y="0"/>
                            <a:ext cx="2047875" cy="1504950"/>
                          </a:xfrm>
                          <a:prstGeom prst="rect">
                            <a:avLst/>
                          </a:prstGeom>
                        </pic:spPr>
                      </pic:pic>
                    </a:graphicData>
                  </a:graphic>
                </wp:inline>
              </w:drawing>
            </w:r>
          </w:p>
        </w:tc>
      </w:tr>
    </w:tbl>
    <w:p w14:paraId="08A481D8">
      <w:pPr>
        <w:spacing w:before="60"/>
      </w:pPr>
    </w:p>
    <w:tbl>
      <w:tblPr>
        <w:tblStyle w:val="3"/>
        <w:tblW w:w="96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232"/>
        <w:gridCol w:w="3232"/>
        <w:gridCol w:w="3232"/>
      </w:tblGrid>
      <w:tr w14:paraId="1FE35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55" w:hRule="atLeast"/>
        </w:trPr>
        <w:tc>
          <w:tcPr>
            <w:tcW w:w="3232" w:type="dxa"/>
            <w:tcMar>
              <w:top w:w="40" w:type="dxa"/>
              <w:left w:w="80" w:type="dxa"/>
              <w:bottom w:w="40" w:type="dxa"/>
              <w:right w:w="80" w:type="dxa"/>
            </w:tcMar>
          </w:tcPr>
          <w:p w14:paraId="2A15F504">
            <w:pPr>
              <w:jc w:val="center"/>
            </w:pPr>
            <w:r>
              <w:rPr>
                <w:rFonts w:ascii="Arial" w:hAnsi="Arial" w:eastAsia="Arial" w:cs="Arial"/>
                <w:b/>
                <w:bCs/>
                <w:sz w:val="17"/>
                <w:szCs w:val="17"/>
              </w:rPr>
              <w:t>Infectious Disease Screening</w:t>
            </w:r>
          </w:p>
        </w:tc>
        <w:tc>
          <w:tcPr>
            <w:tcW w:w="3232" w:type="dxa"/>
            <w:tcMar>
              <w:top w:w="40" w:type="dxa"/>
              <w:left w:w="80" w:type="dxa"/>
              <w:bottom w:w="40" w:type="dxa"/>
              <w:right w:w="80" w:type="dxa"/>
            </w:tcMar>
          </w:tcPr>
          <w:p w14:paraId="2765611D">
            <w:pPr>
              <w:jc w:val="center"/>
            </w:pPr>
            <w:r>
              <w:rPr>
                <w:rFonts w:ascii="Arial" w:hAnsi="Arial" w:eastAsia="Arial" w:cs="Arial"/>
                <w:b/>
                <w:bCs/>
                <w:sz w:val="17"/>
                <w:szCs w:val="17"/>
              </w:rPr>
              <w:t>Additional Investigations</w:t>
            </w:r>
          </w:p>
        </w:tc>
        <w:tc>
          <w:tcPr>
            <w:tcW w:w="3232" w:type="dxa"/>
            <w:tcMar>
              <w:top w:w="40" w:type="dxa"/>
              <w:left w:w="80" w:type="dxa"/>
              <w:bottom w:w="40" w:type="dxa"/>
              <w:right w:w="80" w:type="dxa"/>
            </w:tcMar>
          </w:tcPr>
          <w:p w14:paraId="774B5406">
            <w:pPr>
              <w:jc w:val="center"/>
            </w:pPr>
            <w:r>
              <w:rPr>
                <w:rFonts w:ascii="Arial" w:hAnsi="Arial" w:eastAsia="Arial" w:cs="Arial"/>
                <w:b/>
                <w:bCs/>
                <w:sz w:val="17"/>
                <w:szCs w:val="17"/>
              </w:rPr>
              <w:t>WBC Differential Count   Total: 16,200/µL</w:t>
            </w:r>
          </w:p>
        </w:tc>
      </w:tr>
      <w:tr w14:paraId="5D074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815" w:hRule="atLeast"/>
        </w:trPr>
        <w:tc>
          <w:tcPr>
            <w:tcW w:w="6464" w:type="dxa"/>
            <w:gridSpan w:val="2"/>
            <w:tcMar>
              <w:top w:w="40" w:type="dxa"/>
              <w:left w:w="80" w:type="dxa"/>
              <w:bottom w:w="40" w:type="dxa"/>
              <w:right w:w="80" w:type="dxa"/>
            </w:tcMar>
          </w:tcPr>
          <w:tbl>
            <w:tblPr>
              <w:tblStyle w:val="3"/>
              <w:tblW w:w="5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414"/>
              <w:gridCol w:w="3106"/>
            </w:tblGrid>
            <w:tr w14:paraId="75AD3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55" w:hRule="atLeast"/>
              </w:trPr>
              <w:tc>
                <w:tcPr>
                  <w:tcW w:w="1256" w:type="dxa"/>
                  <w:tcBorders>
                    <w:top w:val="single" w:color="DDDDDD" w:sz="4" w:space="0"/>
                    <w:left w:val="single" w:color="DDDDDD" w:sz="4" w:space="0"/>
                    <w:bottom w:val="single" w:color="DDDDDD" w:sz="4" w:space="0"/>
                    <w:right w:val="single" w:color="DDDDDD" w:sz="4" w:space="0"/>
                  </w:tcBorders>
                  <w:tcMar>
                    <w:top w:w="40" w:type="dxa"/>
                    <w:left w:w="80" w:type="dxa"/>
                    <w:bottom w:w="40" w:type="dxa"/>
                    <w:right w:w="80" w:type="dxa"/>
                  </w:tcMar>
                </w:tcPr>
                <w:p w14:paraId="6F83E53B">
                  <w:r>
                    <w:rPr>
                      <w:rFonts w:ascii="Arial" w:hAnsi="Arial" w:eastAsia="Arial" w:cs="Arial"/>
                      <w:sz w:val="15"/>
                      <w:szCs w:val="15"/>
                    </w:rPr>
                    <w:t>HIV</w:t>
                  </w:r>
                </w:p>
              </w:tc>
              <w:tc>
                <w:tcPr>
                  <w:tcW w:w="1616" w:type="dxa"/>
                  <w:tcBorders>
                    <w:top w:val="single" w:color="DDDDDD" w:sz="4" w:space="0"/>
                    <w:left w:val="single" w:color="DDDDDD" w:sz="4" w:space="0"/>
                    <w:bottom w:val="single" w:color="DDDDDD" w:sz="4" w:space="0"/>
                    <w:right w:val="single" w:color="DDDDDD" w:sz="4" w:space="0"/>
                  </w:tcBorders>
                  <w:shd w:val="clear" w:color="auto" w:fill="2E7D32"/>
                  <w:tcMar>
                    <w:top w:w="40" w:type="dxa"/>
                    <w:left w:w="80" w:type="dxa"/>
                    <w:bottom w:w="40" w:type="dxa"/>
                    <w:right w:w="80" w:type="dxa"/>
                  </w:tcMar>
                </w:tcPr>
                <w:p w14:paraId="31FDEE56">
                  <w:pPr>
                    <w:jc w:val="center"/>
                  </w:pPr>
                  <w:r>
                    <w:rPr>
                      <w:rFonts w:ascii="Segoe UI Symbol" w:hAnsi="Segoe UI Symbol" w:eastAsia="Arial" w:cs="Segoe UI Symbol"/>
                      <w:b/>
                      <w:bCs/>
                      <w:color w:val="FFFFFF"/>
                      <w:sz w:val="15"/>
                      <w:szCs w:val="15"/>
                    </w:rPr>
                    <w:t>✓</w:t>
                  </w:r>
                  <w:r>
                    <w:rPr>
                      <w:rFonts w:ascii="Arial" w:hAnsi="Arial" w:eastAsia="Arial" w:cs="Arial"/>
                      <w:b/>
                      <w:bCs/>
                      <w:color w:val="FFFFFF"/>
                      <w:sz w:val="15"/>
                      <w:szCs w:val="15"/>
                    </w:rPr>
                    <w:t xml:space="preserve"> Negative</w:t>
                  </w:r>
                </w:p>
              </w:tc>
            </w:tr>
            <w:tr w14:paraId="3D916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55" w:hRule="atLeast"/>
              </w:trPr>
              <w:tc>
                <w:tcPr>
                  <w:tcW w:w="1256" w:type="dxa"/>
                  <w:tcBorders>
                    <w:top w:val="single" w:color="DDDDDD" w:sz="4" w:space="0"/>
                    <w:left w:val="single" w:color="DDDDDD" w:sz="4" w:space="0"/>
                    <w:bottom w:val="single" w:color="DDDDDD" w:sz="4" w:space="0"/>
                    <w:right w:val="single" w:color="DDDDDD" w:sz="4" w:space="0"/>
                  </w:tcBorders>
                  <w:tcMar>
                    <w:top w:w="40" w:type="dxa"/>
                    <w:left w:w="80" w:type="dxa"/>
                    <w:bottom w:w="40" w:type="dxa"/>
                    <w:right w:w="80" w:type="dxa"/>
                  </w:tcMar>
                </w:tcPr>
                <w:p w14:paraId="10BB7C3C">
                  <w:r>
                    <w:rPr>
                      <w:rFonts w:ascii="Arial" w:hAnsi="Arial" w:eastAsia="Arial" w:cs="Arial"/>
                      <w:sz w:val="15"/>
                      <w:szCs w:val="15"/>
                    </w:rPr>
                    <w:t>Hepatitis C</w:t>
                  </w:r>
                </w:p>
              </w:tc>
              <w:tc>
                <w:tcPr>
                  <w:tcW w:w="1616" w:type="dxa"/>
                  <w:tcBorders>
                    <w:top w:val="single" w:color="DDDDDD" w:sz="4" w:space="0"/>
                    <w:left w:val="single" w:color="DDDDDD" w:sz="4" w:space="0"/>
                    <w:bottom w:val="single" w:color="DDDDDD" w:sz="4" w:space="0"/>
                    <w:right w:val="single" w:color="DDDDDD" w:sz="4" w:space="0"/>
                  </w:tcBorders>
                  <w:shd w:val="clear" w:color="auto" w:fill="2E7D32"/>
                  <w:tcMar>
                    <w:top w:w="40" w:type="dxa"/>
                    <w:left w:w="80" w:type="dxa"/>
                    <w:bottom w:w="40" w:type="dxa"/>
                    <w:right w:w="80" w:type="dxa"/>
                  </w:tcMar>
                </w:tcPr>
                <w:p w14:paraId="0399C7C4">
                  <w:pPr>
                    <w:jc w:val="center"/>
                  </w:pPr>
                  <w:r>
                    <w:rPr>
                      <w:rFonts w:ascii="Segoe UI Symbol" w:hAnsi="Segoe UI Symbol" w:eastAsia="Arial" w:cs="Segoe UI Symbol"/>
                      <w:b/>
                      <w:bCs/>
                      <w:color w:val="FFFFFF"/>
                      <w:sz w:val="15"/>
                      <w:szCs w:val="15"/>
                    </w:rPr>
                    <w:t>✓</w:t>
                  </w:r>
                  <w:r>
                    <w:rPr>
                      <w:rFonts w:ascii="Arial" w:hAnsi="Arial" w:eastAsia="Arial" w:cs="Arial"/>
                      <w:b/>
                      <w:bCs/>
                      <w:color w:val="FFFFFF"/>
                      <w:sz w:val="15"/>
                      <w:szCs w:val="15"/>
                    </w:rPr>
                    <w:t xml:space="preserve"> Non-Reactive</w:t>
                  </w:r>
                </w:p>
              </w:tc>
            </w:tr>
            <w:tr w14:paraId="67B4C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55" w:hRule="atLeast"/>
              </w:trPr>
              <w:tc>
                <w:tcPr>
                  <w:tcW w:w="1256" w:type="dxa"/>
                  <w:tcBorders>
                    <w:top w:val="single" w:color="DDDDDD" w:sz="4" w:space="0"/>
                    <w:left w:val="single" w:color="DDDDDD" w:sz="4" w:space="0"/>
                    <w:bottom w:val="single" w:color="DDDDDD" w:sz="4" w:space="0"/>
                    <w:right w:val="single" w:color="DDDDDD" w:sz="4" w:space="0"/>
                  </w:tcBorders>
                  <w:tcMar>
                    <w:top w:w="40" w:type="dxa"/>
                    <w:left w:w="80" w:type="dxa"/>
                    <w:bottom w:w="40" w:type="dxa"/>
                    <w:right w:w="80" w:type="dxa"/>
                  </w:tcMar>
                </w:tcPr>
                <w:p w14:paraId="0E02BF88">
                  <w:r>
                    <w:rPr>
                      <w:rFonts w:ascii="Arial" w:hAnsi="Arial" w:eastAsia="Arial" w:cs="Arial"/>
                      <w:sz w:val="15"/>
                      <w:szCs w:val="15"/>
                    </w:rPr>
                    <w:t>Hepatitis B</w:t>
                  </w:r>
                </w:p>
              </w:tc>
              <w:tc>
                <w:tcPr>
                  <w:tcW w:w="1616" w:type="dxa"/>
                  <w:tcBorders>
                    <w:top w:val="single" w:color="DDDDDD" w:sz="4" w:space="0"/>
                    <w:left w:val="single" w:color="DDDDDD" w:sz="4" w:space="0"/>
                    <w:bottom w:val="single" w:color="DDDDDD" w:sz="4" w:space="0"/>
                    <w:right w:val="single" w:color="DDDDDD" w:sz="4" w:space="0"/>
                  </w:tcBorders>
                  <w:shd w:val="clear" w:color="auto" w:fill="2E7D32"/>
                  <w:tcMar>
                    <w:top w:w="40" w:type="dxa"/>
                    <w:left w:w="80" w:type="dxa"/>
                    <w:bottom w:w="40" w:type="dxa"/>
                    <w:right w:w="80" w:type="dxa"/>
                  </w:tcMar>
                </w:tcPr>
                <w:p w14:paraId="1A7A7A5B">
                  <w:pPr>
                    <w:jc w:val="center"/>
                  </w:pPr>
                  <w:r>
                    <w:rPr>
                      <w:rFonts w:ascii="Segoe UI Symbol" w:hAnsi="Segoe UI Symbol" w:eastAsia="Arial" w:cs="Segoe UI Symbol"/>
                      <w:b/>
                      <w:bCs/>
                      <w:color w:val="FFFFFF"/>
                      <w:sz w:val="15"/>
                      <w:szCs w:val="15"/>
                    </w:rPr>
                    <w:t>✓</w:t>
                  </w:r>
                  <w:r>
                    <w:rPr>
                      <w:rFonts w:ascii="Arial" w:hAnsi="Arial" w:eastAsia="Arial" w:cs="Arial"/>
                      <w:b/>
                      <w:bCs/>
                      <w:color w:val="FFFFFF"/>
                      <w:sz w:val="15"/>
                      <w:szCs w:val="15"/>
                    </w:rPr>
                    <w:t xml:space="preserve"> Non-Reactive</w:t>
                  </w:r>
                </w:p>
              </w:tc>
            </w:tr>
            <w:tr w14:paraId="7C87D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55" w:hRule="atLeast"/>
              </w:trPr>
              <w:tc>
                <w:tcPr>
                  <w:tcW w:w="1256" w:type="dxa"/>
                  <w:tcBorders>
                    <w:top w:val="single" w:color="DDDDDD" w:sz="4" w:space="0"/>
                    <w:left w:val="single" w:color="DDDDDD" w:sz="4" w:space="0"/>
                    <w:bottom w:val="single" w:color="DDDDDD" w:sz="4" w:space="0"/>
                    <w:right w:val="single" w:color="DDDDDD" w:sz="4" w:space="0"/>
                  </w:tcBorders>
                  <w:tcMar>
                    <w:top w:w="40" w:type="dxa"/>
                    <w:left w:w="80" w:type="dxa"/>
                    <w:bottom w:w="40" w:type="dxa"/>
                    <w:right w:w="80" w:type="dxa"/>
                  </w:tcMar>
                </w:tcPr>
                <w:p w14:paraId="1D302DB7">
                  <w:pPr>
                    <w:rPr>
                      <w:rFonts w:ascii="Arial" w:hAnsi="Arial" w:eastAsia="Arial" w:cs="Arial"/>
                      <w:sz w:val="15"/>
                      <w:szCs w:val="15"/>
                    </w:rPr>
                  </w:pPr>
                  <w:r>
                    <w:rPr>
                      <w:rFonts w:ascii="Arial" w:hAnsi="Arial" w:eastAsia="Arial" w:cs="Arial"/>
                      <w:sz w:val="15"/>
                      <w:szCs w:val="15"/>
                    </w:rPr>
                    <w:t>Skeletal Survey</w:t>
                  </w:r>
                </w:p>
              </w:tc>
              <w:tc>
                <w:tcPr>
                  <w:tcW w:w="1616" w:type="dxa"/>
                  <w:tcBorders>
                    <w:top w:val="single" w:color="DDDDDD" w:sz="4" w:space="0"/>
                    <w:left w:val="single" w:color="DDDDDD" w:sz="4" w:space="0"/>
                    <w:bottom w:val="single" w:color="DDDDDD" w:sz="4" w:space="0"/>
                    <w:right w:val="single" w:color="DDDDDD" w:sz="4" w:space="0"/>
                  </w:tcBorders>
                  <w:shd w:val="clear" w:color="auto" w:fill="2E7D32"/>
                  <w:tcMar>
                    <w:top w:w="40" w:type="dxa"/>
                    <w:left w:w="80" w:type="dxa"/>
                    <w:bottom w:w="40" w:type="dxa"/>
                    <w:right w:w="80" w:type="dxa"/>
                  </w:tcMar>
                </w:tcPr>
                <w:p w14:paraId="5C5679B4">
                  <w:pPr>
                    <w:jc w:val="center"/>
                    <w:rPr>
                      <w:rFonts w:ascii="Arial" w:hAnsi="Arial" w:eastAsia="Arial" w:cs="Arial"/>
                      <w:b/>
                      <w:bCs/>
                      <w:color w:val="FFFFFF"/>
                      <w:sz w:val="15"/>
                      <w:szCs w:val="15"/>
                    </w:rPr>
                  </w:pPr>
                  <w:r>
                    <w:rPr>
                      <w:rFonts w:ascii="Segoe UI Symbol" w:hAnsi="Segoe UI Symbol" w:eastAsia="Arial" w:cs="Segoe UI Symbol"/>
                      <w:b/>
                      <w:bCs/>
                      <w:color w:val="FFFFFF"/>
                      <w:sz w:val="15"/>
                      <w:szCs w:val="15"/>
                    </w:rPr>
                    <w:t>✓</w:t>
                  </w:r>
                  <w:r>
                    <w:rPr>
                      <w:rFonts w:ascii="Arial" w:hAnsi="Arial" w:eastAsia="Arial" w:cs="Arial"/>
                      <w:b/>
                      <w:bCs/>
                      <w:color w:val="FFFFFF"/>
                      <w:sz w:val="15"/>
                      <w:szCs w:val="15"/>
                    </w:rPr>
                    <w:t xml:space="preserve"> NORMAL</w:t>
                  </w:r>
                </w:p>
              </w:tc>
            </w:tr>
            <w:tr w14:paraId="2102E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55" w:hRule="atLeast"/>
              </w:trPr>
              <w:tc>
                <w:tcPr>
                  <w:tcW w:w="1256" w:type="dxa"/>
                  <w:tcBorders>
                    <w:top w:val="single" w:color="DDDDDD" w:sz="4" w:space="0"/>
                    <w:left w:val="single" w:color="DDDDDD" w:sz="4" w:space="0"/>
                    <w:bottom w:val="single" w:color="DDDDDD" w:sz="4" w:space="0"/>
                    <w:right w:val="single" w:color="DDDDDD" w:sz="4" w:space="0"/>
                  </w:tcBorders>
                  <w:tcMar>
                    <w:top w:w="40" w:type="dxa"/>
                    <w:left w:w="80" w:type="dxa"/>
                    <w:bottom w:w="40" w:type="dxa"/>
                    <w:right w:w="80" w:type="dxa"/>
                  </w:tcMar>
                </w:tcPr>
                <w:p w14:paraId="03918926">
                  <w:pPr>
                    <w:rPr>
                      <w:rFonts w:ascii="Arial" w:hAnsi="Arial" w:eastAsia="Arial" w:cs="Arial"/>
                      <w:sz w:val="15"/>
                      <w:szCs w:val="15"/>
                    </w:rPr>
                  </w:pPr>
                  <w:r>
                    <w:rPr>
                      <w:rFonts w:ascii="Arial" w:hAnsi="Arial" w:eastAsia="Arial" w:cs="Arial"/>
                      <w:sz w:val="15"/>
                      <w:szCs w:val="15"/>
                    </w:rPr>
                    <w:t>TTG Antibodies</w:t>
                  </w:r>
                </w:p>
              </w:tc>
              <w:tc>
                <w:tcPr>
                  <w:tcW w:w="1616" w:type="dxa"/>
                  <w:tcBorders>
                    <w:top w:val="single" w:color="DDDDDD" w:sz="4" w:space="0"/>
                    <w:left w:val="single" w:color="DDDDDD" w:sz="4" w:space="0"/>
                    <w:bottom w:val="single" w:color="DDDDDD" w:sz="4" w:space="0"/>
                    <w:right w:val="single" w:color="DDDDDD" w:sz="4" w:space="0"/>
                  </w:tcBorders>
                  <w:shd w:val="clear" w:color="auto" w:fill="2E7D32"/>
                  <w:tcMar>
                    <w:top w:w="40" w:type="dxa"/>
                    <w:left w:w="80" w:type="dxa"/>
                    <w:bottom w:w="40" w:type="dxa"/>
                    <w:right w:w="80" w:type="dxa"/>
                  </w:tcMar>
                </w:tcPr>
                <w:p w14:paraId="0147227E">
                  <w:pPr>
                    <w:jc w:val="center"/>
                    <w:rPr>
                      <w:rFonts w:ascii="Arial" w:hAnsi="Arial" w:eastAsia="Arial" w:cs="Arial"/>
                      <w:b/>
                      <w:bCs/>
                      <w:color w:val="FFFFFF"/>
                      <w:sz w:val="15"/>
                      <w:szCs w:val="15"/>
                    </w:rPr>
                  </w:pPr>
                  <w:r>
                    <w:rPr>
                      <w:rFonts w:ascii="Segoe UI Symbol" w:hAnsi="Segoe UI Symbol" w:eastAsia="Arial" w:cs="Segoe UI Symbol"/>
                      <w:b/>
                      <w:bCs/>
                      <w:color w:val="FFFFFF"/>
                      <w:sz w:val="15"/>
                      <w:szCs w:val="15"/>
                    </w:rPr>
                    <w:t>✓</w:t>
                  </w:r>
                  <w:r>
                    <w:rPr>
                      <w:rFonts w:ascii="Arial" w:hAnsi="Arial" w:eastAsia="Arial" w:cs="Arial"/>
                      <w:b/>
                      <w:bCs/>
                      <w:color w:val="FFFFFF"/>
                      <w:sz w:val="15"/>
                      <w:szCs w:val="15"/>
                    </w:rPr>
                    <w:t xml:space="preserve"> NORMAL</w:t>
                  </w:r>
                </w:p>
              </w:tc>
            </w:tr>
          </w:tbl>
          <w:tbl>
            <w:tblPr>
              <w:tblStyle w:val="3"/>
              <w:tblpPr w:leftFromText="180" w:rightFromText="180" w:vertAnchor="text" w:horzAnchor="margin" w:tblpY="254"/>
              <w:tblW w:w="5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380"/>
              <w:gridCol w:w="1380"/>
              <w:gridCol w:w="1380"/>
              <w:gridCol w:w="1380"/>
            </w:tblGrid>
            <w:tr w14:paraId="2F5E2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53" w:hRule="atLeast"/>
              </w:trPr>
              <w:tc>
                <w:tcPr>
                  <w:tcW w:w="1380" w:type="dxa"/>
                  <w:tcBorders>
                    <w:top w:val="single" w:color="DDDDDD" w:sz="4" w:space="0"/>
                    <w:left w:val="single" w:color="DDDDDD" w:sz="4" w:space="0"/>
                    <w:bottom w:val="single" w:color="DDDDDD" w:sz="4" w:space="0"/>
                    <w:right w:val="single" w:color="DDDDDD" w:sz="4" w:space="0"/>
                  </w:tcBorders>
                  <w:shd w:val="clear" w:color="auto" w:fill="F5F5F5"/>
                  <w:tcMar>
                    <w:top w:w="40" w:type="dxa"/>
                    <w:left w:w="100" w:type="dxa"/>
                    <w:bottom w:w="40" w:type="dxa"/>
                    <w:right w:w="100" w:type="dxa"/>
                  </w:tcMar>
                </w:tcPr>
                <w:p w14:paraId="0808E2C8">
                  <w:pPr>
                    <w:jc w:val="center"/>
                  </w:pPr>
                  <w:r>
                    <w:rPr>
                      <w:rFonts w:ascii="Arial" w:hAnsi="Arial" w:eastAsia="Arial" w:cs="Arial"/>
                      <w:b/>
                      <w:bCs/>
                      <w:color w:val="2E7D32"/>
                      <w:sz w:val="15"/>
                      <w:szCs w:val="15"/>
                    </w:rPr>
                    <w:t>■ Within Normal</w:t>
                  </w:r>
                </w:p>
              </w:tc>
              <w:tc>
                <w:tcPr>
                  <w:tcW w:w="1380" w:type="dxa"/>
                  <w:tcBorders>
                    <w:top w:val="single" w:color="DDDDDD" w:sz="4" w:space="0"/>
                    <w:left w:val="single" w:color="DDDDDD" w:sz="4" w:space="0"/>
                    <w:bottom w:val="single" w:color="DDDDDD" w:sz="4" w:space="0"/>
                    <w:right w:val="single" w:color="DDDDDD" w:sz="4" w:space="0"/>
                  </w:tcBorders>
                  <w:shd w:val="clear" w:color="auto" w:fill="F5F5F5"/>
                  <w:tcMar>
                    <w:top w:w="40" w:type="dxa"/>
                    <w:left w:w="100" w:type="dxa"/>
                    <w:bottom w:w="40" w:type="dxa"/>
                    <w:right w:w="100" w:type="dxa"/>
                  </w:tcMar>
                </w:tcPr>
                <w:p w14:paraId="57F0C56B">
                  <w:pPr>
                    <w:jc w:val="center"/>
                  </w:pPr>
                  <w:r>
                    <w:rPr>
                      <w:rFonts w:ascii="Arial" w:hAnsi="Arial" w:eastAsia="Arial" w:cs="Arial"/>
                      <w:b/>
                      <w:bCs/>
                      <w:color w:val="1565C0"/>
                      <w:sz w:val="15"/>
                      <w:szCs w:val="15"/>
                    </w:rPr>
                    <w:t>■ Below Normal</w:t>
                  </w:r>
                </w:p>
              </w:tc>
              <w:tc>
                <w:tcPr>
                  <w:tcW w:w="1380" w:type="dxa"/>
                  <w:tcBorders>
                    <w:top w:val="single" w:color="DDDDDD" w:sz="4" w:space="0"/>
                    <w:left w:val="single" w:color="DDDDDD" w:sz="4" w:space="0"/>
                    <w:bottom w:val="single" w:color="DDDDDD" w:sz="4" w:space="0"/>
                    <w:right w:val="single" w:color="DDDDDD" w:sz="4" w:space="0"/>
                  </w:tcBorders>
                  <w:shd w:val="clear" w:color="auto" w:fill="F5F5F5"/>
                  <w:tcMar>
                    <w:top w:w="40" w:type="dxa"/>
                    <w:left w:w="100" w:type="dxa"/>
                    <w:bottom w:w="40" w:type="dxa"/>
                    <w:right w:w="100" w:type="dxa"/>
                  </w:tcMar>
                </w:tcPr>
                <w:p w14:paraId="4AD28940">
                  <w:pPr>
                    <w:jc w:val="center"/>
                  </w:pPr>
                  <w:r>
                    <w:rPr>
                      <w:rFonts w:ascii="Arial" w:hAnsi="Arial" w:eastAsia="Arial" w:cs="Arial"/>
                      <w:b/>
                      <w:bCs/>
                      <w:color w:val="C62828"/>
                      <w:sz w:val="15"/>
                      <w:szCs w:val="15"/>
                    </w:rPr>
                    <w:t>■ Above Normal</w:t>
                  </w:r>
                </w:p>
              </w:tc>
              <w:tc>
                <w:tcPr>
                  <w:tcW w:w="1380" w:type="dxa"/>
                  <w:tcBorders>
                    <w:top w:val="single" w:color="DDDDDD" w:sz="4" w:space="0"/>
                    <w:left w:val="single" w:color="DDDDDD" w:sz="4" w:space="0"/>
                    <w:bottom w:val="single" w:color="DDDDDD" w:sz="4" w:space="0"/>
                    <w:right w:val="single" w:color="DDDDDD" w:sz="4" w:space="0"/>
                  </w:tcBorders>
                  <w:shd w:val="clear" w:color="auto" w:fill="F5F5F5"/>
                  <w:tcMar>
                    <w:top w:w="40" w:type="dxa"/>
                    <w:left w:w="100" w:type="dxa"/>
                    <w:bottom w:w="40" w:type="dxa"/>
                    <w:right w:w="100" w:type="dxa"/>
                  </w:tcMar>
                </w:tcPr>
                <w:p w14:paraId="09E849A6">
                  <w:pPr>
                    <w:jc w:val="center"/>
                  </w:pPr>
                  <w:r>
                    <w:rPr>
                      <w:rFonts w:ascii="Arial" w:hAnsi="Arial" w:eastAsia="Arial" w:cs="Arial"/>
                      <w:b/>
                      <w:bCs/>
                      <w:color w:val="757575"/>
                      <w:sz w:val="15"/>
                      <w:szCs w:val="15"/>
                    </w:rPr>
                    <w:t>■ Pending</w:t>
                  </w:r>
                </w:p>
              </w:tc>
            </w:tr>
          </w:tbl>
          <w:p w14:paraId="4908F565"/>
        </w:tc>
        <w:tc>
          <w:tcPr>
            <w:tcW w:w="3232" w:type="dxa"/>
            <w:tcMar>
              <w:top w:w="40" w:type="dxa"/>
              <w:left w:w="80" w:type="dxa"/>
              <w:bottom w:w="40" w:type="dxa"/>
              <w:right w:w="80" w:type="dxa"/>
            </w:tcMar>
          </w:tcPr>
          <w:p w14:paraId="77BB06F8">
            <w:pPr>
              <w:jc w:val="center"/>
            </w:pPr>
            <w:r>
              <w:drawing>
                <wp:inline distT="0" distB="0" distL="0" distR="0">
                  <wp:extent cx="1809750" cy="15049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16"/>
                          <a:srcRect/>
                          <a:stretch>
                            <a:fillRect/>
                          </a:stretch>
                        </pic:blipFill>
                        <pic:spPr>
                          <a:xfrm>
                            <a:off x="0" y="0"/>
                            <a:ext cx="1809750" cy="1504950"/>
                          </a:xfrm>
                          <a:prstGeom prst="rect">
                            <a:avLst/>
                          </a:prstGeom>
                        </pic:spPr>
                      </pic:pic>
                    </a:graphicData>
                  </a:graphic>
                </wp:inline>
              </w:drawing>
            </w:r>
          </w:p>
        </w:tc>
      </w:tr>
    </w:tbl>
    <w:p w14:paraId="7BF322E0">
      <w:pPr>
        <w:jc w:val="both"/>
        <w:rPr>
          <w:sz w:val="16"/>
          <w:szCs w:val="16"/>
        </w:rPr>
      </w:pPr>
      <w:r>
        <w:rPr>
          <w:b/>
          <w:bCs/>
          <w:sz w:val="16"/>
          <w:szCs w:val="16"/>
        </w:rPr>
        <w:t xml:space="preserve">Supplementary Material S1; </w:t>
      </w:r>
      <w:r>
        <w:rPr>
          <w:sz w:val="16"/>
          <w:szCs w:val="16"/>
        </w:rPr>
        <w:t>(a) Posterior view demonstrating complete absence of subcutaneous adipose tissue with pronounced muscular definition and prominent superficial venous pattern. (b) Lateral view showing abdominal distension with everted umbilicus and acromegaloid limb appearance. (c) Extremity detail illustrating marked lipoatrophy with visible musculature and prominent subcutaneous veins. (d) Facial features demonstrating coarse appearance with absence of facial fat padding. Eyes obscured to preserve patient confidentiality in accordance with Declaration of Helsinki principles.  Graphical summary of Hematological and biochemical laboratory findings</w:t>
      </w:r>
    </w:p>
    <w:p w14:paraId="21E7B63F">
      <w:pPr>
        <w:spacing w:before="80" w:after="40"/>
        <w:jc w:val="both"/>
        <w:rPr>
          <w:rFonts w:hint="default" w:ascii="Times New Roman" w:hAnsi="Times New Roman" w:cs="Times New Roman"/>
          <w:sz w:val="24"/>
          <w:szCs w:val="24"/>
        </w:rPr>
      </w:pPr>
      <w:r>
        <w:rPr>
          <w:rFonts w:hint="default" w:ascii="Times New Roman" w:hAnsi="Times New Roman" w:cs="Times New Roman"/>
          <w:color w:val="000000"/>
          <w:sz w:val="24"/>
          <w:szCs w:val="24"/>
        </w:rPr>
        <w:t xml:space="preserve">Table </w:t>
      </w:r>
      <w:r>
        <w:rPr>
          <w:rFonts w:hint="default" w:cs="Times New Roman"/>
          <w:color w:val="000000"/>
          <w:sz w:val="24"/>
          <w:szCs w:val="24"/>
          <w:lang w:val="en-US"/>
        </w:rPr>
        <w:t>S</w:t>
      </w:r>
      <w:bookmarkStart w:id="0" w:name="_GoBack"/>
      <w:bookmarkEnd w:id="0"/>
      <w:r>
        <w:rPr>
          <w:rFonts w:hint="default" w:ascii="Times New Roman" w:hAnsi="Times New Roman" w:cs="Times New Roman"/>
          <w:color w:val="000000"/>
          <w:sz w:val="24"/>
          <w:szCs w:val="24"/>
        </w:rPr>
        <w:t xml:space="preserve">1. </w:t>
      </w:r>
      <w:r>
        <w:rPr>
          <w:rFonts w:hint="default" w:ascii="Times New Roman" w:hAnsi="Times New Roman" w:cs="Times New Roman"/>
          <w:b/>
          <w:bCs/>
          <w:color w:val="CC0000"/>
          <w:sz w:val="24"/>
          <w:szCs w:val="24"/>
        </w:rPr>
        <w:t>Haematological, Biochemical, and Metabolic Investigations</w:t>
      </w:r>
    </w:p>
    <w:tbl>
      <w:tblPr>
        <w:tblStyle w:val="3"/>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autofit"/>
        <w:tblCellMar>
          <w:top w:w="0" w:type="dxa"/>
          <w:left w:w="10" w:type="dxa"/>
          <w:bottom w:w="0" w:type="dxa"/>
          <w:right w:w="10" w:type="dxa"/>
        </w:tblCellMar>
      </w:tblPr>
      <w:tblGrid>
        <w:gridCol w:w="3200"/>
        <w:gridCol w:w="1960"/>
        <w:gridCol w:w="2600"/>
        <w:gridCol w:w="1600"/>
      </w:tblGrid>
      <w:tr w14:paraId="43417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 w:type="dxa"/>
            <w:bottom w:w="0" w:type="dxa"/>
            <w:right w:w="10" w:type="dxa"/>
          </w:tblCellMar>
        </w:tblPrEx>
        <w:tc>
          <w:tcPr>
            <w:tcW w:w="32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656CDD21">
            <w:pPr>
              <w:jc w:val="both"/>
              <w:rPr>
                <w:rFonts w:hint="default" w:ascii="Times New Roman" w:hAnsi="Times New Roman" w:cs="Times New Roman"/>
                <w:color w:val="auto"/>
                <w:sz w:val="20"/>
                <w:szCs w:val="20"/>
              </w:rPr>
            </w:pPr>
            <w:r>
              <w:rPr>
                <w:rFonts w:hint="default" w:ascii="Times New Roman" w:hAnsi="Times New Roman" w:cs="Times New Roman"/>
                <w:b/>
                <w:bCs/>
                <w:color w:val="auto"/>
                <w:sz w:val="20"/>
                <w:szCs w:val="20"/>
              </w:rPr>
              <w:t>Investigation</w:t>
            </w:r>
          </w:p>
        </w:tc>
        <w:tc>
          <w:tcPr>
            <w:tcW w:w="196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448BDB3B">
            <w:pPr>
              <w:jc w:val="both"/>
              <w:rPr>
                <w:rFonts w:hint="default" w:ascii="Times New Roman" w:hAnsi="Times New Roman" w:cs="Times New Roman"/>
                <w:color w:val="auto"/>
                <w:sz w:val="20"/>
                <w:szCs w:val="20"/>
              </w:rPr>
            </w:pPr>
            <w:r>
              <w:rPr>
                <w:rFonts w:hint="default" w:ascii="Times New Roman" w:hAnsi="Times New Roman" w:cs="Times New Roman"/>
                <w:b/>
                <w:bCs/>
                <w:color w:val="auto"/>
                <w:sz w:val="20"/>
                <w:szCs w:val="20"/>
              </w:rPr>
              <w:t>Result</w:t>
            </w:r>
          </w:p>
        </w:tc>
        <w:tc>
          <w:tcPr>
            <w:tcW w:w="26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2CE3DCF8">
            <w:pPr>
              <w:jc w:val="both"/>
              <w:rPr>
                <w:rFonts w:hint="default" w:ascii="Times New Roman" w:hAnsi="Times New Roman" w:cs="Times New Roman"/>
                <w:color w:val="auto"/>
                <w:sz w:val="20"/>
                <w:szCs w:val="20"/>
              </w:rPr>
            </w:pPr>
            <w:r>
              <w:rPr>
                <w:rFonts w:hint="default" w:ascii="Times New Roman" w:hAnsi="Times New Roman" w:cs="Times New Roman"/>
                <w:b/>
                <w:bCs/>
                <w:color w:val="auto"/>
                <w:sz w:val="20"/>
                <w:szCs w:val="20"/>
              </w:rPr>
              <w:t>Reference Range</w:t>
            </w:r>
          </w:p>
        </w:tc>
        <w:tc>
          <w:tcPr>
            <w:tcW w:w="16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42BAC7E3">
            <w:pPr>
              <w:jc w:val="both"/>
              <w:rPr>
                <w:rFonts w:hint="default" w:ascii="Times New Roman" w:hAnsi="Times New Roman" w:cs="Times New Roman"/>
                <w:color w:val="auto"/>
                <w:sz w:val="20"/>
                <w:szCs w:val="20"/>
              </w:rPr>
            </w:pPr>
            <w:r>
              <w:rPr>
                <w:rFonts w:hint="default" w:ascii="Times New Roman" w:hAnsi="Times New Roman" w:cs="Times New Roman"/>
                <w:b/>
                <w:bCs/>
                <w:color w:val="auto"/>
                <w:sz w:val="20"/>
                <w:szCs w:val="20"/>
              </w:rPr>
              <w:t>Status</w:t>
            </w:r>
          </w:p>
        </w:tc>
      </w:tr>
      <w:tr w14:paraId="71337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 w:type="dxa"/>
            <w:bottom w:w="0" w:type="dxa"/>
            <w:right w:w="10" w:type="dxa"/>
          </w:tblCellMar>
        </w:tblPrEx>
        <w:tc>
          <w:tcPr>
            <w:tcW w:w="9360" w:type="dxa"/>
            <w:gridSpan w:val="4"/>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69717366">
            <w:pPr>
              <w:jc w:val="both"/>
              <w:rPr>
                <w:rFonts w:hint="default" w:ascii="Times New Roman" w:hAnsi="Times New Roman" w:cs="Times New Roman"/>
                <w:color w:val="auto"/>
                <w:sz w:val="20"/>
                <w:szCs w:val="20"/>
              </w:rPr>
            </w:pPr>
            <w:r>
              <w:rPr>
                <w:rFonts w:hint="default" w:ascii="Times New Roman" w:hAnsi="Times New Roman" w:cs="Times New Roman"/>
                <w:b/>
                <w:bCs/>
                <w:color w:val="auto"/>
                <w:sz w:val="20"/>
                <w:szCs w:val="20"/>
              </w:rPr>
              <w:t>HAEMATOLOGY</w:t>
            </w:r>
          </w:p>
        </w:tc>
      </w:tr>
      <w:tr w14:paraId="3B786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 w:type="dxa"/>
            <w:bottom w:w="0" w:type="dxa"/>
            <w:right w:w="10" w:type="dxa"/>
          </w:tblCellMar>
        </w:tblPrEx>
        <w:tc>
          <w:tcPr>
            <w:tcW w:w="32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41DA5295">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Haemoglobin</w:t>
            </w:r>
          </w:p>
        </w:tc>
        <w:tc>
          <w:tcPr>
            <w:tcW w:w="196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7AB63CE0">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10.0 g/dL</w:t>
            </w:r>
          </w:p>
        </w:tc>
        <w:tc>
          <w:tcPr>
            <w:tcW w:w="26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1AE41E61">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11.5–15.5 g/dL</w:t>
            </w:r>
          </w:p>
        </w:tc>
        <w:tc>
          <w:tcPr>
            <w:tcW w:w="16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19D05FEF">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 LOW</w:t>
            </w:r>
          </w:p>
        </w:tc>
      </w:tr>
      <w:tr w14:paraId="73992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 w:type="dxa"/>
            <w:bottom w:w="0" w:type="dxa"/>
            <w:right w:w="10" w:type="dxa"/>
          </w:tblCellMar>
        </w:tblPrEx>
        <w:tc>
          <w:tcPr>
            <w:tcW w:w="32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36CD7675">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MCV</w:t>
            </w:r>
          </w:p>
        </w:tc>
        <w:tc>
          <w:tcPr>
            <w:tcW w:w="196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7263E0B7">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110.8 fL</w:t>
            </w:r>
          </w:p>
        </w:tc>
        <w:tc>
          <w:tcPr>
            <w:tcW w:w="26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3C334B5E">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80–100 fL</w:t>
            </w:r>
          </w:p>
        </w:tc>
        <w:tc>
          <w:tcPr>
            <w:tcW w:w="16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510AC822">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 HIGH — macrocytic</w:t>
            </w:r>
          </w:p>
        </w:tc>
      </w:tr>
      <w:tr w14:paraId="2F3C5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 w:type="dxa"/>
            <w:bottom w:w="0" w:type="dxa"/>
            <w:right w:w="10" w:type="dxa"/>
          </w:tblCellMar>
        </w:tblPrEx>
        <w:tc>
          <w:tcPr>
            <w:tcW w:w="32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04B79395">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WBC</w:t>
            </w:r>
          </w:p>
        </w:tc>
        <w:tc>
          <w:tcPr>
            <w:tcW w:w="196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66C02B50">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16,200 /µL</w:t>
            </w:r>
          </w:p>
        </w:tc>
        <w:tc>
          <w:tcPr>
            <w:tcW w:w="26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43A5502B">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4,500–13,000 /µL</w:t>
            </w:r>
          </w:p>
        </w:tc>
        <w:tc>
          <w:tcPr>
            <w:tcW w:w="16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45DC785D">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 Elevated</w:t>
            </w:r>
          </w:p>
        </w:tc>
      </w:tr>
      <w:tr w14:paraId="403D6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 w:type="dxa"/>
            <w:bottom w:w="0" w:type="dxa"/>
            <w:right w:w="10" w:type="dxa"/>
          </w:tblCellMar>
        </w:tblPrEx>
        <w:tc>
          <w:tcPr>
            <w:tcW w:w="9360" w:type="dxa"/>
            <w:gridSpan w:val="4"/>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3A9BAC03">
            <w:pPr>
              <w:jc w:val="both"/>
              <w:rPr>
                <w:rFonts w:hint="default" w:ascii="Times New Roman" w:hAnsi="Times New Roman" w:cs="Times New Roman"/>
                <w:color w:val="auto"/>
                <w:sz w:val="20"/>
                <w:szCs w:val="20"/>
              </w:rPr>
            </w:pPr>
            <w:r>
              <w:rPr>
                <w:rFonts w:hint="default" w:ascii="Times New Roman" w:hAnsi="Times New Roman" w:cs="Times New Roman"/>
                <w:b/>
                <w:bCs/>
                <w:color w:val="auto"/>
                <w:sz w:val="20"/>
                <w:szCs w:val="20"/>
              </w:rPr>
              <w:t>LIVER FUNCTION TESTS</w:t>
            </w:r>
          </w:p>
        </w:tc>
      </w:tr>
      <w:tr w14:paraId="51449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 w:type="dxa"/>
            <w:bottom w:w="0" w:type="dxa"/>
            <w:right w:w="10" w:type="dxa"/>
          </w:tblCellMar>
        </w:tblPrEx>
        <w:tc>
          <w:tcPr>
            <w:tcW w:w="32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7DF132F6">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ALT</w:t>
            </w:r>
          </w:p>
        </w:tc>
        <w:tc>
          <w:tcPr>
            <w:tcW w:w="196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0319EED2">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71 U/L</w:t>
            </w:r>
          </w:p>
        </w:tc>
        <w:tc>
          <w:tcPr>
            <w:tcW w:w="26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559FC19D">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7–45 U/L</w:t>
            </w:r>
          </w:p>
        </w:tc>
        <w:tc>
          <w:tcPr>
            <w:tcW w:w="16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41616869">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 Elevated</w:t>
            </w:r>
          </w:p>
        </w:tc>
      </w:tr>
      <w:tr w14:paraId="106E5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 w:type="dxa"/>
            <w:bottom w:w="0" w:type="dxa"/>
            <w:right w:w="10" w:type="dxa"/>
          </w:tblCellMar>
        </w:tblPrEx>
        <w:tc>
          <w:tcPr>
            <w:tcW w:w="32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6065CC08">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AST</w:t>
            </w:r>
          </w:p>
        </w:tc>
        <w:tc>
          <w:tcPr>
            <w:tcW w:w="196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70267EA2">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97 U/L</w:t>
            </w:r>
          </w:p>
        </w:tc>
        <w:tc>
          <w:tcPr>
            <w:tcW w:w="26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51FA4789">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10–40 U/L</w:t>
            </w:r>
          </w:p>
        </w:tc>
        <w:tc>
          <w:tcPr>
            <w:tcW w:w="16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15FDA698">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 Elevated</w:t>
            </w:r>
          </w:p>
        </w:tc>
      </w:tr>
      <w:tr w14:paraId="127AF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 w:type="dxa"/>
            <w:bottom w:w="0" w:type="dxa"/>
            <w:right w:w="10" w:type="dxa"/>
          </w:tblCellMar>
        </w:tblPrEx>
        <w:tc>
          <w:tcPr>
            <w:tcW w:w="9360" w:type="dxa"/>
            <w:gridSpan w:val="4"/>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3418077E">
            <w:pPr>
              <w:jc w:val="both"/>
              <w:rPr>
                <w:rFonts w:hint="default" w:ascii="Times New Roman" w:hAnsi="Times New Roman" w:cs="Times New Roman"/>
                <w:color w:val="auto"/>
                <w:sz w:val="20"/>
                <w:szCs w:val="20"/>
              </w:rPr>
            </w:pPr>
            <w:r>
              <w:rPr>
                <w:rFonts w:hint="default" w:ascii="Times New Roman" w:hAnsi="Times New Roman" w:cs="Times New Roman"/>
                <w:b/>
                <w:bCs/>
                <w:color w:val="auto"/>
                <w:sz w:val="20"/>
                <w:szCs w:val="20"/>
              </w:rPr>
              <w:t>IMMUNOGLOBULINS</w:t>
            </w:r>
          </w:p>
        </w:tc>
      </w:tr>
      <w:tr w14:paraId="5F561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 w:type="dxa"/>
            <w:bottom w:w="0" w:type="dxa"/>
            <w:right w:w="10" w:type="dxa"/>
          </w:tblCellMar>
        </w:tblPrEx>
        <w:tc>
          <w:tcPr>
            <w:tcW w:w="32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70D1D548">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IgG</w:t>
            </w:r>
          </w:p>
        </w:tc>
        <w:tc>
          <w:tcPr>
            <w:tcW w:w="196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369E6024">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2,727.98 mg/dL</w:t>
            </w:r>
          </w:p>
        </w:tc>
        <w:tc>
          <w:tcPr>
            <w:tcW w:w="26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5FAE10B7">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700–1,600 mg/dL</w:t>
            </w:r>
          </w:p>
        </w:tc>
        <w:tc>
          <w:tcPr>
            <w:tcW w:w="16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47204F05">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 Markedly elevated</w:t>
            </w:r>
          </w:p>
        </w:tc>
      </w:tr>
      <w:tr w14:paraId="63E69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 w:type="dxa"/>
            <w:bottom w:w="0" w:type="dxa"/>
            <w:right w:w="10" w:type="dxa"/>
          </w:tblCellMar>
        </w:tblPrEx>
        <w:tc>
          <w:tcPr>
            <w:tcW w:w="32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1956580A">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IgA</w:t>
            </w:r>
          </w:p>
        </w:tc>
        <w:tc>
          <w:tcPr>
            <w:tcW w:w="196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670B0FC4">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4.39 mg/dL</w:t>
            </w:r>
          </w:p>
        </w:tc>
        <w:tc>
          <w:tcPr>
            <w:tcW w:w="26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5B98F3DE">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70–312 mg/dL</w:t>
            </w:r>
          </w:p>
        </w:tc>
        <w:tc>
          <w:tcPr>
            <w:tcW w:w="16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309976CE">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 Low</w:t>
            </w:r>
          </w:p>
        </w:tc>
      </w:tr>
      <w:tr w14:paraId="3D24A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 w:type="dxa"/>
            <w:bottom w:w="0" w:type="dxa"/>
            <w:right w:w="10" w:type="dxa"/>
          </w:tblCellMar>
        </w:tblPrEx>
        <w:tc>
          <w:tcPr>
            <w:tcW w:w="9360" w:type="dxa"/>
            <w:gridSpan w:val="4"/>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73890079">
            <w:pPr>
              <w:jc w:val="both"/>
              <w:rPr>
                <w:rFonts w:hint="default" w:ascii="Times New Roman" w:hAnsi="Times New Roman" w:cs="Times New Roman"/>
                <w:color w:val="auto"/>
                <w:sz w:val="20"/>
                <w:szCs w:val="20"/>
              </w:rPr>
            </w:pPr>
            <w:r>
              <w:rPr>
                <w:rFonts w:hint="default" w:ascii="Times New Roman" w:hAnsi="Times New Roman" w:cs="Times New Roman"/>
                <w:b/>
                <w:bCs/>
                <w:color w:val="auto"/>
                <w:sz w:val="20"/>
                <w:szCs w:val="20"/>
              </w:rPr>
              <w:t>METABOLIC PANEL (newly available — added in revision)</w:t>
            </w:r>
          </w:p>
        </w:tc>
      </w:tr>
      <w:tr w14:paraId="0FA68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 w:type="dxa"/>
            <w:bottom w:w="0" w:type="dxa"/>
            <w:right w:w="10" w:type="dxa"/>
          </w:tblCellMar>
        </w:tblPrEx>
        <w:tc>
          <w:tcPr>
            <w:tcW w:w="32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15D18EBD">
            <w:pPr>
              <w:jc w:val="both"/>
              <w:rPr>
                <w:rFonts w:hint="default" w:ascii="Times New Roman" w:hAnsi="Times New Roman" w:cs="Times New Roman"/>
                <w:color w:val="auto"/>
                <w:sz w:val="20"/>
                <w:szCs w:val="20"/>
              </w:rPr>
            </w:pPr>
            <w:r>
              <w:rPr>
                <w:rFonts w:hint="default" w:ascii="Times New Roman" w:hAnsi="Times New Roman" w:cs="Times New Roman"/>
                <w:b/>
                <w:bCs/>
                <w:color w:val="auto"/>
                <w:sz w:val="20"/>
                <w:szCs w:val="20"/>
              </w:rPr>
              <w:t>Fasting Triglycerides</w:t>
            </w:r>
          </w:p>
        </w:tc>
        <w:tc>
          <w:tcPr>
            <w:tcW w:w="196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2A01E925">
            <w:pPr>
              <w:jc w:val="both"/>
              <w:rPr>
                <w:rFonts w:hint="default" w:ascii="Times New Roman" w:hAnsi="Times New Roman" w:cs="Times New Roman"/>
                <w:color w:val="auto"/>
                <w:sz w:val="20"/>
                <w:szCs w:val="20"/>
              </w:rPr>
            </w:pPr>
            <w:r>
              <w:rPr>
                <w:rFonts w:hint="default" w:ascii="Times New Roman" w:hAnsi="Times New Roman" w:cs="Times New Roman"/>
                <w:b/>
                <w:bCs/>
                <w:color w:val="auto"/>
                <w:sz w:val="20"/>
                <w:szCs w:val="20"/>
              </w:rPr>
              <w:t>862 mg/dL</w:t>
            </w:r>
          </w:p>
        </w:tc>
        <w:tc>
          <w:tcPr>
            <w:tcW w:w="26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0D25FA0F">
            <w:pPr>
              <w:jc w:val="both"/>
              <w:rPr>
                <w:rFonts w:hint="default" w:ascii="Times New Roman" w:hAnsi="Times New Roman" w:cs="Times New Roman"/>
                <w:color w:val="auto"/>
                <w:sz w:val="20"/>
                <w:szCs w:val="20"/>
              </w:rPr>
            </w:pPr>
            <w:r>
              <w:rPr>
                <w:rFonts w:hint="default" w:ascii="Times New Roman" w:hAnsi="Times New Roman" w:cs="Times New Roman"/>
                <w:b/>
                <w:bCs/>
                <w:color w:val="auto"/>
                <w:sz w:val="20"/>
                <w:szCs w:val="20"/>
              </w:rPr>
              <w:t>&lt; 150 mg/dL</w:t>
            </w:r>
          </w:p>
        </w:tc>
        <w:tc>
          <w:tcPr>
            <w:tcW w:w="16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282E6A4C">
            <w:pPr>
              <w:jc w:val="both"/>
              <w:rPr>
                <w:rFonts w:hint="default" w:ascii="Times New Roman" w:hAnsi="Times New Roman" w:cs="Times New Roman"/>
                <w:color w:val="auto"/>
                <w:sz w:val="20"/>
                <w:szCs w:val="20"/>
              </w:rPr>
            </w:pPr>
            <w:r>
              <w:rPr>
                <w:rFonts w:hint="default" w:ascii="Times New Roman" w:hAnsi="Times New Roman" w:cs="Times New Roman"/>
                <w:b/>
                <w:bCs/>
                <w:color w:val="auto"/>
                <w:sz w:val="20"/>
                <w:szCs w:val="20"/>
              </w:rPr>
              <w:t>↑↑ SEVERELY elevated</w:t>
            </w:r>
          </w:p>
        </w:tc>
      </w:tr>
      <w:tr w14:paraId="1D42E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 w:type="dxa"/>
            <w:bottom w:w="0" w:type="dxa"/>
            <w:right w:w="10" w:type="dxa"/>
          </w:tblCellMar>
        </w:tblPrEx>
        <w:tc>
          <w:tcPr>
            <w:tcW w:w="32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7F10A6D0">
            <w:pPr>
              <w:jc w:val="both"/>
              <w:rPr>
                <w:rFonts w:hint="default" w:ascii="Times New Roman" w:hAnsi="Times New Roman" w:cs="Times New Roman"/>
                <w:color w:val="auto"/>
                <w:sz w:val="20"/>
                <w:szCs w:val="20"/>
              </w:rPr>
            </w:pPr>
            <w:r>
              <w:rPr>
                <w:rFonts w:hint="default" w:ascii="Times New Roman" w:hAnsi="Times New Roman" w:cs="Times New Roman"/>
                <w:b/>
                <w:bCs/>
                <w:color w:val="auto"/>
                <w:sz w:val="20"/>
                <w:szCs w:val="20"/>
              </w:rPr>
              <w:t>HDL-Cholesterol</w:t>
            </w:r>
          </w:p>
        </w:tc>
        <w:tc>
          <w:tcPr>
            <w:tcW w:w="196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1924C2E5">
            <w:pPr>
              <w:jc w:val="both"/>
              <w:rPr>
                <w:rFonts w:hint="default" w:ascii="Times New Roman" w:hAnsi="Times New Roman" w:cs="Times New Roman"/>
                <w:color w:val="auto"/>
                <w:sz w:val="20"/>
                <w:szCs w:val="20"/>
              </w:rPr>
            </w:pPr>
            <w:r>
              <w:rPr>
                <w:rFonts w:hint="default" w:ascii="Times New Roman" w:hAnsi="Times New Roman" w:cs="Times New Roman"/>
                <w:b/>
                <w:bCs/>
                <w:color w:val="auto"/>
                <w:sz w:val="20"/>
                <w:szCs w:val="20"/>
              </w:rPr>
              <w:t>18 mg/dL</w:t>
            </w:r>
          </w:p>
        </w:tc>
        <w:tc>
          <w:tcPr>
            <w:tcW w:w="26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713D472F">
            <w:pPr>
              <w:jc w:val="both"/>
              <w:rPr>
                <w:rFonts w:hint="default" w:ascii="Times New Roman" w:hAnsi="Times New Roman" w:cs="Times New Roman"/>
                <w:color w:val="auto"/>
                <w:sz w:val="20"/>
                <w:szCs w:val="20"/>
              </w:rPr>
            </w:pPr>
            <w:r>
              <w:rPr>
                <w:rFonts w:hint="default" w:ascii="Times New Roman" w:hAnsi="Times New Roman" w:cs="Times New Roman"/>
                <w:b/>
                <w:bCs/>
                <w:color w:val="auto"/>
                <w:sz w:val="20"/>
                <w:szCs w:val="20"/>
              </w:rPr>
              <w:t>&gt; 35 mg/dL</w:t>
            </w:r>
          </w:p>
        </w:tc>
        <w:tc>
          <w:tcPr>
            <w:tcW w:w="16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62EFE0A2">
            <w:pPr>
              <w:jc w:val="both"/>
              <w:rPr>
                <w:rFonts w:hint="default" w:ascii="Times New Roman" w:hAnsi="Times New Roman" w:cs="Times New Roman"/>
                <w:color w:val="auto"/>
                <w:sz w:val="20"/>
                <w:szCs w:val="20"/>
              </w:rPr>
            </w:pPr>
            <w:r>
              <w:rPr>
                <w:rFonts w:hint="default" w:ascii="Times New Roman" w:hAnsi="Times New Roman" w:cs="Times New Roman"/>
                <w:b/>
                <w:bCs/>
                <w:color w:val="auto"/>
                <w:sz w:val="20"/>
                <w:szCs w:val="20"/>
              </w:rPr>
              <w:t>↓ Low</w:t>
            </w:r>
          </w:p>
        </w:tc>
      </w:tr>
      <w:tr w14:paraId="021E1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 w:type="dxa"/>
            <w:bottom w:w="0" w:type="dxa"/>
            <w:right w:w="10" w:type="dxa"/>
          </w:tblCellMar>
        </w:tblPrEx>
        <w:tc>
          <w:tcPr>
            <w:tcW w:w="32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6D349DE1">
            <w:pPr>
              <w:jc w:val="both"/>
              <w:rPr>
                <w:rFonts w:hint="default" w:ascii="Times New Roman" w:hAnsi="Times New Roman" w:cs="Times New Roman"/>
                <w:color w:val="auto"/>
                <w:sz w:val="20"/>
                <w:szCs w:val="20"/>
              </w:rPr>
            </w:pPr>
            <w:r>
              <w:rPr>
                <w:rFonts w:hint="default" w:ascii="Times New Roman" w:hAnsi="Times New Roman" w:cs="Times New Roman"/>
                <w:b/>
                <w:bCs/>
                <w:color w:val="auto"/>
                <w:sz w:val="20"/>
                <w:szCs w:val="20"/>
              </w:rPr>
              <w:t>Fasting Insulin</w:t>
            </w:r>
          </w:p>
        </w:tc>
        <w:tc>
          <w:tcPr>
            <w:tcW w:w="196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301CD2D9">
            <w:pPr>
              <w:jc w:val="both"/>
              <w:rPr>
                <w:rFonts w:hint="default" w:ascii="Times New Roman" w:hAnsi="Times New Roman" w:cs="Times New Roman"/>
                <w:color w:val="auto"/>
                <w:sz w:val="20"/>
                <w:szCs w:val="20"/>
              </w:rPr>
            </w:pPr>
            <w:r>
              <w:rPr>
                <w:rFonts w:hint="default" w:ascii="Times New Roman" w:hAnsi="Times New Roman" w:cs="Times New Roman"/>
                <w:b/>
                <w:bCs/>
                <w:color w:val="auto"/>
                <w:sz w:val="20"/>
                <w:szCs w:val="20"/>
              </w:rPr>
              <w:t>42 µIU/mL</w:t>
            </w:r>
          </w:p>
        </w:tc>
        <w:tc>
          <w:tcPr>
            <w:tcW w:w="26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03A7BF5B">
            <w:pPr>
              <w:jc w:val="both"/>
              <w:rPr>
                <w:rFonts w:hint="default" w:ascii="Times New Roman" w:hAnsi="Times New Roman" w:cs="Times New Roman"/>
                <w:color w:val="auto"/>
                <w:sz w:val="20"/>
                <w:szCs w:val="20"/>
              </w:rPr>
            </w:pPr>
            <w:r>
              <w:rPr>
                <w:rFonts w:hint="default" w:ascii="Times New Roman" w:hAnsi="Times New Roman" w:cs="Times New Roman"/>
                <w:b/>
                <w:bCs/>
                <w:color w:val="auto"/>
                <w:sz w:val="20"/>
                <w:szCs w:val="20"/>
              </w:rPr>
              <w:t>2–25 µIU/mL</w:t>
            </w:r>
          </w:p>
        </w:tc>
        <w:tc>
          <w:tcPr>
            <w:tcW w:w="16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4F2B8CF3">
            <w:pPr>
              <w:jc w:val="both"/>
              <w:rPr>
                <w:rFonts w:hint="default" w:ascii="Times New Roman" w:hAnsi="Times New Roman" w:cs="Times New Roman"/>
                <w:color w:val="auto"/>
                <w:sz w:val="20"/>
                <w:szCs w:val="20"/>
              </w:rPr>
            </w:pPr>
            <w:r>
              <w:rPr>
                <w:rFonts w:hint="default" w:ascii="Times New Roman" w:hAnsi="Times New Roman" w:cs="Times New Roman"/>
                <w:b/>
                <w:bCs/>
                <w:color w:val="auto"/>
                <w:sz w:val="20"/>
                <w:szCs w:val="20"/>
              </w:rPr>
              <w:t>↑ Elevated</w:t>
            </w:r>
          </w:p>
        </w:tc>
      </w:tr>
      <w:tr w14:paraId="3A478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 w:type="dxa"/>
            <w:bottom w:w="0" w:type="dxa"/>
            <w:right w:w="10" w:type="dxa"/>
          </w:tblCellMar>
        </w:tblPrEx>
        <w:tc>
          <w:tcPr>
            <w:tcW w:w="32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09248DD1">
            <w:pPr>
              <w:jc w:val="both"/>
              <w:rPr>
                <w:rFonts w:hint="default" w:ascii="Times New Roman" w:hAnsi="Times New Roman" w:cs="Times New Roman"/>
                <w:color w:val="auto"/>
                <w:sz w:val="20"/>
                <w:szCs w:val="20"/>
              </w:rPr>
            </w:pPr>
            <w:r>
              <w:rPr>
                <w:rFonts w:hint="default" w:ascii="Times New Roman" w:hAnsi="Times New Roman" w:cs="Times New Roman"/>
                <w:b/>
                <w:bCs/>
                <w:color w:val="auto"/>
                <w:sz w:val="20"/>
                <w:szCs w:val="20"/>
              </w:rPr>
              <w:t>HOMA-IR</w:t>
            </w:r>
          </w:p>
        </w:tc>
        <w:tc>
          <w:tcPr>
            <w:tcW w:w="196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3496B554">
            <w:pPr>
              <w:jc w:val="both"/>
              <w:rPr>
                <w:rFonts w:hint="default" w:ascii="Times New Roman" w:hAnsi="Times New Roman" w:cs="Times New Roman"/>
                <w:color w:val="auto"/>
                <w:sz w:val="20"/>
                <w:szCs w:val="20"/>
              </w:rPr>
            </w:pPr>
            <w:r>
              <w:rPr>
                <w:rFonts w:hint="default" w:ascii="Times New Roman" w:hAnsi="Times New Roman" w:cs="Times New Roman"/>
                <w:b/>
                <w:bCs/>
                <w:color w:val="auto"/>
                <w:sz w:val="20"/>
                <w:szCs w:val="20"/>
              </w:rPr>
              <w:t>10.4</w:t>
            </w:r>
          </w:p>
        </w:tc>
        <w:tc>
          <w:tcPr>
            <w:tcW w:w="26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10741F31">
            <w:pPr>
              <w:jc w:val="both"/>
              <w:rPr>
                <w:rFonts w:hint="default" w:ascii="Times New Roman" w:hAnsi="Times New Roman" w:cs="Times New Roman"/>
                <w:color w:val="auto"/>
                <w:sz w:val="20"/>
                <w:szCs w:val="20"/>
              </w:rPr>
            </w:pPr>
            <w:r>
              <w:rPr>
                <w:rFonts w:hint="default" w:ascii="Times New Roman" w:hAnsi="Times New Roman" w:cs="Times New Roman"/>
                <w:b/>
                <w:bCs/>
                <w:color w:val="auto"/>
                <w:sz w:val="20"/>
                <w:szCs w:val="20"/>
              </w:rPr>
              <w:t>&lt; 2.5</w:t>
            </w:r>
          </w:p>
        </w:tc>
        <w:tc>
          <w:tcPr>
            <w:tcW w:w="16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722AA61F">
            <w:pPr>
              <w:jc w:val="both"/>
              <w:rPr>
                <w:rFonts w:hint="default" w:ascii="Times New Roman" w:hAnsi="Times New Roman" w:cs="Times New Roman"/>
                <w:color w:val="auto"/>
                <w:sz w:val="20"/>
                <w:szCs w:val="20"/>
              </w:rPr>
            </w:pPr>
            <w:r>
              <w:rPr>
                <w:rFonts w:hint="default" w:ascii="Times New Roman" w:hAnsi="Times New Roman" w:cs="Times New Roman"/>
                <w:b/>
                <w:bCs/>
                <w:color w:val="auto"/>
                <w:sz w:val="20"/>
                <w:szCs w:val="20"/>
              </w:rPr>
              <w:t>↑↑ Severe insulin resistance</w:t>
            </w:r>
          </w:p>
        </w:tc>
      </w:tr>
      <w:tr w14:paraId="22B6E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 w:type="dxa"/>
            <w:bottom w:w="0" w:type="dxa"/>
            <w:right w:w="10" w:type="dxa"/>
          </w:tblCellMar>
        </w:tblPrEx>
        <w:tc>
          <w:tcPr>
            <w:tcW w:w="32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369113F8">
            <w:pPr>
              <w:jc w:val="both"/>
              <w:rPr>
                <w:rFonts w:hint="default" w:ascii="Times New Roman" w:hAnsi="Times New Roman" w:cs="Times New Roman"/>
                <w:color w:val="auto"/>
                <w:sz w:val="20"/>
                <w:szCs w:val="20"/>
              </w:rPr>
            </w:pPr>
            <w:r>
              <w:rPr>
                <w:rFonts w:hint="default" w:ascii="Times New Roman" w:hAnsi="Times New Roman" w:cs="Times New Roman"/>
                <w:b/>
                <w:bCs/>
                <w:color w:val="auto"/>
                <w:sz w:val="20"/>
                <w:szCs w:val="20"/>
              </w:rPr>
              <w:t>Serum Leptin</w:t>
            </w:r>
          </w:p>
        </w:tc>
        <w:tc>
          <w:tcPr>
            <w:tcW w:w="196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51BDBC53">
            <w:pPr>
              <w:jc w:val="both"/>
              <w:rPr>
                <w:rFonts w:hint="default" w:ascii="Times New Roman" w:hAnsi="Times New Roman" w:cs="Times New Roman"/>
                <w:color w:val="auto"/>
                <w:sz w:val="20"/>
                <w:szCs w:val="20"/>
              </w:rPr>
            </w:pPr>
            <w:r>
              <w:rPr>
                <w:rFonts w:hint="default" w:ascii="Times New Roman" w:hAnsi="Times New Roman" w:cs="Times New Roman"/>
                <w:b/>
                <w:bCs/>
                <w:color w:val="auto"/>
                <w:sz w:val="20"/>
                <w:szCs w:val="20"/>
              </w:rPr>
              <w:t>0.4 ng/mL</w:t>
            </w:r>
          </w:p>
        </w:tc>
        <w:tc>
          <w:tcPr>
            <w:tcW w:w="26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5CE3F223">
            <w:pPr>
              <w:jc w:val="both"/>
              <w:rPr>
                <w:rFonts w:hint="default" w:ascii="Times New Roman" w:hAnsi="Times New Roman" w:cs="Times New Roman"/>
                <w:color w:val="auto"/>
                <w:sz w:val="20"/>
                <w:szCs w:val="20"/>
              </w:rPr>
            </w:pPr>
            <w:r>
              <w:rPr>
                <w:rFonts w:hint="default" w:ascii="Times New Roman" w:hAnsi="Times New Roman" w:cs="Times New Roman"/>
                <w:b/>
                <w:bCs/>
                <w:color w:val="auto"/>
                <w:sz w:val="20"/>
                <w:szCs w:val="20"/>
              </w:rPr>
              <w:t>2–15 ng/mL</w:t>
            </w:r>
          </w:p>
        </w:tc>
        <w:tc>
          <w:tcPr>
            <w:tcW w:w="16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0B6ECDA1">
            <w:pPr>
              <w:jc w:val="both"/>
              <w:rPr>
                <w:rFonts w:hint="default" w:ascii="Times New Roman" w:hAnsi="Times New Roman" w:cs="Times New Roman"/>
                <w:color w:val="auto"/>
                <w:sz w:val="20"/>
                <w:szCs w:val="20"/>
              </w:rPr>
            </w:pPr>
            <w:r>
              <w:rPr>
                <w:rFonts w:hint="default" w:ascii="Times New Roman" w:hAnsi="Times New Roman" w:cs="Times New Roman"/>
                <w:b/>
                <w:bCs/>
                <w:color w:val="auto"/>
                <w:sz w:val="20"/>
                <w:szCs w:val="20"/>
              </w:rPr>
              <w:t>↓↓ Critically low</w:t>
            </w:r>
          </w:p>
        </w:tc>
      </w:tr>
      <w:tr w14:paraId="6BBCE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 w:type="dxa"/>
            <w:bottom w:w="0" w:type="dxa"/>
            <w:right w:w="10" w:type="dxa"/>
          </w:tblCellMar>
        </w:tblPrEx>
        <w:tc>
          <w:tcPr>
            <w:tcW w:w="9360" w:type="dxa"/>
            <w:gridSpan w:val="4"/>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4CC55396">
            <w:pPr>
              <w:jc w:val="both"/>
              <w:rPr>
                <w:rFonts w:hint="default" w:ascii="Times New Roman" w:hAnsi="Times New Roman" w:cs="Times New Roman"/>
                <w:color w:val="auto"/>
                <w:sz w:val="20"/>
                <w:szCs w:val="20"/>
              </w:rPr>
            </w:pPr>
            <w:r>
              <w:rPr>
                <w:rFonts w:hint="default" w:ascii="Times New Roman" w:hAnsi="Times New Roman" w:cs="Times New Roman"/>
                <w:b/>
                <w:bCs/>
                <w:color w:val="auto"/>
                <w:sz w:val="20"/>
                <w:szCs w:val="20"/>
              </w:rPr>
              <w:t>MUSCLE ENZYMES</w:t>
            </w:r>
          </w:p>
        </w:tc>
      </w:tr>
      <w:tr w14:paraId="4C30F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 w:type="dxa"/>
            <w:bottom w:w="0" w:type="dxa"/>
            <w:right w:w="10" w:type="dxa"/>
          </w:tblCellMar>
        </w:tblPrEx>
        <w:tc>
          <w:tcPr>
            <w:tcW w:w="32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0B06D443">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Creatine Phosphokinase</w:t>
            </w:r>
          </w:p>
        </w:tc>
        <w:tc>
          <w:tcPr>
            <w:tcW w:w="196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5AAA1AB6">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103 U/L</w:t>
            </w:r>
          </w:p>
        </w:tc>
        <w:tc>
          <w:tcPr>
            <w:tcW w:w="26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3E0DB330">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30–200 U/L</w:t>
            </w:r>
          </w:p>
        </w:tc>
        <w:tc>
          <w:tcPr>
            <w:tcW w:w="16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0E0C0A64">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Normal</w:t>
            </w:r>
          </w:p>
        </w:tc>
      </w:tr>
      <w:tr w14:paraId="44422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 w:type="dxa"/>
            <w:bottom w:w="0" w:type="dxa"/>
            <w:right w:w="10" w:type="dxa"/>
          </w:tblCellMar>
        </w:tblPrEx>
        <w:tc>
          <w:tcPr>
            <w:tcW w:w="9360" w:type="dxa"/>
            <w:gridSpan w:val="4"/>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34A33CB3">
            <w:pPr>
              <w:jc w:val="both"/>
              <w:rPr>
                <w:rFonts w:hint="default" w:ascii="Times New Roman" w:hAnsi="Times New Roman" w:cs="Times New Roman"/>
                <w:color w:val="auto"/>
                <w:sz w:val="20"/>
                <w:szCs w:val="20"/>
              </w:rPr>
            </w:pPr>
            <w:r>
              <w:rPr>
                <w:rFonts w:hint="default" w:ascii="Times New Roman" w:hAnsi="Times New Roman" w:cs="Times New Roman"/>
                <w:b/>
                <w:bCs/>
                <w:color w:val="auto"/>
                <w:sz w:val="20"/>
                <w:szCs w:val="20"/>
              </w:rPr>
              <w:t>INFECTIOUS / SEROLOGICAL</w:t>
            </w:r>
          </w:p>
        </w:tc>
      </w:tr>
      <w:tr w14:paraId="569FE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 w:type="dxa"/>
            <w:bottom w:w="0" w:type="dxa"/>
            <w:right w:w="10" w:type="dxa"/>
          </w:tblCellMar>
        </w:tblPrEx>
        <w:tc>
          <w:tcPr>
            <w:tcW w:w="32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7CBADBC1">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Anti-tTG IgA</w:t>
            </w:r>
          </w:p>
        </w:tc>
        <w:tc>
          <w:tcPr>
            <w:tcW w:w="196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7E538B55">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Non-reactive</w:t>
            </w:r>
          </w:p>
        </w:tc>
        <w:tc>
          <w:tcPr>
            <w:tcW w:w="26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7A8AD5C8">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Negative</w:t>
            </w:r>
          </w:p>
        </w:tc>
        <w:tc>
          <w:tcPr>
            <w:tcW w:w="16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7436CFDE">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Normal</w:t>
            </w:r>
          </w:p>
        </w:tc>
      </w:tr>
      <w:tr w14:paraId="770F8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 w:type="dxa"/>
            <w:bottom w:w="0" w:type="dxa"/>
            <w:right w:w="10" w:type="dxa"/>
          </w:tblCellMar>
        </w:tblPrEx>
        <w:tc>
          <w:tcPr>
            <w:tcW w:w="32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614F75DC">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Hepatitis B sAg</w:t>
            </w:r>
          </w:p>
        </w:tc>
        <w:tc>
          <w:tcPr>
            <w:tcW w:w="196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6C1AD7E5">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Non-reactive</w:t>
            </w:r>
          </w:p>
        </w:tc>
        <w:tc>
          <w:tcPr>
            <w:tcW w:w="26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0D082A17">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Negative</w:t>
            </w:r>
          </w:p>
        </w:tc>
        <w:tc>
          <w:tcPr>
            <w:tcW w:w="16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4848B8DE">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Normal</w:t>
            </w:r>
          </w:p>
        </w:tc>
      </w:tr>
      <w:tr w14:paraId="07739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 w:type="dxa"/>
            <w:bottom w:w="0" w:type="dxa"/>
            <w:right w:w="10" w:type="dxa"/>
          </w:tblCellMar>
        </w:tblPrEx>
        <w:tc>
          <w:tcPr>
            <w:tcW w:w="32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248A45D7">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Anti-HCV</w:t>
            </w:r>
          </w:p>
        </w:tc>
        <w:tc>
          <w:tcPr>
            <w:tcW w:w="196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61A045DA">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Non-reactive</w:t>
            </w:r>
          </w:p>
        </w:tc>
        <w:tc>
          <w:tcPr>
            <w:tcW w:w="26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1920D114">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Negative</w:t>
            </w:r>
          </w:p>
        </w:tc>
        <w:tc>
          <w:tcPr>
            <w:tcW w:w="16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534DD040">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Normal</w:t>
            </w:r>
          </w:p>
        </w:tc>
      </w:tr>
      <w:tr w14:paraId="08AFB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 w:type="dxa"/>
            <w:bottom w:w="0" w:type="dxa"/>
            <w:right w:w="10" w:type="dxa"/>
          </w:tblCellMar>
        </w:tblPrEx>
        <w:tc>
          <w:tcPr>
            <w:tcW w:w="32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4F50DF58">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HIV Ag/Ab</w:t>
            </w:r>
          </w:p>
        </w:tc>
        <w:tc>
          <w:tcPr>
            <w:tcW w:w="196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0271C995">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Negative</w:t>
            </w:r>
          </w:p>
        </w:tc>
        <w:tc>
          <w:tcPr>
            <w:tcW w:w="26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1E3680A5">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Negative</w:t>
            </w:r>
          </w:p>
        </w:tc>
        <w:tc>
          <w:tcPr>
            <w:tcW w:w="1600" w:type="dxa"/>
            <w:tcBorders>
              <w:top w:val="single" w:color="AAAAAA" w:sz="4" w:space="0"/>
              <w:left w:val="single" w:color="AAAAAA" w:sz="4" w:space="0"/>
              <w:bottom w:val="single" w:color="AAAAAA" w:sz="4" w:space="0"/>
              <w:right w:val="single" w:color="AAAAAA" w:sz="4" w:space="0"/>
            </w:tcBorders>
            <w:shd w:val="clear" w:color="auto" w:fill="FFFFFF" w:themeFill="background1"/>
            <w:tcMar>
              <w:top w:w="60" w:type="dxa"/>
              <w:left w:w="100" w:type="dxa"/>
              <w:bottom w:w="60" w:type="dxa"/>
              <w:right w:w="100" w:type="dxa"/>
            </w:tcMar>
          </w:tcPr>
          <w:p w14:paraId="75C69B39">
            <w:pPr>
              <w:jc w:val="both"/>
              <w:rPr>
                <w:rFonts w:hint="default" w:ascii="Times New Roman" w:hAnsi="Times New Roman" w:cs="Times New Roman"/>
                <w:color w:val="auto"/>
                <w:sz w:val="20"/>
                <w:szCs w:val="20"/>
              </w:rPr>
            </w:pPr>
            <w:r>
              <w:rPr>
                <w:rFonts w:hint="default" w:ascii="Times New Roman" w:hAnsi="Times New Roman" w:cs="Times New Roman"/>
                <w:color w:val="auto"/>
                <w:sz w:val="20"/>
                <w:szCs w:val="20"/>
              </w:rPr>
              <w:t>Normal</w:t>
            </w:r>
          </w:p>
        </w:tc>
      </w:tr>
    </w:tbl>
    <w:p w14:paraId="222B499B"/>
    <w:sectPr>
      <w:pgSz w:w="11906" w:h="16838"/>
      <w:pgMar w:top="1440" w:right="1440" w:bottom="1440" w:left="1440" w:header="708" w:footer="708"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egoe UI Symbol">
    <w:panose1 w:val="020B0502040204020203"/>
    <w:charset w:val="00"/>
    <w:family w:val="swiss"/>
    <w:pitch w:val="default"/>
    <w:sig w:usb0="800001E3" w:usb1="1200FFEF" w:usb2="00040000" w:usb3="04000000" w:csb0="00000001" w:csb1="40000000"/>
  </w:font>
  <w:font w:name="Arial">
    <w:panose1 w:val="020B0604020202020204"/>
    <w:charset w:val="86"/>
    <w:family w:val="swiss"/>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5DD"/>
    <w:rsid w:val="001735DD"/>
    <w:rsid w:val="004F41F9"/>
    <w:rsid w:val="00845A41"/>
    <w:rsid w:val="09E81BCC"/>
    <w:rsid w:val="76DB30C6"/>
    <w:rsid w:val="7E2E6A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135</Words>
  <Characters>899</Characters>
  <Lines>7</Lines>
  <Paragraphs>2</Paragraphs>
  <TotalTime>0</TotalTime>
  <ScaleCrop>false</ScaleCrop>
  <LinksUpToDate>false</LinksUpToDate>
  <CharactersWithSpaces>1014</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2026-04-26T11:14:00Z</dcterms:created>
  <dc:creator>abbzhuhrfuaheufaif weufiewhfuefhuewa</dc:creator>
  <cp:lastModifiedBy>hp</cp:lastModifiedBy>
  <dcterms:modified xsi:type="dcterms:W3CDTF">2026-06-14T09:27:09Z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EE186C4981ED4DADAACF8861D12C8093_13</vt:lpwstr>
  </property>
  <property fmtid="{D5CDD505-2E9C-101B-9397-08002B2CF9AE}" pid="4" name="KSOTemplateDocerSaveRecord">
    <vt:lpwstr>eyJoZGlkIjoiOTQ4NDFhMWFlNDZjZWRiZjI1YTg4ZmI0YTE5NDFhOTkifQ==</vt:lpwstr>
  </property>
</Properties>
</file>