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sz w:val="22"/>
        </w:rPr>
        <w:t>Supplementary Table S2. Endpoint-homogeneous sensitivity analyses for early mortality.</w:t>
      </w:r>
    </w:p>
    <w:p>
      <w:r>
        <w:rPr>
          <w:sz w:val="18"/>
        </w:rPr>
        <w:t>The primary mixed-definition analysis is retained as a descriptive early-mortality benchmark. Endpoint-specific analyses are underpowered and should not be interpreted as proving equivalence among operative, in-hospital, and 30-day endpoints.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</w:tblPr>
      <w:tblGrid>
        <w:gridCol w:w="1624"/>
        <w:gridCol w:w="1624"/>
        <w:gridCol w:w="1624"/>
        <w:gridCol w:w="1624"/>
        <w:gridCol w:w="1624"/>
        <w:gridCol w:w="1624"/>
      </w:tblGrid>
      <w:tr>
        <w:trPr>
          <w:tblHeader w:val="true"/>
        </w:trPr>
        <w:tc>
          <w:tcPr>
            <w:tcW w:type="dxa" w:w="3024"/>
            <w:shd w:fill="D9EAF7"/>
            <w:vAlign w:val="center"/>
          </w:tcPr>
          <w:p>
            <w:r>
              <w:rPr>
                <w:b/>
                <w:color w:val="FF0000"/>
                <w:sz w:val="17"/>
              </w:rPr>
              <w:t>Analysis</w:t>
            </w:r>
          </w:p>
        </w:tc>
        <w:tc>
          <w:tcPr>
            <w:tcW w:type="dxa" w:w="1152"/>
            <w:shd w:fill="D9EAF7"/>
            <w:vAlign w:val="center"/>
          </w:tcPr>
          <w:p>
            <w:r>
              <w:rPr>
                <w:b/>
                <w:color w:val="FF0000"/>
                <w:sz w:val="17"/>
              </w:rPr>
              <w:t>k (N)</w:t>
            </w:r>
          </w:p>
        </w:tc>
        <w:tc>
          <w:tcPr>
            <w:tcW w:type="dxa" w:w="1008"/>
            <w:shd w:fill="D9EAF7"/>
            <w:vAlign w:val="center"/>
          </w:tcPr>
          <w:p>
            <w:r>
              <w:rPr>
                <w:b/>
                <w:color w:val="FF0000"/>
                <w:sz w:val="17"/>
              </w:rPr>
              <w:t>Events</w:t>
            </w:r>
          </w:p>
        </w:tc>
        <w:tc>
          <w:tcPr>
            <w:tcW w:type="dxa" w:w="2016"/>
            <w:shd w:fill="D9EAF7"/>
            <w:vAlign w:val="center"/>
          </w:tcPr>
          <w:p>
            <w:r>
              <w:rPr>
                <w:b/>
                <w:color w:val="FF0000"/>
                <w:sz w:val="17"/>
              </w:rPr>
              <w:t>Pooled % (95% CI)</w:t>
            </w:r>
          </w:p>
        </w:tc>
        <w:tc>
          <w:tcPr>
            <w:tcW w:type="dxa" w:w="2304"/>
            <w:shd w:fill="D9EAF7"/>
            <w:vAlign w:val="center"/>
          </w:tcPr>
          <w:p>
            <w:r>
              <w:rPr>
                <w:b/>
                <w:color w:val="FF0000"/>
                <w:sz w:val="17"/>
              </w:rPr>
              <w:t>95% prediction interval</w:t>
            </w:r>
          </w:p>
        </w:tc>
        <w:tc>
          <w:tcPr>
            <w:tcW w:type="dxa" w:w="1008"/>
            <w:shd w:fill="D9EAF7"/>
            <w:vAlign w:val="center"/>
          </w:tcPr>
          <w:p>
            <w:r>
              <w:rPr>
                <w:b/>
                <w:color w:val="FF0000"/>
                <w:sz w:val="17"/>
              </w:rPr>
              <w:t>I2</w:t>
            </w:r>
          </w:p>
        </w:tc>
      </w:tr>
      <w:tr>
        <w:tc>
          <w:tcPr>
            <w:tcW w:type="dxa" w:w="3024"/>
            <w:vAlign w:val="top"/>
          </w:tcPr>
          <w:p>
            <w:r>
              <w:rPr>
                <w:color w:val="FF0000"/>
                <w:sz w:val="17"/>
              </w:rPr>
              <w:t>Primary mixed early-mortality endpoint</w:t>
            </w:r>
          </w:p>
        </w:tc>
        <w:tc>
          <w:tcPr>
            <w:tcW w:type="dxa" w:w="1152"/>
            <w:vAlign w:val="top"/>
          </w:tcPr>
          <w:p>
            <w:r>
              <w:rPr>
                <w:color w:val="FF0000"/>
                <w:sz w:val="17"/>
              </w:rPr>
              <w:t>8 (951)</w:t>
            </w:r>
          </w:p>
        </w:tc>
        <w:tc>
          <w:tcPr>
            <w:tcW w:type="dxa" w:w="1008"/>
            <w:vAlign w:val="top"/>
          </w:tcPr>
          <w:p>
            <w:r>
              <w:rPr>
                <w:color w:val="FF0000"/>
                <w:sz w:val="17"/>
              </w:rPr>
              <w:t>111</w:t>
            </w:r>
          </w:p>
        </w:tc>
        <w:tc>
          <w:tcPr>
            <w:tcW w:type="dxa" w:w="2016"/>
            <w:vAlign w:val="top"/>
          </w:tcPr>
          <w:p>
            <w:r>
              <w:rPr>
                <w:color w:val="FF0000"/>
                <w:sz w:val="17"/>
              </w:rPr>
              <w:t>11.7 (8.4-16.0)</w:t>
            </w:r>
          </w:p>
        </w:tc>
        <w:tc>
          <w:tcPr>
            <w:tcW w:type="dxa" w:w="2304"/>
            <w:vAlign w:val="top"/>
          </w:tcPr>
          <w:p>
            <w:r>
              <w:rPr>
                <w:color w:val="FF0000"/>
                <w:sz w:val="17"/>
              </w:rPr>
              <w:t>5.5-23.1</w:t>
            </w:r>
          </w:p>
        </w:tc>
        <w:tc>
          <w:tcPr>
            <w:tcW w:type="dxa" w:w="1008"/>
            <w:vAlign w:val="top"/>
          </w:tcPr>
          <w:p>
            <w:r>
              <w:rPr>
                <w:color w:val="FF0000"/>
                <w:sz w:val="17"/>
              </w:rPr>
              <w:t>39.2%</w:t>
            </w:r>
          </w:p>
        </w:tc>
      </w:tr>
      <w:tr>
        <w:tc>
          <w:tcPr>
            <w:tcW w:type="dxa" w:w="3024"/>
            <w:vAlign w:val="top"/>
          </w:tcPr>
          <w:p>
            <w:r>
              <w:rPr>
                <w:color w:val="FF0000"/>
                <w:sz w:val="17"/>
              </w:rPr>
              <w:t>Operative mortality only</w:t>
            </w:r>
          </w:p>
        </w:tc>
        <w:tc>
          <w:tcPr>
            <w:tcW w:type="dxa" w:w="1152"/>
            <w:vAlign w:val="top"/>
          </w:tcPr>
          <w:p>
            <w:r>
              <w:rPr>
                <w:color w:val="FF0000"/>
                <w:sz w:val="17"/>
              </w:rPr>
              <w:t>2 (504)</w:t>
            </w:r>
          </w:p>
        </w:tc>
        <w:tc>
          <w:tcPr>
            <w:tcW w:type="dxa" w:w="1008"/>
            <w:vAlign w:val="top"/>
          </w:tcPr>
          <w:p>
            <w:r>
              <w:rPr>
                <w:color w:val="FF0000"/>
                <w:sz w:val="17"/>
              </w:rPr>
              <w:t>51</w:t>
            </w:r>
          </w:p>
        </w:tc>
        <w:tc>
          <w:tcPr>
            <w:tcW w:type="dxa" w:w="2016"/>
            <w:vAlign w:val="top"/>
          </w:tcPr>
          <w:p>
            <w:r>
              <w:rPr>
                <w:color w:val="FF0000"/>
                <w:sz w:val="17"/>
              </w:rPr>
              <w:t>9.5 (5.6-15.7)</w:t>
            </w:r>
          </w:p>
        </w:tc>
        <w:tc>
          <w:tcPr>
            <w:tcW w:type="dxa" w:w="2304"/>
            <w:vAlign w:val="top"/>
          </w:tcPr>
          <w:p>
            <w:r>
              <w:rPr>
                <w:color w:val="FF0000"/>
                <w:sz w:val="17"/>
              </w:rPr>
              <w:t>Not estimable with k=2</w:t>
            </w:r>
          </w:p>
        </w:tc>
        <w:tc>
          <w:tcPr>
            <w:tcW w:type="dxa" w:w="1008"/>
            <w:vAlign w:val="top"/>
          </w:tcPr>
          <w:p>
            <w:r>
              <w:rPr>
                <w:color w:val="FF0000"/>
                <w:sz w:val="17"/>
              </w:rPr>
              <w:t>21.6%</w:t>
            </w:r>
          </w:p>
        </w:tc>
      </w:tr>
      <w:tr>
        <w:tc>
          <w:tcPr>
            <w:tcW w:type="dxa" w:w="3024"/>
            <w:vAlign w:val="top"/>
          </w:tcPr>
          <w:p>
            <w:r>
              <w:rPr>
                <w:color w:val="FF0000"/>
                <w:sz w:val="17"/>
              </w:rPr>
              <w:t>In-hospital mortality only</w:t>
            </w:r>
          </w:p>
        </w:tc>
        <w:tc>
          <w:tcPr>
            <w:tcW w:type="dxa" w:w="1152"/>
            <w:vAlign w:val="top"/>
          </w:tcPr>
          <w:p>
            <w:r>
              <w:rPr>
                <w:color w:val="FF0000"/>
                <w:sz w:val="17"/>
              </w:rPr>
              <w:t>5 (422)</w:t>
            </w:r>
          </w:p>
        </w:tc>
        <w:tc>
          <w:tcPr>
            <w:tcW w:type="dxa" w:w="1008"/>
            <w:vAlign w:val="top"/>
          </w:tcPr>
          <w:p>
            <w:r>
              <w:rPr>
                <w:color w:val="FF0000"/>
                <w:sz w:val="17"/>
              </w:rPr>
              <w:t>56</w:t>
            </w:r>
          </w:p>
        </w:tc>
        <w:tc>
          <w:tcPr>
            <w:tcW w:type="dxa" w:w="2016"/>
            <w:vAlign w:val="top"/>
          </w:tcPr>
          <w:p>
            <w:r>
              <w:rPr>
                <w:color w:val="FF0000"/>
                <w:sz w:val="17"/>
              </w:rPr>
              <w:t>11.9 (6.2-21.7)</w:t>
            </w:r>
          </w:p>
        </w:tc>
        <w:tc>
          <w:tcPr>
            <w:tcW w:type="dxa" w:w="2304"/>
            <w:vAlign w:val="top"/>
          </w:tcPr>
          <w:p>
            <w:r>
              <w:rPr>
                <w:color w:val="FF0000"/>
                <w:sz w:val="17"/>
              </w:rPr>
              <w:t>1.8-49.5</w:t>
            </w:r>
          </w:p>
        </w:tc>
        <w:tc>
          <w:tcPr>
            <w:tcW w:type="dxa" w:w="1008"/>
            <w:vAlign w:val="top"/>
          </w:tcPr>
          <w:p>
            <w:r>
              <w:rPr>
                <w:color w:val="FF0000"/>
                <w:sz w:val="17"/>
              </w:rPr>
              <w:t>39.3%</w:t>
            </w:r>
          </w:p>
        </w:tc>
      </w:tr>
      <w:tr>
        <w:tc>
          <w:tcPr>
            <w:tcW w:type="dxa" w:w="3024"/>
            <w:vAlign w:val="top"/>
          </w:tcPr>
          <w:p>
            <w:r>
              <w:rPr>
                <w:color w:val="FF0000"/>
                <w:sz w:val="17"/>
              </w:rPr>
              <w:t>30-day mortality only</w:t>
            </w:r>
          </w:p>
        </w:tc>
        <w:tc>
          <w:tcPr>
            <w:tcW w:type="dxa" w:w="1152"/>
            <w:vAlign w:val="top"/>
          </w:tcPr>
          <w:p>
            <w:r>
              <w:rPr>
                <w:color w:val="FF0000"/>
                <w:sz w:val="17"/>
              </w:rPr>
              <w:t>3 (382)</w:t>
            </w:r>
          </w:p>
        </w:tc>
        <w:tc>
          <w:tcPr>
            <w:tcW w:type="dxa" w:w="1008"/>
            <w:vAlign w:val="top"/>
          </w:tcPr>
          <w:p>
            <w:r>
              <w:rPr>
                <w:color w:val="FF0000"/>
                <w:sz w:val="17"/>
              </w:rPr>
              <w:t>59</w:t>
            </w:r>
          </w:p>
        </w:tc>
        <w:tc>
          <w:tcPr>
            <w:tcW w:type="dxa" w:w="2016"/>
            <w:vAlign w:val="top"/>
          </w:tcPr>
          <w:p>
            <w:r>
              <w:rPr>
                <w:color w:val="FF0000"/>
                <w:sz w:val="17"/>
              </w:rPr>
              <w:t>15.3 (9.4-23.9)</w:t>
            </w:r>
          </w:p>
        </w:tc>
        <w:tc>
          <w:tcPr>
            <w:tcW w:type="dxa" w:w="2304"/>
            <w:vAlign w:val="top"/>
          </w:tcPr>
          <w:p>
            <w:r>
              <w:rPr>
                <w:color w:val="FF0000"/>
                <w:sz w:val="17"/>
              </w:rPr>
              <w:t>Very imprecise with k=3</w:t>
            </w:r>
          </w:p>
        </w:tc>
        <w:tc>
          <w:tcPr>
            <w:tcW w:type="dxa" w:w="1008"/>
            <w:vAlign w:val="top"/>
          </w:tcPr>
          <w:p>
            <w:r>
              <w:rPr>
                <w:color w:val="FF0000"/>
                <w:sz w:val="17"/>
              </w:rPr>
              <w:t>23.1%</w:t>
            </w:r>
          </w:p>
        </w:tc>
      </w:tr>
    </w:tbl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