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2"/>
        </w:rPr>
        <w:t>Supplementary Table S3. GRADE certainty-of-evidence assessment.</w:t>
      </w:r>
    </w:p>
    <w:p>
      <w:r>
        <w:rPr>
          <w:sz w:val="18"/>
        </w:rPr>
        <w:t>GRADE certainty was rated very low for both outcomes because the evidence base is retrospective, non-randomized, unadjusted, and clinically heterogeneous.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083"/>
        <w:gridCol w:w="1083"/>
        <w:gridCol w:w="1083"/>
        <w:gridCol w:w="1083"/>
        <w:gridCol w:w="1083"/>
        <w:gridCol w:w="1083"/>
        <w:gridCol w:w="1083"/>
        <w:gridCol w:w="1083"/>
        <w:gridCol w:w="1083"/>
      </w:tblGrid>
      <w:tr>
        <w:trPr>
          <w:tblHeader w:val="true"/>
        </w:trPr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Outcome</w:t>
            </w:r>
          </w:p>
        </w:tc>
        <w:tc>
          <w:tcPr>
            <w:tcW w:type="dxa" w:w="1584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Evidence base</w:t>
            </w:r>
          </w:p>
        </w:tc>
        <w:tc>
          <w:tcPr>
            <w:tcW w:type="dxa" w:w="1728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Risk of bias</w:t>
            </w:r>
          </w:p>
        </w:tc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Inconsistency</w:t>
            </w:r>
          </w:p>
        </w:tc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Indirectness</w:t>
            </w:r>
          </w:p>
        </w:tc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Imprecision</w:t>
            </w:r>
          </w:p>
        </w:tc>
        <w:tc>
          <w:tcPr>
            <w:tcW w:type="dxa" w:w="1440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Publication bias</w:t>
            </w:r>
          </w:p>
        </w:tc>
        <w:tc>
          <w:tcPr>
            <w:tcW w:type="dxa" w:w="1152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Certainty</w:t>
            </w:r>
          </w:p>
        </w:tc>
        <w:tc>
          <w:tcPr>
            <w:tcW w:type="dxa" w:w="2016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Interpretation</w:t>
            </w:r>
          </w:p>
        </w:tc>
      </w:tr>
      <w:tr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Early mortality</w:t>
            </w:r>
          </w:p>
        </w:tc>
        <w:tc>
          <w:tcPr>
            <w:tcW w:type="dxa" w:w="1584"/>
            <w:vAlign w:val="top"/>
          </w:tcPr>
          <w:p>
            <w:r>
              <w:rPr>
                <w:color w:val="FF0000"/>
                <w:sz w:val="17"/>
              </w:rPr>
              <w:t>8 retrospective cohorts/registries; 951 patients</w:t>
            </w:r>
          </w:p>
        </w:tc>
        <w:tc>
          <w:tcPr>
            <w:tcW w:type="dxa" w:w="1728"/>
            <w:vAlign w:val="top"/>
          </w:tcPr>
          <w:p>
            <w:r>
              <w:rPr>
                <w:color w:val="FF0000"/>
                <w:sz w:val="17"/>
              </w:rPr>
              <w:t>Very serious: all data retrospective, non-randomized, high risk of selection bias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Serious: endpoint definitions mixed; PI 5.5-23.1%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Serious: no patient-level adjustment; variable acuity and centers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Not serious for pooled CI, but PI remains clinically wide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Undetected/uncertain; formal tests underpowered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Very low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The pooled estimate is a crude descriptive benchmark, not an individual risk-prediction tool</w:t>
            </w:r>
          </w:p>
        </w:tc>
      </w:tr>
      <w:tr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Repair feasibility</w:t>
            </w:r>
          </w:p>
        </w:tc>
        <w:tc>
          <w:tcPr>
            <w:tcW w:type="dxa" w:w="1584"/>
            <w:vAlign w:val="top"/>
          </w:tcPr>
          <w:p>
            <w:r>
              <w:rPr>
                <w:color w:val="FF0000"/>
                <w:sz w:val="17"/>
              </w:rPr>
              <w:t>8 retrospective cohorts/registries; 951 patients</w:t>
            </w:r>
          </w:p>
        </w:tc>
        <w:tc>
          <w:tcPr>
            <w:tcW w:type="dxa" w:w="1728"/>
            <w:vAlign w:val="top"/>
          </w:tcPr>
          <w:p>
            <w:r>
              <w:rPr>
                <w:color w:val="FF0000"/>
                <w:sz w:val="17"/>
              </w:rPr>
              <w:t>Very serious: selection for repair is highly non-random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Very serious: I2 85.1%; PI 1.1-64.4%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Serious: anatomy, mechanism of failure, clip burden, and expertise inconsistently reported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Serious: only 70 repairs overall and sparse zero-event cohorts</w:t>
            </w:r>
          </w:p>
        </w:tc>
        <w:tc>
          <w:tcPr>
            <w:tcW w:type="dxa" w:w="1440"/>
            <w:vAlign w:val="top"/>
          </w:tcPr>
          <w:p>
            <w:r>
              <w:rPr>
                <w:color w:val="FF0000"/>
                <w:sz w:val="17"/>
              </w:rPr>
              <w:t>Undetected/uncertain; asymmetry may reflect center selection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Very low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Repair feasibility should be interpreted narratively and locally, not as a generalizable probability</w:t>
            </w:r>
          </w:p>
        </w:tc>
      </w:tr>
    </w:tbl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