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Supplementary Table S4. Alternative model robustness analyses.</w:t>
      </w:r>
    </w:p>
    <w:p>
      <w:r>
        <w:rPr>
          <w:sz w:val="18"/>
        </w:rPr>
        <w:t>Alternative models are presented as robustness checks for small-k proportion meta-analysis. They do not remove the fundamental limitations of retrospective aggregate data.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2436"/>
        <w:gridCol w:w="2436"/>
        <w:gridCol w:w="2436"/>
        <w:gridCol w:w="2436"/>
      </w:tblGrid>
      <w:tr>
        <w:trPr>
          <w:tblHeader w:val="true"/>
        </w:trPr>
        <w:tc>
          <w:tcPr>
            <w:tcW w:type="dxa" w:w="172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Outcome</w:t>
            </w:r>
          </w:p>
        </w:tc>
        <w:tc>
          <w:tcPr>
            <w:tcW w:type="dxa" w:w="331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Model</w:t>
            </w:r>
          </w:p>
        </w:tc>
        <w:tc>
          <w:tcPr>
            <w:tcW w:type="dxa" w:w="230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Pooled estimate % (95% CI)</w:t>
            </w:r>
          </w:p>
        </w:tc>
        <w:tc>
          <w:tcPr>
            <w:tcW w:type="dxa" w:w="360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Interpretation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Primary random-effects logit/DL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11.7 (8.4-16.0)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Reference analysis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Hartung-Knapp/Sidik-Jonkman small-k adjustment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11.7 (7.7-17.4)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Wider CI, same interpretation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Logit-normal GLMM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10.8 (7.5-15.4)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Consistent point estimate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Beta-binomial model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10.9 (7.7-15.3)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Consistent point estimate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Primary random-effects logit/DL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12.5 (6.1-24.1)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Reference analysis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Hartung-Knapp/Sidik-Jonkman small-k adjustment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12.5 (4.6-30.0)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Wider CI, persistent uncertainty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Logit-normal GLMM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11.2 (7.6-16.0)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Consistent low average repair frequency; heterogeneity remains high</w:t>
            </w:r>
          </w:p>
        </w:tc>
      </w:tr>
      <w:tr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3312"/>
            <w:vAlign w:val="top"/>
          </w:tcPr>
          <w:p>
            <w:r>
              <w:rPr>
                <w:color w:val="FF0000"/>
                <w:sz w:val="17"/>
              </w:rPr>
              <w:t>Beta-binomial model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14.6 (6.6-29.4)</w:t>
            </w:r>
          </w:p>
        </w:tc>
        <w:tc>
          <w:tcPr>
            <w:tcW w:type="dxa" w:w="3600"/>
            <w:vAlign w:val="top"/>
          </w:tcPr>
          <w:p>
            <w:r>
              <w:rPr>
                <w:color w:val="FF0000"/>
                <w:sz w:val="17"/>
              </w:rPr>
              <w:t>Consistent with broad uncertainty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