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2"/>
        </w:rPr>
        <w:t>Supplementary Table S5. Cohort-level covariate availability relevant to heterogeneity.</w:t>
      </w:r>
    </w:p>
    <w:p>
      <w:r>
        <w:rPr>
          <w:sz w:val="18"/>
        </w:rPr>
        <w:t>This table summarizes availability and extractability of covariates rather than adjusted effects. NR indicates not reported or not extractable in a harmonized form from aggregate publications.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886"/>
        <w:gridCol w:w="886"/>
        <w:gridCol w:w="886"/>
        <w:gridCol w:w="886"/>
        <w:gridCol w:w="886"/>
        <w:gridCol w:w="886"/>
        <w:gridCol w:w="886"/>
        <w:gridCol w:w="886"/>
        <w:gridCol w:w="886"/>
        <w:gridCol w:w="886"/>
        <w:gridCol w:w="886"/>
      </w:tblGrid>
      <w:tr>
        <w:trPr>
          <w:tblHeader w:val="true"/>
        </w:trPr>
        <w:tc>
          <w:tcPr>
            <w:tcW w:type="dxa" w:w="1440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Study</w:t>
            </w:r>
          </w:p>
        </w:tc>
        <w:tc>
          <w:tcPr>
            <w:tcW w:type="dxa" w:w="648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N</w:t>
            </w:r>
          </w:p>
        </w:tc>
        <w:tc>
          <w:tcPr>
            <w:tcW w:type="dxa" w:w="1440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Design</w:t>
            </w:r>
          </w:p>
        </w:tc>
        <w:tc>
          <w:tcPr>
            <w:tcW w:type="dxa" w:w="1224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Age</w:t>
            </w:r>
          </w:p>
        </w:tc>
        <w:tc>
          <w:tcPr>
            <w:tcW w:type="dxa" w:w="1080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LVEF</w:t>
            </w:r>
          </w:p>
        </w:tc>
        <w:tc>
          <w:tcPr>
            <w:tcW w:type="dxa" w:w="1152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Risk score</w:t>
            </w:r>
          </w:p>
        </w:tc>
        <w:tc>
          <w:tcPr>
            <w:tcW w:type="dxa" w:w="1440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Time TEER-surgery</w:t>
            </w:r>
          </w:p>
        </w:tc>
        <w:tc>
          <w:tcPr>
            <w:tcW w:type="dxa" w:w="1440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Clips / device burden</w:t>
            </w:r>
          </w:p>
        </w:tc>
        <w:tc>
          <w:tcPr>
            <w:tcW w:type="dxa" w:w="1440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Endocarditis / urgency</w:t>
            </w:r>
          </w:p>
        </w:tc>
        <w:tc>
          <w:tcPr>
            <w:tcW w:type="dxa" w:w="1440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Center profile</w:t>
            </w:r>
          </w:p>
        </w:tc>
        <w:tc>
          <w:tcPr>
            <w:tcW w:type="dxa" w:w="1440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Concomitant procedures</w:t>
            </w:r>
          </w:p>
        </w:tc>
      </w:tr>
      <w:tr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STS 2021</w:t>
            </w:r>
          </w:p>
        </w:tc>
        <w:tc>
          <w:tcPr>
            <w:tcW w:type="dxa" w:w="648"/>
            <w:vAlign w:val="top"/>
          </w:tcPr>
          <w:p>
            <w:r>
              <w:rPr>
                <w:color w:val="FF0000"/>
                <w:sz w:val="17"/>
              </w:rPr>
              <w:t>463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Registry</w:t>
            </w:r>
          </w:p>
        </w:tc>
        <w:tc>
          <w:tcPr>
            <w:tcW w:type="dxa" w:w="1224"/>
            <w:vAlign w:val="top"/>
          </w:tcPr>
          <w:p>
            <w:r>
              <w:rPr>
                <w:color w:val="FF0000"/>
                <w:sz w:val="17"/>
              </w:rPr>
              <w:t>Reported at aggregate level</w:t>
            </w:r>
          </w:p>
        </w:tc>
        <w:tc>
          <w:tcPr>
            <w:tcW w:type="dxa" w:w="1080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  <w:tc>
          <w:tcPr>
            <w:tcW w:type="dxa" w:w="1152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NR/incompletely extractable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Reported; center-volume signal available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</w:tr>
      <w:tr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CUTTING-EDGE 2025</w:t>
            </w:r>
          </w:p>
        </w:tc>
        <w:tc>
          <w:tcPr>
            <w:tcW w:type="dxa" w:w="648"/>
            <w:vAlign w:val="top"/>
          </w:tcPr>
          <w:p>
            <w:r>
              <w:rPr>
                <w:color w:val="FF0000"/>
                <w:sz w:val="17"/>
              </w:rPr>
              <w:t>332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International registry</w:t>
            </w:r>
          </w:p>
        </w:tc>
        <w:tc>
          <w:tcPr>
            <w:tcW w:type="dxa" w:w="1224"/>
            <w:vAlign w:val="top"/>
          </w:tcPr>
          <w:p>
            <w:r>
              <w:rPr>
                <w:color w:val="FF0000"/>
                <w:sz w:val="17"/>
              </w:rPr>
              <w:t>Reported at aggregate level</w:t>
            </w:r>
          </w:p>
        </w:tc>
        <w:tc>
          <w:tcPr>
            <w:tcW w:type="dxa" w:w="1080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  <w:tc>
          <w:tcPr>
            <w:tcW w:type="dxa" w:w="1152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Reported by participating centers; no uniform volume threshold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</w:tr>
      <w:tr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Mazur 2022</w:t>
            </w:r>
          </w:p>
        </w:tc>
        <w:tc>
          <w:tcPr>
            <w:tcW w:type="dxa" w:w="648"/>
            <w:vAlign w:val="top"/>
          </w:tcPr>
          <w:p>
            <w:r>
              <w:rPr>
                <w:color w:val="FF0000"/>
                <w:sz w:val="17"/>
              </w:rPr>
              <w:t>41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Single center</w:t>
            </w:r>
          </w:p>
        </w:tc>
        <w:tc>
          <w:tcPr>
            <w:tcW w:type="dxa" w:w="1224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  <w:tc>
          <w:tcPr>
            <w:tcW w:type="dxa" w:w="1080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  <w:tc>
          <w:tcPr>
            <w:tcW w:type="dxa" w:w="1152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NR/incompletely extractable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High-volume expert center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</w:tr>
      <w:tr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Rader 2021</w:t>
            </w:r>
          </w:p>
        </w:tc>
        <w:tc>
          <w:tcPr>
            <w:tcW w:type="dxa" w:w="648"/>
            <w:vAlign w:val="top"/>
          </w:tcPr>
          <w:p>
            <w:r>
              <w:rPr>
                <w:color w:val="FF0000"/>
                <w:sz w:val="17"/>
              </w:rPr>
              <w:t>25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Single center</w:t>
            </w:r>
          </w:p>
        </w:tc>
        <w:tc>
          <w:tcPr>
            <w:tcW w:type="dxa" w:w="1224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  <w:tc>
          <w:tcPr>
            <w:tcW w:type="dxa" w:w="1080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  <w:tc>
          <w:tcPr>
            <w:tcW w:type="dxa" w:w="1152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NR/incompletely extractable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High-volume expert center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</w:tr>
      <w:tr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Akansel 2022</w:t>
            </w:r>
          </w:p>
        </w:tc>
        <w:tc>
          <w:tcPr>
            <w:tcW w:type="dxa" w:w="648"/>
            <w:vAlign w:val="top"/>
          </w:tcPr>
          <w:p>
            <w:r>
              <w:rPr>
                <w:color w:val="FF0000"/>
                <w:sz w:val="17"/>
              </w:rPr>
              <w:t>46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Single center/minimally invasive</w:t>
            </w:r>
          </w:p>
        </w:tc>
        <w:tc>
          <w:tcPr>
            <w:tcW w:type="dxa" w:w="1224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  <w:tc>
          <w:tcPr>
            <w:tcW w:type="dxa" w:w="1080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  <w:tc>
          <w:tcPr>
            <w:tcW w:type="dxa" w:w="1152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NR/incompletely extractable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High-volume expert center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</w:tr>
      <w:tr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Elhmidi 2016</w:t>
            </w:r>
          </w:p>
        </w:tc>
        <w:tc>
          <w:tcPr>
            <w:tcW w:type="dxa" w:w="648"/>
            <w:vAlign w:val="top"/>
          </w:tcPr>
          <w:p>
            <w:r>
              <w:rPr>
                <w:color w:val="FF0000"/>
                <w:sz w:val="17"/>
              </w:rPr>
              <w:t>25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Single center</w:t>
            </w:r>
          </w:p>
        </w:tc>
        <w:tc>
          <w:tcPr>
            <w:tcW w:type="dxa" w:w="1224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  <w:tc>
          <w:tcPr>
            <w:tcW w:type="dxa" w:w="1080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  <w:tc>
          <w:tcPr>
            <w:tcW w:type="dxa" w:w="1152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NR/incompletely extractable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Specialized center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</w:tr>
      <w:tr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Alozie 2014</w:t>
            </w:r>
          </w:p>
        </w:tc>
        <w:tc>
          <w:tcPr>
            <w:tcW w:type="dxa" w:w="648"/>
            <w:vAlign w:val="top"/>
          </w:tcPr>
          <w:p>
            <w:r>
              <w:rPr>
                <w:color w:val="FF0000"/>
                <w:sz w:val="17"/>
              </w:rPr>
              <w:t>13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Single center</w:t>
            </w:r>
          </w:p>
        </w:tc>
        <w:tc>
          <w:tcPr>
            <w:tcW w:type="dxa" w:w="1224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  <w:tc>
          <w:tcPr>
            <w:tcW w:type="dxa" w:w="1080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  <w:tc>
          <w:tcPr>
            <w:tcW w:type="dxa" w:w="1152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NR/incompletely extractable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NR/incompletely extractable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Specialized center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</w:tr>
      <w:tr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Monsefi 2014</w:t>
            </w:r>
          </w:p>
        </w:tc>
        <w:tc>
          <w:tcPr>
            <w:tcW w:type="dxa" w:w="648"/>
            <w:vAlign w:val="top"/>
          </w:tcPr>
          <w:p>
            <w:r>
              <w:rPr>
                <w:color w:val="FF0000"/>
                <w:sz w:val="17"/>
              </w:rPr>
              <w:t>6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Two centers</w:t>
            </w:r>
          </w:p>
        </w:tc>
        <w:tc>
          <w:tcPr>
            <w:tcW w:type="dxa" w:w="1224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  <w:tc>
          <w:tcPr>
            <w:tcW w:type="dxa" w:w="1080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  <w:tc>
          <w:tcPr>
            <w:tcW w:type="dxa" w:w="1152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NR/incompletely extractable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NR/incompletely extractable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NR/incompletely extractable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Specialized centers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Reported</w:t>
            </w:r>
          </w:p>
        </w:tc>
      </w:tr>
    </w:tbl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