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2"/>
        </w:rPr>
        <w:t>Supplementary Table S6. Descriptive synthesis of non-mortality early outcomes.</w:t>
      </w:r>
    </w:p>
    <w:p>
      <w:r>
        <w:rPr>
          <w:sz w:val="18"/>
        </w:rPr>
        <w:t>Non-mortality early outcomes were not meta-analyzed because definitions, ascertainment windows, and denominators varied across reports.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249"/>
        <w:gridCol w:w="3249"/>
        <w:gridCol w:w="3249"/>
      </w:tblGrid>
      <w:tr>
        <w:trPr>
          <w:tblHeader w:val="true"/>
        </w:trPr>
        <w:tc>
          <w:tcPr>
            <w:tcW w:type="dxa" w:w="2592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Outcome domain</w:t>
            </w:r>
          </w:p>
        </w:tc>
        <w:tc>
          <w:tcPr>
            <w:tcW w:type="dxa" w:w="360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Reporting across included studies</w:t>
            </w:r>
          </w:p>
        </w:tc>
        <w:tc>
          <w:tcPr>
            <w:tcW w:type="dxa" w:w="432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Handling in this review</w:t>
            </w:r>
          </w:p>
        </w:tc>
      </w:tr>
      <w:tr>
        <w:tc>
          <w:tcPr>
            <w:tcW w:type="dxa" w:w="2592"/>
            <w:vAlign w:val="top"/>
          </w:tcPr>
          <w:p>
            <w:r>
              <w:rPr>
                <w:color w:val="FF0000"/>
                <w:sz w:val="17"/>
              </w:rPr>
              <w:t>Stroke/neurologic event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Reported inconsistently across selected cohorts</w:t>
            </w:r>
          </w:p>
        </w:tc>
        <w:tc>
          <w:tcPr>
            <w:tcW w:type="dxa" w:w="4320"/>
            <w:vAlign w:val="top"/>
          </w:tcPr>
          <w:p>
            <w:r>
              <w:rPr>
                <w:color w:val="FF0000"/>
                <w:sz w:val="17"/>
              </w:rPr>
              <w:t>Not pooled; definitions and ascertainment windows differed</w:t>
            </w:r>
          </w:p>
        </w:tc>
      </w:tr>
      <w:tr>
        <w:tc>
          <w:tcPr>
            <w:tcW w:type="dxa" w:w="2592"/>
            <w:vAlign w:val="top"/>
          </w:tcPr>
          <w:p>
            <w:r>
              <w:rPr>
                <w:color w:val="FF0000"/>
                <w:sz w:val="17"/>
              </w:rPr>
              <w:t>Renal failure/dialysis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Reported inconsistently across selected cohorts</w:t>
            </w:r>
          </w:p>
        </w:tc>
        <w:tc>
          <w:tcPr>
            <w:tcW w:type="dxa" w:w="4320"/>
            <w:vAlign w:val="top"/>
          </w:tcPr>
          <w:p>
            <w:r>
              <w:rPr>
                <w:color w:val="FF0000"/>
                <w:sz w:val="17"/>
              </w:rPr>
              <w:t>Not pooled; baseline renal disease and postoperative definitions varied</w:t>
            </w:r>
          </w:p>
        </w:tc>
      </w:tr>
      <w:tr>
        <w:tc>
          <w:tcPr>
            <w:tcW w:type="dxa" w:w="2592"/>
            <w:vAlign w:val="top"/>
          </w:tcPr>
          <w:p>
            <w:r>
              <w:rPr>
                <w:color w:val="FF0000"/>
                <w:sz w:val="17"/>
              </w:rPr>
              <w:t>Permanent pacemaker/conduction outcomes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Sporadically reported</w:t>
            </w:r>
          </w:p>
        </w:tc>
        <w:tc>
          <w:tcPr>
            <w:tcW w:type="dxa" w:w="4320"/>
            <w:vAlign w:val="top"/>
          </w:tcPr>
          <w:p>
            <w:r>
              <w:rPr>
                <w:color w:val="FF0000"/>
                <w:sz w:val="17"/>
              </w:rPr>
              <w:t>Narrative only</w:t>
            </w:r>
          </w:p>
        </w:tc>
      </w:tr>
      <w:tr>
        <w:tc>
          <w:tcPr>
            <w:tcW w:type="dxa" w:w="2592"/>
            <w:vAlign w:val="top"/>
          </w:tcPr>
          <w:p>
            <w:r>
              <w:rPr>
                <w:color w:val="FF0000"/>
                <w:sz w:val="17"/>
              </w:rPr>
              <w:t>Bleeding/reoperation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Sporadically reported</w:t>
            </w:r>
          </w:p>
        </w:tc>
        <w:tc>
          <w:tcPr>
            <w:tcW w:type="dxa" w:w="4320"/>
            <w:vAlign w:val="top"/>
          </w:tcPr>
          <w:p>
            <w:r>
              <w:rPr>
                <w:color w:val="FF0000"/>
                <w:sz w:val="17"/>
              </w:rPr>
              <w:t>Narrative only; reoperation definitions varied</w:t>
            </w:r>
          </w:p>
        </w:tc>
      </w:tr>
      <w:tr>
        <w:tc>
          <w:tcPr>
            <w:tcW w:type="dxa" w:w="2592"/>
            <w:vAlign w:val="top"/>
          </w:tcPr>
          <w:p>
            <w:r>
              <w:rPr>
                <w:color w:val="FF0000"/>
                <w:sz w:val="17"/>
              </w:rPr>
              <w:t>ICU length of stay and hospital length of stay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Reported by some cohorts but not uniformly</w:t>
            </w:r>
          </w:p>
        </w:tc>
        <w:tc>
          <w:tcPr>
            <w:tcW w:type="dxa" w:w="4320"/>
            <w:vAlign w:val="top"/>
          </w:tcPr>
          <w:p>
            <w:r>
              <w:rPr>
                <w:color w:val="FF0000"/>
                <w:sz w:val="17"/>
              </w:rPr>
              <w:t>Narrative only because medians/means and discharge practices differed</w:t>
            </w:r>
          </w:p>
        </w:tc>
      </w:tr>
      <w:tr>
        <w:tc>
          <w:tcPr>
            <w:tcW w:type="dxa" w:w="2592"/>
            <w:vAlign w:val="top"/>
          </w:tcPr>
          <w:p>
            <w:r>
              <w:rPr>
                <w:color w:val="FF0000"/>
                <w:sz w:val="17"/>
              </w:rPr>
              <w:t>Concomitant procedures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Frequently reported but heterogeneous</w:t>
            </w:r>
          </w:p>
        </w:tc>
        <w:tc>
          <w:tcPr>
            <w:tcW w:type="dxa" w:w="4320"/>
            <w:vAlign w:val="top"/>
          </w:tcPr>
          <w:p>
            <w:r>
              <w:rPr>
                <w:color w:val="FF0000"/>
                <w:sz w:val="17"/>
              </w:rPr>
              <w:t>Summarized as a potential contributor to mortality heterogeneity rather than meta-analyzed</w:t>
            </w:r>
          </w:p>
        </w:tc>
      </w:tr>
    </w:tbl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