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2"/>
        </w:rPr>
        <w:t>Supplementary Table S7. Repair-feasibility sensitivity analyses.</w:t>
      </w:r>
    </w:p>
    <w:p>
      <w:r>
        <w:rPr>
          <w:sz w:val="18"/>
        </w:rPr>
        <w:t>Excluding zero-repair cohorts or restricting to contemporary cohorts did not resolve heterogeneity. The repair estimate should not be used for individual-center decision-making.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624"/>
        <w:gridCol w:w="1624"/>
        <w:gridCol w:w="1624"/>
        <w:gridCol w:w="1624"/>
        <w:gridCol w:w="1624"/>
        <w:gridCol w:w="1624"/>
      </w:tblGrid>
      <w:tr>
        <w:trPr>
          <w:tblHeader w:val="true"/>
        </w:trPr>
        <w:tc>
          <w:tcPr>
            <w:tcW w:type="dxa" w:w="288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Analysis</w:t>
            </w:r>
          </w:p>
        </w:tc>
        <w:tc>
          <w:tcPr>
            <w:tcW w:type="dxa" w:w="1152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k (N)</w:t>
            </w:r>
          </w:p>
        </w:tc>
        <w:tc>
          <w:tcPr>
            <w:tcW w:type="dxa" w:w="1008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Repairs</w:t>
            </w:r>
          </w:p>
        </w:tc>
        <w:tc>
          <w:tcPr>
            <w:tcW w:type="dxa" w:w="216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Pooled % (95% CI)</w:t>
            </w:r>
          </w:p>
        </w:tc>
        <w:tc>
          <w:tcPr>
            <w:tcW w:type="dxa" w:w="2304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95% prediction interval</w:t>
            </w:r>
          </w:p>
        </w:tc>
        <w:tc>
          <w:tcPr>
            <w:tcW w:type="dxa" w:w="1008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I2</w:t>
            </w:r>
          </w:p>
        </w:tc>
      </w:tr>
      <w:tr>
        <w:tc>
          <w:tcPr>
            <w:tcW w:type="dxa" w:w="2880"/>
            <w:vAlign w:val="top"/>
          </w:tcPr>
          <w:p>
            <w:r>
              <w:rPr>
                <w:color w:val="FF0000"/>
                <w:sz w:val="17"/>
              </w:rPr>
              <w:t>Primary repair-feasibility analysis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8 (951)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70</w:t>
            </w:r>
          </w:p>
        </w:tc>
        <w:tc>
          <w:tcPr>
            <w:tcW w:type="dxa" w:w="2160"/>
            <w:vAlign w:val="top"/>
          </w:tcPr>
          <w:p>
            <w:r>
              <w:rPr>
                <w:color w:val="FF0000"/>
                <w:sz w:val="17"/>
              </w:rPr>
              <w:t>12.5 (6.1-24.1)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1.1-64.4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85.1%</w:t>
            </w:r>
          </w:p>
        </w:tc>
      </w:tr>
      <w:tr>
        <w:tc>
          <w:tcPr>
            <w:tcW w:type="dxa" w:w="2880"/>
            <w:vAlign w:val="top"/>
          </w:tcPr>
          <w:p>
            <w:r>
              <w:rPr>
                <w:color w:val="FF0000"/>
                <w:sz w:val="17"/>
              </w:rPr>
              <w:t>Excluding cohorts with N &lt; 10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7 (945)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67</w:t>
            </w:r>
          </w:p>
        </w:tc>
        <w:tc>
          <w:tcPr>
            <w:tcW w:type="dxa" w:w="2160"/>
            <w:vAlign w:val="top"/>
          </w:tcPr>
          <w:p>
            <w:r>
              <w:rPr>
                <w:color w:val="FF0000"/>
                <w:sz w:val="17"/>
              </w:rPr>
              <w:t>10.4 (5.0-20.3)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1.0-58.2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84.4%</w:t>
            </w:r>
          </w:p>
        </w:tc>
      </w:tr>
      <w:tr>
        <w:tc>
          <w:tcPr>
            <w:tcW w:type="dxa" w:w="2880"/>
            <w:vAlign w:val="top"/>
          </w:tcPr>
          <w:p>
            <w:r>
              <w:rPr>
                <w:color w:val="FF0000"/>
                <w:sz w:val="17"/>
              </w:rPr>
              <w:t>Excluding zero-repair cohorts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6 (897)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70</w:t>
            </w:r>
          </w:p>
        </w:tc>
        <w:tc>
          <w:tcPr>
            <w:tcW w:type="dxa" w:w="2160"/>
            <w:vAlign w:val="top"/>
          </w:tcPr>
          <w:p>
            <w:r>
              <w:rPr>
                <w:color w:val="FF0000"/>
                <w:sz w:val="17"/>
              </w:rPr>
              <w:t>15.4 (7.3-29.9)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1.0-77.2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88.7%</w:t>
            </w:r>
          </w:p>
        </w:tc>
      </w:tr>
      <w:tr>
        <w:tc>
          <w:tcPr>
            <w:tcW w:type="dxa" w:w="2880"/>
            <w:vAlign w:val="top"/>
          </w:tcPr>
          <w:p>
            <w:r>
              <w:rPr>
                <w:color w:val="FF0000"/>
                <w:sz w:val="17"/>
              </w:rPr>
              <w:t>Contemporary cohorts (2021 onward)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5 (907)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62</w:t>
            </w:r>
          </w:p>
        </w:tc>
        <w:tc>
          <w:tcPr>
            <w:tcW w:type="dxa" w:w="2160"/>
            <w:vAlign w:val="top"/>
          </w:tcPr>
          <w:p>
            <w:r>
              <w:rPr>
                <w:color w:val="FF0000"/>
                <w:sz w:val="17"/>
              </w:rPr>
              <w:t>9.7 (4.1-21.1)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0.4-73.4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88.2%</w:t>
            </w:r>
          </w:p>
        </w:tc>
      </w:tr>
      <w:tr>
        <w:tc>
          <w:tcPr>
            <w:tcW w:type="dxa" w:w="2880"/>
            <w:vAlign w:val="top"/>
          </w:tcPr>
          <w:p>
            <w:r>
              <w:rPr>
                <w:color w:val="FF0000"/>
                <w:sz w:val="17"/>
              </w:rPr>
              <w:t>Registry cohorts only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2 (795)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47</w:t>
            </w:r>
          </w:p>
        </w:tc>
        <w:tc>
          <w:tcPr>
            <w:tcW w:type="dxa" w:w="2160"/>
            <w:vAlign w:val="top"/>
          </w:tcPr>
          <w:p>
            <w:r>
              <w:rPr>
                <w:color w:val="FF0000"/>
                <w:sz w:val="17"/>
              </w:rPr>
              <w:t>6.0 (3.8-9.4)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Not estimable with k=2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62.1%</w:t>
            </w:r>
          </w:p>
        </w:tc>
      </w:tr>
      <w:tr>
        <w:tc>
          <w:tcPr>
            <w:tcW w:type="dxa" w:w="2880"/>
            <w:vAlign w:val="top"/>
          </w:tcPr>
          <w:p>
            <w:r>
              <w:rPr>
                <w:color w:val="FF0000"/>
                <w:sz w:val="17"/>
              </w:rPr>
              <w:t>Single-center cohorts only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6 (156)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23</w:t>
            </w:r>
          </w:p>
        </w:tc>
        <w:tc>
          <w:tcPr>
            <w:tcW w:type="dxa" w:w="2160"/>
            <w:vAlign w:val="top"/>
          </w:tcPr>
          <w:p>
            <w:r>
              <w:rPr>
                <w:color w:val="FF0000"/>
                <w:sz w:val="17"/>
              </w:rPr>
              <w:t>17.9 (7.4-37.2)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1.0-82.2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70.5%</w:t>
            </w:r>
          </w:p>
        </w:tc>
      </w:tr>
    </w:tbl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