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Supplementary Material</w:t>
      </w:r>
    </w:p>
    <w:p>
      <w:r>
        <w:t>Supplementary tables and figure for the revised manuscript "Early Mortality After Mitral Surgery for Failed MitraClip/TEER: A Systematic Review and Meta-Analysis".</w:t>
      </w:r>
    </w:p>
    <w:p>
      <w:pPr>
        <w:pStyle w:val="Heading1"/>
      </w:pPr>
      <w:r>
        <w:t>Supplementary Figure 1</w:t>
      </w:r>
    </w:p>
    <w:p>
      <w:r>
        <w:t>Supplementary Figure 1 (Figure S1). PRISMA 2020 flow diagram for study identification, screening, and inclusion. Because the original database-export logs were unavailable, the PRISMA accounting was reconstructed at the full-text report level: 15 full-text reports were assessed for eligibility, 1 was excluded (Saito 2015, 2 patients, below the prespecified sample-size threshold), 14 studies were retained for qualitative synthesis, and 8 unique surgical cohorts (N = 951 patients) were carried into the quantitative meta-analysis after overlap adjudication.</w:t>
      </w:r>
    </w:p>
    <w:p>
      <w:pPr>
        <w:jc w:val="center"/>
      </w:pPr>
      <w:r/>
      <w:r>
        <w:drawing>
          <wp:inline xmlns:a="http://schemas.openxmlformats.org/drawingml/2006/main" xmlns:pic="http://schemas.openxmlformats.org/drawingml/2006/picture">
            <wp:extent cx="5120640" cy="644408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isma_flow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644408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sz w:val="18"/>
        </w:rPr>
        <w:t>These supplementary tables were added or expanded in response to reviewer and editor requests. They are included in this revised manuscript file for transparency and may be submitted as a separate supplementary file if required by the journal.</w:t>
      </w:r>
    </w:p>
    <w:p>
      <w:pPr>
        <w:pStyle w:val="Heading1"/>
      </w:pPr>
      <w:r>
        <w:t>Supplementary Table S1. Evidence map and overlap-adjudication decisions.</w:t>
      </w:r>
    </w:p>
    <w:p/>
    <w:p>
      <w:r>
        <w:rPr>
          <w:sz w:val="18"/>
        </w:rPr>
        <w:t>Abbreviations: STS, Society of Thoracic Surgeons; CUTTING-EDGE, international registry. Potential overlap between registry datasets and single-center reports cannot be excluded from aggregate publications and is addressed through sensitivity analyses.</w:t>
      </w:r>
    </w:p>
    <w:p>
      <w:pPr>
        <w:pStyle w:val="Heading1"/>
      </w:pPr>
      <w:r>
        <w:t>Supplementary Table S2. Endpoint-homogeneous sensitivity analyses for early mortality.</w:t>
      </w:r>
    </w:p>
    <w:p/>
    <w:p>
      <w:r>
        <w:rPr>
          <w:sz w:val="18"/>
        </w:rPr>
        <w:t>The primary mixed-definition analysis is retained as a descriptive early-mortality benchmark. Endpoint-specific analyses are underpowered and should not be interpreted as proving equivalence among operative, in-hospital, and 30-day endpoints.</w:t>
      </w:r>
    </w:p>
    <w:p>
      <w:pPr>
        <w:pStyle w:val="Heading1"/>
      </w:pPr>
      <w:r>
        <w:t>Supplementary Table S3. GRADE certainty-of-evidence assessment.</w:t>
      </w:r>
    </w:p>
    <w:p/>
    <w:p>
      <w:r>
        <w:rPr>
          <w:sz w:val="18"/>
        </w:rPr>
        <w:t>GRADE certainty was rated very low for both outcomes because the evidence base is retrospective, non-randomized, unadjusted, and clinically heterogeneous.</w:t>
      </w:r>
    </w:p>
    <w:p>
      <w:pPr>
        <w:pStyle w:val="Heading1"/>
      </w:pPr>
      <w:r>
        <w:t>Supplementary Table S4. Alternative model robustness analyses.</w:t>
      </w:r>
    </w:p>
    <w:p/>
    <w:p>
      <w:r>
        <w:rPr>
          <w:sz w:val="18"/>
        </w:rPr>
        <w:t>Alternative models are presented as robustness checks for small-k proportion meta-analysis. They do not remove the fundamental limitations of retrospective aggregate data.</w:t>
      </w:r>
    </w:p>
    <w:p>
      <w:pPr>
        <w:pStyle w:val="Heading1"/>
      </w:pPr>
      <w:r>
        <w:t>Supplementary Table S5. Cohort-level covariate availability relevant to heterogeneity.</w:t>
      </w:r>
    </w:p>
    <w:p/>
    <w:p>
      <w:r>
        <w:rPr>
          <w:sz w:val="18"/>
        </w:rPr>
        <w:t>This table summarizes availability and extractability of covariates rather than adjusted effects. NR indicates not reported or not extractable in a harmonized form from aggregate publications.</w:t>
      </w:r>
    </w:p>
    <w:p>
      <w:pPr>
        <w:pStyle w:val="Heading1"/>
      </w:pPr>
      <w:r>
        <w:t>Supplementary Table S6. Descriptive synthesis of non-mortality early outcomes.</w:t>
      </w:r>
    </w:p>
    <w:p/>
    <w:p>
      <w:r>
        <w:rPr>
          <w:sz w:val="18"/>
        </w:rPr>
        <w:t>Non-mortality early outcomes were not meta-analyzed because definitions, ascertainment windows, and denominators varied across reports.</w:t>
      </w:r>
    </w:p>
    <w:p>
      <w:pPr>
        <w:pStyle w:val="Heading1"/>
      </w:pPr>
      <w:r>
        <w:t>Supplementary Table S7. Repair-feasibility sensitivity analyses.</w:t>
      </w:r>
    </w:p>
    <w:p/>
    <w:p>
      <w:r>
        <w:rPr>
          <w:sz w:val="18"/>
        </w:rPr>
        <w:t>Excluding zero-repair cohorts or restricting to contemporary cohorts did not resolve heterogeneity. The repair estimate should not be used for individual-center decision-making.</w:t>
      </w:r>
    </w:p>
    <w:p>
      <w:pPr>
        <w:pStyle w:val="Heading1"/>
      </w:pPr>
      <w:r>
        <w:t>Supplementary Table S8. Database-specific search strings.</w:t>
      </w:r>
    </w:p>
    <w:p/>
    <w:p>
      <w:r>
        <w:rPr>
          <w:sz w:val="18"/>
        </w:rPr>
        <w:t>All databases were searched from inception to 8 January 2026.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36"/>
        <w:gridCol w:w="2436"/>
        <w:gridCol w:w="2436"/>
        <w:gridCol w:w="2436"/>
      </w:tblGrid>
      <w:tr>
        <w:trPr>
          <w:tblHeader w:val="true"/>
        </w:trPr>
        <w:tc>
          <w:tcPr>
            <w:tcW w:type="dxa" w:w="2016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Report</w:t>
            </w:r>
          </w:p>
        </w:tc>
        <w:tc>
          <w:tcPr>
            <w:tcW w:type="dxa" w:w="2016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Setting / cohort</w:t>
            </w:r>
          </w:p>
        </w:tc>
        <w:tc>
          <w:tcPr>
            <w:tcW w:type="dxa" w:w="1872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Handling</w:t>
            </w:r>
          </w:p>
        </w:tc>
        <w:tc>
          <w:tcPr>
            <w:tcW w:type="dxa" w:w="5184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Rationale</w:t>
            </w:r>
          </w:p>
        </w:tc>
      </w:tr>
      <w:tr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Chikwe/STS 2021</w:t>
            </w:r>
          </w:p>
        </w:tc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US STS registry, n=463</w:t>
            </w:r>
          </w:p>
        </w:tc>
        <w:tc>
          <w:tcPr>
            <w:tcW w:type="dxa" w:w="1872"/>
            <w:vAlign w:val="top"/>
          </w:tcPr>
          <w:p>
            <w:r>
              <w:rPr>
                <w:color w:val="FF0000"/>
                <w:sz w:val="17"/>
              </w:rPr>
              <w:t>Retained in main analysis</w:t>
            </w:r>
          </w:p>
        </w:tc>
        <w:tc>
          <w:tcPr>
            <w:tcW w:type="dxa" w:w="5184"/>
            <w:vAlign w:val="top"/>
          </w:tcPr>
          <w:p>
            <w:r>
              <w:rPr>
                <w:color w:val="FF0000"/>
                <w:sz w:val="17"/>
              </w:rPr>
              <w:t>Largest national registry; operative mortality and repair/replacement denominator clearly extractable. Potential overlap with US single-center reports cannot be resolved from aggregate data and is addressed by sensitivity analyses.</w:t>
            </w:r>
          </w:p>
        </w:tc>
      </w:tr>
      <w:tr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Dang 2005</w:t>
            </w:r>
          </w:p>
        </w:tc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Early multicenter EVEREST-era surgical revision report</w:t>
            </w:r>
          </w:p>
        </w:tc>
        <w:tc>
          <w:tcPr>
            <w:tcW w:type="dxa" w:w="1872"/>
            <w:vAlign w:val="top"/>
          </w:tcPr>
          <w:p>
            <w:r>
              <w:rPr>
                <w:color w:val="FF0000"/>
                <w:sz w:val="17"/>
              </w:rPr>
              <w:t>Qualitative only</w:t>
            </w:r>
          </w:p>
        </w:tc>
        <w:tc>
          <w:tcPr>
            <w:tcW w:type="dxa" w:w="5184"/>
            <w:vAlign w:val="top"/>
          </w:tcPr>
          <w:p>
            <w:r>
              <w:rPr>
                <w:color w:val="FF0000"/>
                <w:sz w:val="17"/>
              </w:rPr>
              <w:t>Historical feasibility report with limited granularity and precontemporary device/patient selection; retained for context rather than pooled estimate.</w:t>
            </w:r>
          </w:p>
        </w:tc>
      </w:tr>
      <w:tr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Alozie 2014</w:t>
            </w:r>
          </w:p>
        </w:tc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German single-center cohort, n=13</w:t>
            </w:r>
          </w:p>
        </w:tc>
        <w:tc>
          <w:tcPr>
            <w:tcW w:type="dxa" w:w="1872"/>
            <w:vAlign w:val="top"/>
          </w:tcPr>
          <w:p>
            <w:r>
              <w:rPr>
                <w:color w:val="FF0000"/>
                <w:sz w:val="17"/>
              </w:rPr>
              <w:t>Retained in main analysis</w:t>
            </w:r>
          </w:p>
        </w:tc>
        <w:tc>
          <w:tcPr>
            <w:tcW w:type="dxa" w:w="5184"/>
            <w:vAlign w:val="top"/>
          </w:tcPr>
          <w:p>
            <w:r>
              <w:rPr>
                <w:color w:val="FF0000"/>
                <w:sz w:val="17"/>
              </w:rPr>
              <w:t>Unique extractable denominator and in-hospital mortality; no confirmed overlap with retained larger dataset.</w:t>
            </w:r>
          </w:p>
        </w:tc>
      </w:tr>
      <w:tr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Geidel 2014</w:t>
            </w:r>
          </w:p>
        </w:tc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German surgical cohort/technical experience</w:t>
            </w:r>
          </w:p>
        </w:tc>
        <w:tc>
          <w:tcPr>
            <w:tcW w:type="dxa" w:w="1872"/>
            <w:vAlign w:val="top"/>
          </w:tcPr>
          <w:p>
            <w:r>
              <w:rPr>
                <w:color w:val="FF0000"/>
                <w:sz w:val="17"/>
              </w:rPr>
              <w:t>Qualitative only</w:t>
            </w:r>
          </w:p>
        </w:tc>
        <w:tc>
          <w:tcPr>
            <w:tcW w:type="dxa" w:w="5184"/>
            <w:vAlign w:val="top"/>
          </w:tcPr>
          <w:p>
            <w:r>
              <w:rPr>
                <w:color w:val="FF0000"/>
                <w:sz w:val="17"/>
              </w:rPr>
              <w:t>Potentially overlapping/serial institutional experience and less consistent endpoint reporting; not pooled to avoid possible double counting.</w:t>
            </w:r>
          </w:p>
        </w:tc>
      </w:tr>
      <w:tr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Monsefi 2014</w:t>
            </w:r>
          </w:p>
        </w:tc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German two-center cohort, n=6</w:t>
            </w:r>
          </w:p>
        </w:tc>
        <w:tc>
          <w:tcPr>
            <w:tcW w:type="dxa" w:w="1872"/>
            <w:vAlign w:val="top"/>
          </w:tcPr>
          <w:p>
            <w:r>
              <w:rPr>
                <w:color w:val="FF0000"/>
                <w:sz w:val="17"/>
              </w:rPr>
              <w:t>Retained in main analysis</w:t>
            </w:r>
          </w:p>
        </w:tc>
        <w:tc>
          <w:tcPr>
            <w:tcW w:type="dxa" w:w="5184"/>
            <w:vAlign w:val="top"/>
          </w:tcPr>
          <w:p>
            <w:r>
              <w:rPr>
                <w:color w:val="FF0000"/>
                <w:sz w:val="17"/>
              </w:rPr>
              <w:t>Unique small cohort with extractable in-hospital mortality and repair/replacement denominator; influence assessed by N&lt;10 sensitivity analysis.</w:t>
            </w:r>
          </w:p>
        </w:tc>
      </w:tr>
      <w:tr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Elhmidi 2016</w:t>
            </w:r>
          </w:p>
        </w:tc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German cohort, n=25</w:t>
            </w:r>
          </w:p>
        </w:tc>
        <w:tc>
          <w:tcPr>
            <w:tcW w:type="dxa" w:w="1872"/>
            <w:vAlign w:val="top"/>
          </w:tcPr>
          <w:p>
            <w:r>
              <w:rPr>
                <w:color w:val="FF0000"/>
                <w:sz w:val="17"/>
              </w:rPr>
              <w:t>Retained in main analysis</w:t>
            </w:r>
          </w:p>
        </w:tc>
        <w:tc>
          <w:tcPr>
            <w:tcW w:type="dxa" w:w="5184"/>
            <w:vAlign w:val="top"/>
          </w:tcPr>
          <w:p>
            <w:r>
              <w:rPr>
                <w:color w:val="FF0000"/>
                <w:sz w:val="17"/>
              </w:rPr>
              <w:t>Unique extractable 30-day mortality and repair/replacement denominator.</w:t>
            </w:r>
          </w:p>
        </w:tc>
      </w:tr>
      <w:tr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Mkalaluh 2019</w:t>
            </w:r>
          </w:p>
        </w:tc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German high-risk surgical revision series</w:t>
            </w:r>
          </w:p>
        </w:tc>
        <w:tc>
          <w:tcPr>
            <w:tcW w:type="dxa" w:w="1872"/>
            <w:vAlign w:val="top"/>
          </w:tcPr>
          <w:p>
            <w:r>
              <w:rPr>
                <w:color w:val="FF0000"/>
                <w:sz w:val="17"/>
              </w:rPr>
              <w:t>Qualitative only</w:t>
            </w:r>
          </w:p>
        </w:tc>
        <w:tc>
          <w:tcPr>
            <w:tcW w:type="dxa" w:w="5184"/>
            <w:vAlign w:val="top"/>
          </w:tcPr>
          <w:p>
            <w:r>
              <w:rPr>
                <w:color w:val="FF0000"/>
                <w:sz w:val="17"/>
              </w:rPr>
              <w:t>Potential overlap with prior regional/institutional experience could not be excluded and cohort-level endpoint granularity was limited for the main pooled dataset.</w:t>
            </w:r>
          </w:p>
        </w:tc>
      </w:tr>
      <w:tr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Rader 2021</w:t>
            </w:r>
          </w:p>
        </w:tc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Cedars-Sinai single-center cohort, n=25</w:t>
            </w:r>
          </w:p>
        </w:tc>
        <w:tc>
          <w:tcPr>
            <w:tcW w:type="dxa" w:w="1872"/>
            <w:vAlign w:val="top"/>
          </w:tcPr>
          <w:p>
            <w:r>
              <w:rPr>
                <w:color w:val="FF0000"/>
                <w:sz w:val="17"/>
              </w:rPr>
              <w:t>Retained in main analysis</w:t>
            </w:r>
          </w:p>
        </w:tc>
        <w:tc>
          <w:tcPr>
            <w:tcW w:type="dxa" w:w="5184"/>
            <w:vAlign w:val="top"/>
          </w:tcPr>
          <w:p>
            <w:r>
              <w:rPr>
                <w:color w:val="FF0000"/>
                <w:sz w:val="17"/>
              </w:rPr>
              <w:t>Parent Cedars-Sinai cohort with extractable mortality and repair denominator; later technical updates from the same institutional program were not pooled.</w:t>
            </w:r>
          </w:p>
        </w:tc>
      </w:tr>
      <w:tr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Kaneko/CUTTING-EDGE 2021</w:t>
            </w:r>
          </w:p>
        </w:tc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International CUTTING-EDGE registry, n=332</w:t>
            </w:r>
          </w:p>
        </w:tc>
        <w:tc>
          <w:tcPr>
            <w:tcW w:type="dxa" w:w="1872"/>
            <w:vAlign w:val="top"/>
          </w:tcPr>
          <w:p>
            <w:r>
              <w:rPr>
                <w:color w:val="FF0000"/>
                <w:sz w:val="17"/>
              </w:rPr>
              <w:t>Excluded from main analysis due to overlap</w:t>
            </w:r>
          </w:p>
        </w:tc>
        <w:tc>
          <w:tcPr>
            <w:tcW w:type="dxa" w:w="5184"/>
            <w:vAlign w:val="top"/>
          </w:tcPr>
          <w:p>
            <w:r>
              <w:rPr>
                <w:color w:val="FF0000"/>
                <w:sz w:val="17"/>
              </w:rPr>
              <w:t>Earlier CUTTING-EDGE publication; superseded by the 2025 CUTTING-EDGE analysis with the same registry denominator and more directly relevant repair-vs-replacement outcomes.</w:t>
            </w:r>
          </w:p>
        </w:tc>
      </w:tr>
      <w:tr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Mazur 2022</w:t>
            </w:r>
          </w:p>
        </w:tc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Mayo Clinic single-center cohort, n=41</w:t>
            </w:r>
          </w:p>
        </w:tc>
        <w:tc>
          <w:tcPr>
            <w:tcW w:type="dxa" w:w="1872"/>
            <w:vAlign w:val="top"/>
          </w:tcPr>
          <w:p>
            <w:r>
              <w:rPr>
                <w:color w:val="FF0000"/>
                <w:sz w:val="17"/>
              </w:rPr>
              <w:t>Retained in main analysis</w:t>
            </w:r>
          </w:p>
        </w:tc>
        <w:tc>
          <w:tcPr>
            <w:tcW w:type="dxa" w:w="5184"/>
            <w:vAlign w:val="top"/>
          </w:tcPr>
          <w:p>
            <w:r>
              <w:rPr>
                <w:color w:val="FF0000"/>
                <w:sz w:val="17"/>
              </w:rPr>
              <w:t>Unique institutional cohort with extractable operative mortality; potential untraceable STS overlap acknowledged and explored by registry-only and single-center-only analyses.</w:t>
            </w:r>
          </w:p>
        </w:tc>
      </w:tr>
      <w:tr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Akansel 2022</w:t>
            </w:r>
          </w:p>
        </w:tc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German minimally invasive cohort, n=46</w:t>
            </w:r>
          </w:p>
        </w:tc>
        <w:tc>
          <w:tcPr>
            <w:tcW w:type="dxa" w:w="1872"/>
            <w:vAlign w:val="top"/>
          </w:tcPr>
          <w:p>
            <w:r>
              <w:rPr>
                <w:color w:val="FF0000"/>
                <w:sz w:val="17"/>
              </w:rPr>
              <w:t>Retained in main analysis</w:t>
            </w:r>
          </w:p>
        </w:tc>
        <w:tc>
          <w:tcPr>
            <w:tcW w:type="dxa" w:w="5184"/>
            <w:vAlign w:val="top"/>
          </w:tcPr>
          <w:p>
            <w:r>
              <w:rPr>
                <w:color w:val="FF0000"/>
                <w:sz w:val="17"/>
              </w:rPr>
              <w:t>Unique contemporary cohort with extractable in-hospital mortality and repair denominator; one non-TEER case noted in sensitivity interpretation.</w:t>
            </w:r>
          </w:p>
        </w:tc>
      </w:tr>
      <w:tr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Rowe 2022</w:t>
            </w:r>
          </w:p>
        </w:tc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Cedars-Sinai robotic repair technical update</w:t>
            </w:r>
          </w:p>
        </w:tc>
        <w:tc>
          <w:tcPr>
            <w:tcW w:type="dxa" w:w="1872"/>
            <w:vAlign w:val="top"/>
          </w:tcPr>
          <w:p>
            <w:r>
              <w:rPr>
                <w:color w:val="FF0000"/>
                <w:sz w:val="17"/>
              </w:rPr>
              <w:t>Qualitative only</w:t>
            </w:r>
          </w:p>
        </w:tc>
        <w:tc>
          <w:tcPr>
            <w:tcW w:type="dxa" w:w="5184"/>
            <w:vAlign w:val="top"/>
          </w:tcPr>
          <w:p>
            <w:r>
              <w:rPr>
                <w:color w:val="FF0000"/>
                <w:sz w:val="17"/>
              </w:rPr>
              <w:t>Technical update likely overlapping with the Cedars-Sinai/Rader institutional experience; used only to inform narrative repair-feasibility discussion.</w:t>
            </w:r>
          </w:p>
        </w:tc>
      </w:tr>
      <w:tr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Saito 2015</w:t>
            </w:r>
          </w:p>
        </w:tc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Two-patient report</w:t>
            </w:r>
          </w:p>
        </w:tc>
        <w:tc>
          <w:tcPr>
            <w:tcW w:type="dxa" w:w="1872"/>
            <w:vAlign w:val="top"/>
          </w:tcPr>
          <w:p>
            <w:r>
              <w:rPr>
                <w:color w:val="FF0000"/>
                <w:sz w:val="17"/>
              </w:rPr>
              <w:t>Excluded before quantitative synthesis</w:t>
            </w:r>
          </w:p>
        </w:tc>
        <w:tc>
          <w:tcPr>
            <w:tcW w:type="dxa" w:w="5184"/>
            <w:vAlign w:val="top"/>
          </w:tcPr>
          <w:p>
            <w:r>
              <w:rPr>
                <w:color w:val="FF0000"/>
                <w:sz w:val="17"/>
              </w:rPr>
              <w:t>Below prespecified minimum sample-size threshold (N&lt;5); case-report-level evidence.</w:t>
            </w:r>
          </w:p>
        </w:tc>
      </w:tr>
      <w:tr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Malas 2024</w:t>
            </w:r>
          </w:p>
        </w:tc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Cedars-Sinai institutional technical update</w:t>
            </w:r>
          </w:p>
        </w:tc>
        <w:tc>
          <w:tcPr>
            <w:tcW w:type="dxa" w:w="1872"/>
            <w:vAlign w:val="top"/>
          </w:tcPr>
          <w:p>
            <w:r>
              <w:rPr>
                <w:color w:val="FF0000"/>
                <w:sz w:val="17"/>
              </w:rPr>
              <w:t>Qualitative only</w:t>
            </w:r>
          </w:p>
        </w:tc>
        <w:tc>
          <w:tcPr>
            <w:tcW w:type="dxa" w:w="5184"/>
            <w:vAlign w:val="top"/>
          </w:tcPr>
          <w:p>
            <w:r>
              <w:rPr>
                <w:color w:val="FF0000"/>
                <w:sz w:val="17"/>
              </w:rPr>
              <w:t>Institutional update likely overlapping with the Cedars-Sinai parent cohort; used only for operative-technique narrative synthesis.</w:t>
            </w:r>
          </w:p>
        </w:tc>
      </w:tr>
      <w:tr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Marin-Cuartas/CUTTING-EDGE 2025</w:t>
            </w:r>
          </w:p>
        </w:tc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International CUTTING-EDGE registry, n=332</w:t>
            </w:r>
          </w:p>
        </w:tc>
        <w:tc>
          <w:tcPr>
            <w:tcW w:type="dxa" w:w="1872"/>
            <w:vAlign w:val="top"/>
          </w:tcPr>
          <w:p>
            <w:r>
              <w:rPr>
                <w:color w:val="FF0000"/>
                <w:sz w:val="17"/>
              </w:rPr>
              <w:t>Retained in main analysis</w:t>
            </w:r>
          </w:p>
        </w:tc>
        <w:tc>
          <w:tcPr>
            <w:tcW w:type="dxa" w:w="5184"/>
            <w:vAlign w:val="top"/>
          </w:tcPr>
          <w:p>
            <w:r>
              <w:rPr>
                <w:color w:val="FF0000"/>
                <w:sz w:val="17"/>
              </w:rPr>
              <w:t>Most informative CUTTING-EDGE dataset; retained instead of the 2021 CUTTING-EDGE report.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624"/>
        <w:gridCol w:w="1624"/>
        <w:gridCol w:w="1624"/>
        <w:gridCol w:w="1624"/>
        <w:gridCol w:w="1624"/>
        <w:gridCol w:w="1624"/>
      </w:tblGrid>
      <w:tr>
        <w:trPr>
          <w:tblHeader w:val="true"/>
        </w:trPr>
        <w:tc>
          <w:tcPr>
            <w:tcW w:type="dxa" w:w="3024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Analysis</w:t>
            </w:r>
          </w:p>
        </w:tc>
        <w:tc>
          <w:tcPr>
            <w:tcW w:type="dxa" w:w="1152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k (N)</w:t>
            </w:r>
          </w:p>
        </w:tc>
        <w:tc>
          <w:tcPr>
            <w:tcW w:type="dxa" w:w="1008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Events</w:t>
            </w:r>
          </w:p>
        </w:tc>
        <w:tc>
          <w:tcPr>
            <w:tcW w:type="dxa" w:w="2016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Pooled % (95% CI)</w:t>
            </w:r>
          </w:p>
        </w:tc>
        <w:tc>
          <w:tcPr>
            <w:tcW w:type="dxa" w:w="2304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95% prediction interval</w:t>
            </w:r>
          </w:p>
        </w:tc>
        <w:tc>
          <w:tcPr>
            <w:tcW w:type="dxa" w:w="1008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I2</w:t>
            </w:r>
          </w:p>
        </w:tc>
      </w:tr>
      <w:tr>
        <w:tc>
          <w:tcPr>
            <w:tcW w:type="dxa" w:w="3024"/>
            <w:vAlign w:val="top"/>
          </w:tcPr>
          <w:p>
            <w:r>
              <w:rPr>
                <w:color w:val="FF0000"/>
                <w:sz w:val="17"/>
              </w:rPr>
              <w:t>Primary mixed early-mortality endpoint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8 (951)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111</w:t>
            </w:r>
          </w:p>
        </w:tc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11.7 (8.4-16.0)</w:t>
            </w:r>
          </w:p>
        </w:tc>
        <w:tc>
          <w:tcPr>
            <w:tcW w:type="dxa" w:w="2304"/>
            <w:vAlign w:val="top"/>
          </w:tcPr>
          <w:p>
            <w:r>
              <w:rPr>
                <w:color w:val="FF0000"/>
                <w:sz w:val="17"/>
              </w:rPr>
              <w:t>5.5-23.1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39.2%</w:t>
            </w:r>
          </w:p>
        </w:tc>
      </w:tr>
      <w:tr>
        <w:tc>
          <w:tcPr>
            <w:tcW w:type="dxa" w:w="3024"/>
            <w:vAlign w:val="top"/>
          </w:tcPr>
          <w:p>
            <w:r>
              <w:rPr>
                <w:color w:val="FF0000"/>
                <w:sz w:val="17"/>
              </w:rPr>
              <w:t>Operative mortality only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2 (504)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51</w:t>
            </w:r>
          </w:p>
        </w:tc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9.5 (5.6-15.7)</w:t>
            </w:r>
          </w:p>
        </w:tc>
        <w:tc>
          <w:tcPr>
            <w:tcW w:type="dxa" w:w="2304"/>
            <w:vAlign w:val="top"/>
          </w:tcPr>
          <w:p>
            <w:r>
              <w:rPr>
                <w:color w:val="FF0000"/>
                <w:sz w:val="17"/>
              </w:rPr>
              <w:t>Not estimable with k=2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21.6%</w:t>
            </w:r>
          </w:p>
        </w:tc>
      </w:tr>
      <w:tr>
        <w:tc>
          <w:tcPr>
            <w:tcW w:type="dxa" w:w="3024"/>
            <w:vAlign w:val="top"/>
          </w:tcPr>
          <w:p>
            <w:r>
              <w:rPr>
                <w:color w:val="FF0000"/>
                <w:sz w:val="17"/>
              </w:rPr>
              <w:t>In-hospital mortality only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5 (422)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56</w:t>
            </w:r>
          </w:p>
        </w:tc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11.9 (6.2-21.7)</w:t>
            </w:r>
          </w:p>
        </w:tc>
        <w:tc>
          <w:tcPr>
            <w:tcW w:type="dxa" w:w="2304"/>
            <w:vAlign w:val="top"/>
          </w:tcPr>
          <w:p>
            <w:r>
              <w:rPr>
                <w:color w:val="FF0000"/>
                <w:sz w:val="17"/>
              </w:rPr>
              <w:t>1.8-49.5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39.3%</w:t>
            </w:r>
          </w:p>
        </w:tc>
      </w:tr>
      <w:tr>
        <w:tc>
          <w:tcPr>
            <w:tcW w:type="dxa" w:w="3024"/>
            <w:vAlign w:val="top"/>
          </w:tcPr>
          <w:p>
            <w:r>
              <w:rPr>
                <w:color w:val="FF0000"/>
                <w:sz w:val="17"/>
              </w:rPr>
              <w:t>30-day mortality only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3 (382)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59</w:t>
            </w:r>
          </w:p>
        </w:tc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15.3 (9.4-23.9)</w:t>
            </w:r>
          </w:p>
        </w:tc>
        <w:tc>
          <w:tcPr>
            <w:tcW w:type="dxa" w:w="2304"/>
            <w:vAlign w:val="top"/>
          </w:tcPr>
          <w:p>
            <w:r>
              <w:rPr>
                <w:color w:val="FF0000"/>
                <w:sz w:val="17"/>
              </w:rPr>
              <w:t>Very imprecise with k=3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23.1%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083"/>
        <w:gridCol w:w="1083"/>
        <w:gridCol w:w="1083"/>
        <w:gridCol w:w="1083"/>
        <w:gridCol w:w="1083"/>
        <w:gridCol w:w="1083"/>
        <w:gridCol w:w="1083"/>
        <w:gridCol w:w="1083"/>
        <w:gridCol w:w="1083"/>
      </w:tblGrid>
      <w:tr>
        <w:trPr>
          <w:tblHeader w:val="true"/>
        </w:trPr>
        <w:tc>
          <w:tcPr>
            <w:tcW w:type="dxa" w:w="1440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Outcome</w:t>
            </w:r>
          </w:p>
        </w:tc>
        <w:tc>
          <w:tcPr>
            <w:tcW w:type="dxa" w:w="1584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Evidence base</w:t>
            </w:r>
          </w:p>
        </w:tc>
        <w:tc>
          <w:tcPr>
            <w:tcW w:type="dxa" w:w="1728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Risk of bias</w:t>
            </w:r>
          </w:p>
        </w:tc>
        <w:tc>
          <w:tcPr>
            <w:tcW w:type="dxa" w:w="1440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Inconsistency</w:t>
            </w:r>
          </w:p>
        </w:tc>
        <w:tc>
          <w:tcPr>
            <w:tcW w:type="dxa" w:w="1440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Indirectness</w:t>
            </w:r>
          </w:p>
        </w:tc>
        <w:tc>
          <w:tcPr>
            <w:tcW w:type="dxa" w:w="1440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Imprecision</w:t>
            </w:r>
          </w:p>
        </w:tc>
        <w:tc>
          <w:tcPr>
            <w:tcW w:type="dxa" w:w="1440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Publication bias</w:t>
            </w:r>
          </w:p>
        </w:tc>
        <w:tc>
          <w:tcPr>
            <w:tcW w:type="dxa" w:w="1152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Certainty</w:t>
            </w:r>
          </w:p>
        </w:tc>
        <w:tc>
          <w:tcPr>
            <w:tcW w:type="dxa" w:w="2016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Interpretation</w:t>
            </w:r>
          </w:p>
        </w:tc>
      </w:tr>
      <w:tr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Early mortality</w:t>
            </w:r>
          </w:p>
        </w:tc>
        <w:tc>
          <w:tcPr>
            <w:tcW w:type="dxa" w:w="1584"/>
            <w:vAlign w:val="top"/>
          </w:tcPr>
          <w:p>
            <w:r>
              <w:rPr>
                <w:color w:val="FF0000"/>
                <w:sz w:val="17"/>
              </w:rPr>
              <w:t>8 retrospective cohorts/registries; 951 patients</w:t>
            </w:r>
          </w:p>
        </w:tc>
        <w:tc>
          <w:tcPr>
            <w:tcW w:type="dxa" w:w="1728"/>
            <w:vAlign w:val="top"/>
          </w:tcPr>
          <w:p>
            <w:r>
              <w:rPr>
                <w:color w:val="FF0000"/>
                <w:sz w:val="17"/>
              </w:rPr>
              <w:t>Very serious: all data retrospective, non-randomized, high risk of selection bias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Serious: endpoint definitions mixed; PI 5.5-23.1%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Serious: no patient-level adjustment; variable acuity and centers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Not serious for pooled CI, but PI remains clinically wide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Undetected/uncertain; formal tests underpowered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Very low</w:t>
            </w:r>
          </w:p>
        </w:tc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The pooled estimate is a crude descriptive benchmark, not an individual risk-prediction tool</w:t>
            </w:r>
          </w:p>
        </w:tc>
      </w:tr>
      <w:tr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Repair feasibility</w:t>
            </w:r>
          </w:p>
        </w:tc>
        <w:tc>
          <w:tcPr>
            <w:tcW w:type="dxa" w:w="1584"/>
            <w:vAlign w:val="top"/>
          </w:tcPr>
          <w:p>
            <w:r>
              <w:rPr>
                <w:color w:val="FF0000"/>
                <w:sz w:val="17"/>
              </w:rPr>
              <w:t>8 retrospective cohorts/registries; 951 patients</w:t>
            </w:r>
          </w:p>
        </w:tc>
        <w:tc>
          <w:tcPr>
            <w:tcW w:type="dxa" w:w="1728"/>
            <w:vAlign w:val="top"/>
          </w:tcPr>
          <w:p>
            <w:r>
              <w:rPr>
                <w:color w:val="FF0000"/>
                <w:sz w:val="17"/>
              </w:rPr>
              <w:t>Very serious: selection for repair is highly non-random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Very serious: I2 85.1%; PI 1.1-64.4%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Serious: anatomy, mechanism of failure, clip burden, and expertise inconsistently 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Serious: only 70 repairs overall and sparse zero-event cohorts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Undetected/uncertain; asymmetry may reflect center selection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Very low</w:t>
            </w:r>
          </w:p>
        </w:tc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Repair feasibility should be interpreted narratively and locally, not as a generalizable probability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36"/>
        <w:gridCol w:w="2436"/>
        <w:gridCol w:w="2436"/>
        <w:gridCol w:w="2436"/>
      </w:tblGrid>
      <w:tr>
        <w:trPr>
          <w:tblHeader w:val="true"/>
        </w:trPr>
        <w:tc>
          <w:tcPr>
            <w:tcW w:type="dxa" w:w="1728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Outcome</w:t>
            </w:r>
          </w:p>
        </w:tc>
        <w:tc>
          <w:tcPr>
            <w:tcW w:type="dxa" w:w="3312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Model</w:t>
            </w:r>
          </w:p>
        </w:tc>
        <w:tc>
          <w:tcPr>
            <w:tcW w:type="dxa" w:w="2304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Pooled estimate % (95% CI)</w:t>
            </w:r>
          </w:p>
        </w:tc>
        <w:tc>
          <w:tcPr>
            <w:tcW w:type="dxa" w:w="3600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Interpretation</w:t>
            </w:r>
          </w:p>
        </w:tc>
      </w:tr>
      <w:tr>
        <w:tc>
          <w:tcPr>
            <w:tcW w:type="dxa" w:w="1728"/>
            <w:vAlign w:val="top"/>
          </w:tcPr>
          <w:p>
            <w:r>
              <w:rPr>
                <w:color w:val="FF0000"/>
                <w:sz w:val="17"/>
              </w:rPr>
              <w:t>Early mortality</w:t>
            </w:r>
          </w:p>
        </w:tc>
        <w:tc>
          <w:tcPr>
            <w:tcW w:type="dxa" w:w="3312"/>
            <w:vAlign w:val="top"/>
          </w:tcPr>
          <w:p>
            <w:r>
              <w:rPr>
                <w:color w:val="FF0000"/>
                <w:sz w:val="17"/>
              </w:rPr>
              <w:t>Primary random-effects logit/DL</w:t>
            </w:r>
          </w:p>
        </w:tc>
        <w:tc>
          <w:tcPr>
            <w:tcW w:type="dxa" w:w="2304"/>
            <w:vAlign w:val="top"/>
          </w:tcPr>
          <w:p>
            <w:r>
              <w:rPr>
                <w:color w:val="FF0000"/>
                <w:sz w:val="17"/>
              </w:rPr>
              <w:t>11.7 (8.4-16.0)</w:t>
            </w:r>
          </w:p>
        </w:tc>
        <w:tc>
          <w:tcPr>
            <w:tcW w:type="dxa" w:w="3600"/>
            <w:vAlign w:val="top"/>
          </w:tcPr>
          <w:p>
            <w:r>
              <w:rPr>
                <w:color w:val="FF0000"/>
                <w:sz w:val="17"/>
              </w:rPr>
              <w:t>Reference analysis</w:t>
            </w:r>
          </w:p>
        </w:tc>
      </w:tr>
      <w:tr>
        <w:tc>
          <w:tcPr>
            <w:tcW w:type="dxa" w:w="1728"/>
            <w:vAlign w:val="top"/>
          </w:tcPr>
          <w:p>
            <w:r>
              <w:rPr>
                <w:color w:val="FF0000"/>
                <w:sz w:val="17"/>
              </w:rPr>
              <w:t>Early mortality</w:t>
            </w:r>
          </w:p>
        </w:tc>
        <w:tc>
          <w:tcPr>
            <w:tcW w:type="dxa" w:w="3312"/>
            <w:vAlign w:val="top"/>
          </w:tcPr>
          <w:p>
            <w:r>
              <w:rPr>
                <w:color w:val="FF0000"/>
                <w:sz w:val="17"/>
              </w:rPr>
              <w:t>Hartung-Knapp/Sidik-Jonkman small-k adjustment</w:t>
            </w:r>
          </w:p>
        </w:tc>
        <w:tc>
          <w:tcPr>
            <w:tcW w:type="dxa" w:w="2304"/>
            <w:vAlign w:val="top"/>
          </w:tcPr>
          <w:p>
            <w:r>
              <w:rPr>
                <w:color w:val="FF0000"/>
                <w:sz w:val="17"/>
              </w:rPr>
              <w:t>11.7 (7.7-17.4)</w:t>
            </w:r>
          </w:p>
        </w:tc>
        <w:tc>
          <w:tcPr>
            <w:tcW w:type="dxa" w:w="3600"/>
            <w:vAlign w:val="top"/>
          </w:tcPr>
          <w:p>
            <w:r>
              <w:rPr>
                <w:color w:val="FF0000"/>
                <w:sz w:val="17"/>
              </w:rPr>
              <w:t>Wider CI, same interpretation</w:t>
            </w:r>
          </w:p>
        </w:tc>
      </w:tr>
      <w:tr>
        <w:tc>
          <w:tcPr>
            <w:tcW w:type="dxa" w:w="1728"/>
            <w:vAlign w:val="top"/>
          </w:tcPr>
          <w:p>
            <w:r>
              <w:rPr>
                <w:color w:val="FF0000"/>
                <w:sz w:val="17"/>
              </w:rPr>
              <w:t>Early mortality</w:t>
            </w:r>
          </w:p>
        </w:tc>
        <w:tc>
          <w:tcPr>
            <w:tcW w:type="dxa" w:w="3312"/>
            <w:vAlign w:val="top"/>
          </w:tcPr>
          <w:p>
            <w:r>
              <w:rPr>
                <w:color w:val="FF0000"/>
                <w:sz w:val="17"/>
              </w:rPr>
              <w:t>Logit-normal GLMM</w:t>
            </w:r>
          </w:p>
        </w:tc>
        <w:tc>
          <w:tcPr>
            <w:tcW w:type="dxa" w:w="2304"/>
            <w:vAlign w:val="top"/>
          </w:tcPr>
          <w:p>
            <w:r>
              <w:rPr>
                <w:color w:val="FF0000"/>
                <w:sz w:val="17"/>
              </w:rPr>
              <w:t>10.8 (7.5-15.4)</w:t>
            </w:r>
          </w:p>
        </w:tc>
        <w:tc>
          <w:tcPr>
            <w:tcW w:type="dxa" w:w="3600"/>
            <w:vAlign w:val="top"/>
          </w:tcPr>
          <w:p>
            <w:r>
              <w:rPr>
                <w:color w:val="FF0000"/>
                <w:sz w:val="17"/>
              </w:rPr>
              <w:t>Consistent point estimate</w:t>
            </w:r>
          </w:p>
        </w:tc>
      </w:tr>
      <w:tr>
        <w:tc>
          <w:tcPr>
            <w:tcW w:type="dxa" w:w="1728"/>
            <w:vAlign w:val="top"/>
          </w:tcPr>
          <w:p>
            <w:r>
              <w:rPr>
                <w:color w:val="FF0000"/>
                <w:sz w:val="17"/>
              </w:rPr>
              <w:t>Early mortality</w:t>
            </w:r>
          </w:p>
        </w:tc>
        <w:tc>
          <w:tcPr>
            <w:tcW w:type="dxa" w:w="3312"/>
            <w:vAlign w:val="top"/>
          </w:tcPr>
          <w:p>
            <w:r>
              <w:rPr>
                <w:color w:val="FF0000"/>
                <w:sz w:val="17"/>
              </w:rPr>
              <w:t>Beta-binomial model</w:t>
            </w:r>
          </w:p>
        </w:tc>
        <w:tc>
          <w:tcPr>
            <w:tcW w:type="dxa" w:w="2304"/>
            <w:vAlign w:val="top"/>
          </w:tcPr>
          <w:p>
            <w:r>
              <w:rPr>
                <w:color w:val="FF0000"/>
                <w:sz w:val="17"/>
              </w:rPr>
              <w:t>10.9 (7.7-15.3)</w:t>
            </w:r>
          </w:p>
        </w:tc>
        <w:tc>
          <w:tcPr>
            <w:tcW w:type="dxa" w:w="3600"/>
            <w:vAlign w:val="top"/>
          </w:tcPr>
          <w:p>
            <w:r>
              <w:rPr>
                <w:color w:val="FF0000"/>
                <w:sz w:val="17"/>
              </w:rPr>
              <w:t>Consistent point estimate</w:t>
            </w:r>
          </w:p>
        </w:tc>
      </w:tr>
      <w:tr>
        <w:tc>
          <w:tcPr>
            <w:tcW w:type="dxa" w:w="1728"/>
            <w:vAlign w:val="top"/>
          </w:tcPr>
          <w:p>
            <w:r>
              <w:rPr>
                <w:color w:val="FF0000"/>
                <w:sz w:val="17"/>
              </w:rPr>
              <w:t>Repair feasibility</w:t>
            </w:r>
          </w:p>
        </w:tc>
        <w:tc>
          <w:tcPr>
            <w:tcW w:type="dxa" w:w="3312"/>
            <w:vAlign w:val="top"/>
          </w:tcPr>
          <w:p>
            <w:r>
              <w:rPr>
                <w:color w:val="FF0000"/>
                <w:sz w:val="17"/>
              </w:rPr>
              <w:t>Primary random-effects logit/DL</w:t>
            </w:r>
          </w:p>
        </w:tc>
        <w:tc>
          <w:tcPr>
            <w:tcW w:type="dxa" w:w="2304"/>
            <w:vAlign w:val="top"/>
          </w:tcPr>
          <w:p>
            <w:r>
              <w:rPr>
                <w:color w:val="FF0000"/>
                <w:sz w:val="17"/>
              </w:rPr>
              <w:t>12.5 (6.1-24.1)</w:t>
            </w:r>
          </w:p>
        </w:tc>
        <w:tc>
          <w:tcPr>
            <w:tcW w:type="dxa" w:w="3600"/>
            <w:vAlign w:val="top"/>
          </w:tcPr>
          <w:p>
            <w:r>
              <w:rPr>
                <w:color w:val="FF0000"/>
                <w:sz w:val="17"/>
              </w:rPr>
              <w:t>Reference analysis</w:t>
            </w:r>
          </w:p>
        </w:tc>
      </w:tr>
      <w:tr>
        <w:tc>
          <w:tcPr>
            <w:tcW w:type="dxa" w:w="1728"/>
            <w:vAlign w:val="top"/>
          </w:tcPr>
          <w:p>
            <w:r>
              <w:rPr>
                <w:color w:val="FF0000"/>
                <w:sz w:val="17"/>
              </w:rPr>
              <w:t>Repair feasibility</w:t>
            </w:r>
          </w:p>
        </w:tc>
        <w:tc>
          <w:tcPr>
            <w:tcW w:type="dxa" w:w="3312"/>
            <w:vAlign w:val="top"/>
          </w:tcPr>
          <w:p>
            <w:r>
              <w:rPr>
                <w:color w:val="FF0000"/>
                <w:sz w:val="17"/>
              </w:rPr>
              <w:t>Hartung-Knapp/Sidik-Jonkman small-k adjustment</w:t>
            </w:r>
          </w:p>
        </w:tc>
        <w:tc>
          <w:tcPr>
            <w:tcW w:type="dxa" w:w="2304"/>
            <w:vAlign w:val="top"/>
          </w:tcPr>
          <w:p>
            <w:r>
              <w:rPr>
                <w:color w:val="FF0000"/>
                <w:sz w:val="17"/>
              </w:rPr>
              <w:t>12.5 (4.6-30.0)</w:t>
            </w:r>
          </w:p>
        </w:tc>
        <w:tc>
          <w:tcPr>
            <w:tcW w:type="dxa" w:w="3600"/>
            <w:vAlign w:val="top"/>
          </w:tcPr>
          <w:p>
            <w:r>
              <w:rPr>
                <w:color w:val="FF0000"/>
                <w:sz w:val="17"/>
              </w:rPr>
              <w:t>Wider CI, persistent uncertainty</w:t>
            </w:r>
          </w:p>
        </w:tc>
      </w:tr>
      <w:tr>
        <w:tc>
          <w:tcPr>
            <w:tcW w:type="dxa" w:w="1728"/>
            <w:vAlign w:val="top"/>
          </w:tcPr>
          <w:p>
            <w:r>
              <w:rPr>
                <w:color w:val="FF0000"/>
                <w:sz w:val="17"/>
              </w:rPr>
              <w:t>Repair feasibility</w:t>
            </w:r>
          </w:p>
        </w:tc>
        <w:tc>
          <w:tcPr>
            <w:tcW w:type="dxa" w:w="3312"/>
            <w:vAlign w:val="top"/>
          </w:tcPr>
          <w:p>
            <w:r>
              <w:rPr>
                <w:color w:val="FF0000"/>
                <w:sz w:val="17"/>
              </w:rPr>
              <w:t>Logit-normal GLMM</w:t>
            </w:r>
          </w:p>
        </w:tc>
        <w:tc>
          <w:tcPr>
            <w:tcW w:type="dxa" w:w="2304"/>
            <w:vAlign w:val="top"/>
          </w:tcPr>
          <w:p>
            <w:r>
              <w:rPr>
                <w:color w:val="FF0000"/>
                <w:sz w:val="17"/>
              </w:rPr>
              <w:t>11.2 (7.6-16.0)</w:t>
            </w:r>
          </w:p>
        </w:tc>
        <w:tc>
          <w:tcPr>
            <w:tcW w:type="dxa" w:w="3600"/>
            <w:vAlign w:val="top"/>
          </w:tcPr>
          <w:p>
            <w:r>
              <w:rPr>
                <w:color w:val="FF0000"/>
                <w:sz w:val="17"/>
              </w:rPr>
              <w:t>Consistent low average repair frequency; heterogeneity remains high</w:t>
            </w:r>
          </w:p>
        </w:tc>
      </w:tr>
      <w:tr>
        <w:tc>
          <w:tcPr>
            <w:tcW w:type="dxa" w:w="1728"/>
            <w:vAlign w:val="top"/>
          </w:tcPr>
          <w:p>
            <w:r>
              <w:rPr>
                <w:color w:val="FF0000"/>
                <w:sz w:val="17"/>
              </w:rPr>
              <w:t>Repair feasibility</w:t>
            </w:r>
          </w:p>
        </w:tc>
        <w:tc>
          <w:tcPr>
            <w:tcW w:type="dxa" w:w="3312"/>
            <w:vAlign w:val="top"/>
          </w:tcPr>
          <w:p>
            <w:r>
              <w:rPr>
                <w:color w:val="FF0000"/>
                <w:sz w:val="17"/>
              </w:rPr>
              <w:t>Beta-binomial model</w:t>
            </w:r>
          </w:p>
        </w:tc>
        <w:tc>
          <w:tcPr>
            <w:tcW w:type="dxa" w:w="2304"/>
            <w:vAlign w:val="top"/>
          </w:tcPr>
          <w:p>
            <w:r>
              <w:rPr>
                <w:color w:val="FF0000"/>
                <w:sz w:val="17"/>
              </w:rPr>
              <w:t>14.6 (6.6-29.4)</w:t>
            </w:r>
          </w:p>
        </w:tc>
        <w:tc>
          <w:tcPr>
            <w:tcW w:type="dxa" w:w="3600"/>
            <w:vAlign w:val="top"/>
          </w:tcPr>
          <w:p>
            <w:r>
              <w:rPr>
                <w:color w:val="FF0000"/>
                <w:sz w:val="17"/>
              </w:rPr>
              <w:t>Consistent with broad uncertainty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886"/>
        <w:gridCol w:w="886"/>
        <w:gridCol w:w="886"/>
        <w:gridCol w:w="886"/>
        <w:gridCol w:w="886"/>
        <w:gridCol w:w="886"/>
        <w:gridCol w:w="886"/>
        <w:gridCol w:w="886"/>
        <w:gridCol w:w="886"/>
        <w:gridCol w:w="886"/>
        <w:gridCol w:w="886"/>
      </w:tblGrid>
      <w:tr>
        <w:trPr>
          <w:tblHeader w:val="true"/>
        </w:trPr>
        <w:tc>
          <w:tcPr>
            <w:tcW w:type="dxa" w:w="1440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Study</w:t>
            </w:r>
          </w:p>
        </w:tc>
        <w:tc>
          <w:tcPr>
            <w:tcW w:type="dxa" w:w="648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N</w:t>
            </w:r>
          </w:p>
        </w:tc>
        <w:tc>
          <w:tcPr>
            <w:tcW w:type="dxa" w:w="1440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Design</w:t>
            </w:r>
          </w:p>
        </w:tc>
        <w:tc>
          <w:tcPr>
            <w:tcW w:type="dxa" w:w="1224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Age</w:t>
            </w:r>
          </w:p>
        </w:tc>
        <w:tc>
          <w:tcPr>
            <w:tcW w:type="dxa" w:w="1080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LVEF</w:t>
            </w:r>
          </w:p>
        </w:tc>
        <w:tc>
          <w:tcPr>
            <w:tcW w:type="dxa" w:w="1152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Risk score</w:t>
            </w:r>
          </w:p>
        </w:tc>
        <w:tc>
          <w:tcPr>
            <w:tcW w:type="dxa" w:w="1440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Time TEER-surgery</w:t>
            </w:r>
          </w:p>
        </w:tc>
        <w:tc>
          <w:tcPr>
            <w:tcW w:type="dxa" w:w="1440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Clips / device burden</w:t>
            </w:r>
          </w:p>
        </w:tc>
        <w:tc>
          <w:tcPr>
            <w:tcW w:type="dxa" w:w="1440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Endocarditis / urgency</w:t>
            </w:r>
          </w:p>
        </w:tc>
        <w:tc>
          <w:tcPr>
            <w:tcW w:type="dxa" w:w="1440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Center profile</w:t>
            </w:r>
          </w:p>
        </w:tc>
        <w:tc>
          <w:tcPr>
            <w:tcW w:type="dxa" w:w="1440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Concomitant procedures</w:t>
            </w:r>
          </w:p>
        </w:tc>
      </w:tr>
      <w:tr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STS 2021</w:t>
            </w:r>
          </w:p>
        </w:tc>
        <w:tc>
          <w:tcPr>
            <w:tcW w:type="dxa" w:w="648"/>
            <w:vAlign w:val="top"/>
          </w:tcPr>
          <w:p>
            <w:r>
              <w:rPr>
                <w:color w:val="FF0000"/>
                <w:sz w:val="17"/>
              </w:rPr>
              <w:t>463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Registry</w:t>
            </w:r>
          </w:p>
        </w:tc>
        <w:tc>
          <w:tcPr>
            <w:tcW w:type="dxa" w:w="1224"/>
            <w:vAlign w:val="top"/>
          </w:tcPr>
          <w:p>
            <w:r>
              <w:rPr>
                <w:color w:val="FF0000"/>
                <w:sz w:val="17"/>
              </w:rPr>
              <w:t>Reported at aggregate level</w:t>
            </w:r>
          </w:p>
        </w:tc>
        <w:tc>
          <w:tcPr>
            <w:tcW w:type="dxa" w:w="108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NR/incompletely extractable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Reported; center-volume signal available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</w:tr>
      <w:tr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CUTTING-EDGE 2025</w:t>
            </w:r>
          </w:p>
        </w:tc>
        <w:tc>
          <w:tcPr>
            <w:tcW w:type="dxa" w:w="648"/>
            <w:vAlign w:val="top"/>
          </w:tcPr>
          <w:p>
            <w:r>
              <w:rPr>
                <w:color w:val="FF0000"/>
                <w:sz w:val="17"/>
              </w:rPr>
              <w:t>332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International registry</w:t>
            </w:r>
          </w:p>
        </w:tc>
        <w:tc>
          <w:tcPr>
            <w:tcW w:type="dxa" w:w="1224"/>
            <w:vAlign w:val="top"/>
          </w:tcPr>
          <w:p>
            <w:r>
              <w:rPr>
                <w:color w:val="FF0000"/>
                <w:sz w:val="17"/>
              </w:rPr>
              <w:t>Reported at aggregate level</w:t>
            </w:r>
          </w:p>
        </w:tc>
        <w:tc>
          <w:tcPr>
            <w:tcW w:type="dxa" w:w="108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 by participating centers; no uniform volume threshold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</w:tr>
      <w:tr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Mazur 2022</w:t>
            </w:r>
          </w:p>
        </w:tc>
        <w:tc>
          <w:tcPr>
            <w:tcW w:type="dxa" w:w="648"/>
            <w:vAlign w:val="top"/>
          </w:tcPr>
          <w:p>
            <w:r>
              <w:rPr>
                <w:color w:val="FF0000"/>
                <w:sz w:val="17"/>
              </w:rPr>
              <w:t>41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Single center</w:t>
            </w:r>
          </w:p>
        </w:tc>
        <w:tc>
          <w:tcPr>
            <w:tcW w:type="dxa" w:w="1224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08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NR/incompletely extractable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High-volume expert center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</w:tr>
      <w:tr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Rader 2021</w:t>
            </w:r>
          </w:p>
        </w:tc>
        <w:tc>
          <w:tcPr>
            <w:tcW w:type="dxa" w:w="648"/>
            <w:vAlign w:val="top"/>
          </w:tcPr>
          <w:p>
            <w:r>
              <w:rPr>
                <w:color w:val="FF0000"/>
                <w:sz w:val="17"/>
              </w:rPr>
              <w:t>25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Single center</w:t>
            </w:r>
          </w:p>
        </w:tc>
        <w:tc>
          <w:tcPr>
            <w:tcW w:type="dxa" w:w="1224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08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NR/incompletely extractable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High-volume expert center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</w:tr>
      <w:tr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Akansel 2022</w:t>
            </w:r>
          </w:p>
        </w:tc>
        <w:tc>
          <w:tcPr>
            <w:tcW w:type="dxa" w:w="648"/>
            <w:vAlign w:val="top"/>
          </w:tcPr>
          <w:p>
            <w:r>
              <w:rPr>
                <w:color w:val="FF0000"/>
                <w:sz w:val="17"/>
              </w:rPr>
              <w:t>46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Single center/minimally invasive</w:t>
            </w:r>
          </w:p>
        </w:tc>
        <w:tc>
          <w:tcPr>
            <w:tcW w:type="dxa" w:w="1224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08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NR/incompletely extractable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High-volume expert center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</w:tr>
      <w:tr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Elhmidi 2016</w:t>
            </w:r>
          </w:p>
        </w:tc>
        <w:tc>
          <w:tcPr>
            <w:tcW w:type="dxa" w:w="648"/>
            <w:vAlign w:val="top"/>
          </w:tcPr>
          <w:p>
            <w:r>
              <w:rPr>
                <w:color w:val="FF0000"/>
                <w:sz w:val="17"/>
              </w:rPr>
              <w:t>25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Single center</w:t>
            </w:r>
          </w:p>
        </w:tc>
        <w:tc>
          <w:tcPr>
            <w:tcW w:type="dxa" w:w="1224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08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NR/incompletely extractable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Specialized center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</w:tr>
      <w:tr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Alozie 2014</w:t>
            </w:r>
          </w:p>
        </w:tc>
        <w:tc>
          <w:tcPr>
            <w:tcW w:type="dxa" w:w="648"/>
            <w:vAlign w:val="top"/>
          </w:tcPr>
          <w:p>
            <w:r>
              <w:rPr>
                <w:color w:val="FF0000"/>
                <w:sz w:val="17"/>
              </w:rPr>
              <w:t>13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Single center</w:t>
            </w:r>
          </w:p>
        </w:tc>
        <w:tc>
          <w:tcPr>
            <w:tcW w:type="dxa" w:w="1224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08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NR/incompletely extractable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NR/incompletely extractable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Specialized center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</w:tr>
      <w:tr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Monsefi 2014</w:t>
            </w:r>
          </w:p>
        </w:tc>
        <w:tc>
          <w:tcPr>
            <w:tcW w:type="dxa" w:w="648"/>
            <w:vAlign w:val="top"/>
          </w:tcPr>
          <w:p>
            <w:r>
              <w:rPr>
                <w:color w:val="FF0000"/>
                <w:sz w:val="17"/>
              </w:rPr>
              <w:t>6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Two centers</w:t>
            </w:r>
          </w:p>
        </w:tc>
        <w:tc>
          <w:tcPr>
            <w:tcW w:type="dxa" w:w="1224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08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NR/incompletely extractable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NR/incompletely extractable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NR/incompletely extractable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Specialized centers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3249"/>
        <w:gridCol w:w="3249"/>
        <w:gridCol w:w="3249"/>
      </w:tblGrid>
      <w:tr>
        <w:trPr>
          <w:tblHeader w:val="true"/>
        </w:trPr>
        <w:tc>
          <w:tcPr>
            <w:tcW w:type="dxa" w:w="2592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Outcome domain</w:t>
            </w:r>
          </w:p>
        </w:tc>
        <w:tc>
          <w:tcPr>
            <w:tcW w:type="dxa" w:w="3600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Reporting across included studies</w:t>
            </w:r>
          </w:p>
        </w:tc>
        <w:tc>
          <w:tcPr>
            <w:tcW w:type="dxa" w:w="4320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Handling in this review</w:t>
            </w:r>
          </w:p>
        </w:tc>
      </w:tr>
      <w:tr>
        <w:tc>
          <w:tcPr>
            <w:tcW w:type="dxa" w:w="2592"/>
            <w:vAlign w:val="top"/>
          </w:tcPr>
          <w:p>
            <w:r>
              <w:rPr>
                <w:color w:val="FF0000"/>
                <w:sz w:val="17"/>
              </w:rPr>
              <w:t>Stroke/neurologic event</w:t>
            </w:r>
          </w:p>
        </w:tc>
        <w:tc>
          <w:tcPr>
            <w:tcW w:type="dxa" w:w="3600"/>
            <w:vAlign w:val="top"/>
          </w:tcPr>
          <w:p>
            <w:r>
              <w:rPr>
                <w:color w:val="FF0000"/>
                <w:sz w:val="17"/>
              </w:rPr>
              <w:t>Reported inconsistently across selected cohorts</w:t>
            </w:r>
          </w:p>
        </w:tc>
        <w:tc>
          <w:tcPr>
            <w:tcW w:type="dxa" w:w="4320"/>
            <w:vAlign w:val="top"/>
          </w:tcPr>
          <w:p>
            <w:r>
              <w:rPr>
                <w:color w:val="FF0000"/>
                <w:sz w:val="17"/>
              </w:rPr>
              <w:t>Not pooled; definitions and ascertainment windows differed</w:t>
            </w:r>
          </w:p>
        </w:tc>
      </w:tr>
      <w:tr>
        <w:tc>
          <w:tcPr>
            <w:tcW w:type="dxa" w:w="2592"/>
            <w:vAlign w:val="top"/>
          </w:tcPr>
          <w:p>
            <w:r>
              <w:rPr>
                <w:color w:val="FF0000"/>
                <w:sz w:val="17"/>
              </w:rPr>
              <w:t>Renal failure/dialysis</w:t>
            </w:r>
          </w:p>
        </w:tc>
        <w:tc>
          <w:tcPr>
            <w:tcW w:type="dxa" w:w="3600"/>
            <w:vAlign w:val="top"/>
          </w:tcPr>
          <w:p>
            <w:r>
              <w:rPr>
                <w:color w:val="FF0000"/>
                <w:sz w:val="17"/>
              </w:rPr>
              <w:t>Reported inconsistently across selected cohorts</w:t>
            </w:r>
          </w:p>
        </w:tc>
        <w:tc>
          <w:tcPr>
            <w:tcW w:type="dxa" w:w="4320"/>
            <w:vAlign w:val="top"/>
          </w:tcPr>
          <w:p>
            <w:r>
              <w:rPr>
                <w:color w:val="FF0000"/>
                <w:sz w:val="17"/>
              </w:rPr>
              <w:t>Not pooled; baseline renal disease and postoperative definitions varied</w:t>
            </w:r>
          </w:p>
        </w:tc>
      </w:tr>
      <w:tr>
        <w:tc>
          <w:tcPr>
            <w:tcW w:type="dxa" w:w="2592"/>
            <w:vAlign w:val="top"/>
          </w:tcPr>
          <w:p>
            <w:r>
              <w:rPr>
                <w:color w:val="FF0000"/>
                <w:sz w:val="17"/>
              </w:rPr>
              <w:t>Permanent pacemaker/conduction outcomes</w:t>
            </w:r>
          </w:p>
        </w:tc>
        <w:tc>
          <w:tcPr>
            <w:tcW w:type="dxa" w:w="3600"/>
            <w:vAlign w:val="top"/>
          </w:tcPr>
          <w:p>
            <w:r>
              <w:rPr>
                <w:color w:val="FF0000"/>
                <w:sz w:val="17"/>
              </w:rPr>
              <w:t>Sporadically reported</w:t>
            </w:r>
          </w:p>
        </w:tc>
        <w:tc>
          <w:tcPr>
            <w:tcW w:type="dxa" w:w="4320"/>
            <w:vAlign w:val="top"/>
          </w:tcPr>
          <w:p>
            <w:r>
              <w:rPr>
                <w:color w:val="FF0000"/>
                <w:sz w:val="17"/>
              </w:rPr>
              <w:t>Narrative only</w:t>
            </w:r>
          </w:p>
        </w:tc>
      </w:tr>
      <w:tr>
        <w:tc>
          <w:tcPr>
            <w:tcW w:type="dxa" w:w="2592"/>
            <w:vAlign w:val="top"/>
          </w:tcPr>
          <w:p>
            <w:r>
              <w:rPr>
                <w:color w:val="FF0000"/>
                <w:sz w:val="17"/>
              </w:rPr>
              <w:t>Bleeding/reoperation</w:t>
            </w:r>
          </w:p>
        </w:tc>
        <w:tc>
          <w:tcPr>
            <w:tcW w:type="dxa" w:w="3600"/>
            <w:vAlign w:val="top"/>
          </w:tcPr>
          <w:p>
            <w:r>
              <w:rPr>
                <w:color w:val="FF0000"/>
                <w:sz w:val="17"/>
              </w:rPr>
              <w:t>Sporadically reported</w:t>
            </w:r>
          </w:p>
        </w:tc>
        <w:tc>
          <w:tcPr>
            <w:tcW w:type="dxa" w:w="4320"/>
            <w:vAlign w:val="top"/>
          </w:tcPr>
          <w:p>
            <w:r>
              <w:rPr>
                <w:color w:val="FF0000"/>
                <w:sz w:val="17"/>
              </w:rPr>
              <w:t>Narrative only; reoperation definitions varied</w:t>
            </w:r>
          </w:p>
        </w:tc>
      </w:tr>
      <w:tr>
        <w:tc>
          <w:tcPr>
            <w:tcW w:type="dxa" w:w="2592"/>
            <w:vAlign w:val="top"/>
          </w:tcPr>
          <w:p>
            <w:r>
              <w:rPr>
                <w:color w:val="FF0000"/>
                <w:sz w:val="17"/>
              </w:rPr>
              <w:t>ICU length of stay and hospital length of stay</w:t>
            </w:r>
          </w:p>
        </w:tc>
        <w:tc>
          <w:tcPr>
            <w:tcW w:type="dxa" w:w="3600"/>
            <w:vAlign w:val="top"/>
          </w:tcPr>
          <w:p>
            <w:r>
              <w:rPr>
                <w:color w:val="FF0000"/>
                <w:sz w:val="17"/>
              </w:rPr>
              <w:t>Reported by some cohorts but not uniformly</w:t>
            </w:r>
          </w:p>
        </w:tc>
        <w:tc>
          <w:tcPr>
            <w:tcW w:type="dxa" w:w="4320"/>
            <w:vAlign w:val="top"/>
          </w:tcPr>
          <w:p>
            <w:r>
              <w:rPr>
                <w:color w:val="FF0000"/>
                <w:sz w:val="17"/>
              </w:rPr>
              <w:t>Narrative only because medians/means and discharge practices differed</w:t>
            </w:r>
          </w:p>
        </w:tc>
      </w:tr>
      <w:tr>
        <w:tc>
          <w:tcPr>
            <w:tcW w:type="dxa" w:w="2592"/>
            <w:vAlign w:val="top"/>
          </w:tcPr>
          <w:p>
            <w:r>
              <w:rPr>
                <w:color w:val="FF0000"/>
                <w:sz w:val="17"/>
              </w:rPr>
              <w:t>Concomitant procedures</w:t>
            </w:r>
          </w:p>
        </w:tc>
        <w:tc>
          <w:tcPr>
            <w:tcW w:type="dxa" w:w="3600"/>
            <w:vAlign w:val="top"/>
          </w:tcPr>
          <w:p>
            <w:r>
              <w:rPr>
                <w:color w:val="FF0000"/>
                <w:sz w:val="17"/>
              </w:rPr>
              <w:t>Frequently reported but heterogeneous</w:t>
            </w:r>
          </w:p>
        </w:tc>
        <w:tc>
          <w:tcPr>
            <w:tcW w:type="dxa" w:w="4320"/>
            <w:vAlign w:val="top"/>
          </w:tcPr>
          <w:p>
            <w:r>
              <w:rPr>
                <w:color w:val="FF0000"/>
                <w:sz w:val="17"/>
              </w:rPr>
              <w:t>Summarized as a potential contributor to mortality heterogeneity rather than meta-analyzed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624"/>
        <w:gridCol w:w="1624"/>
        <w:gridCol w:w="1624"/>
        <w:gridCol w:w="1624"/>
        <w:gridCol w:w="1624"/>
        <w:gridCol w:w="1624"/>
      </w:tblGrid>
      <w:tr>
        <w:trPr>
          <w:tblHeader w:val="true"/>
        </w:trPr>
        <w:tc>
          <w:tcPr>
            <w:tcW w:type="dxa" w:w="2880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Analysis</w:t>
            </w:r>
          </w:p>
        </w:tc>
        <w:tc>
          <w:tcPr>
            <w:tcW w:type="dxa" w:w="1152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k (N)</w:t>
            </w:r>
          </w:p>
        </w:tc>
        <w:tc>
          <w:tcPr>
            <w:tcW w:type="dxa" w:w="1008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Repairs</w:t>
            </w:r>
          </w:p>
        </w:tc>
        <w:tc>
          <w:tcPr>
            <w:tcW w:type="dxa" w:w="2160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Pooled % (95% CI)</w:t>
            </w:r>
          </w:p>
        </w:tc>
        <w:tc>
          <w:tcPr>
            <w:tcW w:type="dxa" w:w="2304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95% prediction interval</w:t>
            </w:r>
          </w:p>
        </w:tc>
        <w:tc>
          <w:tcPr>
            <w:tcW w:type="dxa" w:w="1008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I2</w:t>
            </w:r>
          </w:p>
        </w:tc>
      </w:tr>
      <w:tr>
        <w:tc>
          <w:tcPr>
            <w:tcW w:type="dxa" w:w="2880"/>
            <w:vAlign w:val="top"/>
          </w:tcPr>
          <w:p>
            <w:r>
              <w:rPr>
                <w:color w:val="FF0000"/>
                <w:sz w:val="17"/>
              </w:rPr>
              <w:t>Primary repair-feasibility analysis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8 (951)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70</w:t>
            </w:r>
          </w:p>
        </w:tc>
        <w:tc>
          <w:tcPr>
            <w:tcW w:type="dxa" w:w="2160"/>
            <w:vAlign w:val="top"/>
          </w:tcPr>
          <w:p>
            <w:r>
              <w:rPr>
                <w:color w:val="FF0000"/>
                <w:sz w:val="17"/>
              </w:rPr>
              <w:t>12.5 (6.1-24.1)</w:t>
            </w:r>
          </w:p>
        </w:tc>
        <w:tc>
          <w:tcPr>
            <w:tcW w:type="dxa" w:w="2304"/>
            <w:vAlign w:val="top"/>
          </w:tcPr>
          <w:p>
            <w:r>
              <w:rPr>
                <w:color w:val="FF0000"/>
                <w:sz w:val="17"/>
              </w:rPr>
              <w:t>1.1-64.4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85.1%</w:t>
            </w:r>
          </w:p>
        </w:tc>
      </w:tr>
      <w:tr>
        <w:tc>
          <w:tcPr>
            <w:tcW w:type="dxa" w:w="2880"/>
            <w:vAlign w:val="top"/>
          </w:tcPr>
          <w:p>
            <w:r>
              <w:rPr>
                <w:color w:val="FF0000"/>
                <w:sz w:val="17"/>
              </w:rPr>
              <w:t>Excluding cohorts with N &lt; 10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7 (945)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67</w:t>
            </w:r>
          </w:p>
        </w:tc>
        <w:tc>
          <w:tcPr>
            <w:tcW w:type="dxa" w:w="2160"/>
            <w:vAlign w:val="top"/>
          </w:tcPr>
          <w:p>
            <w:r>
              <w:rPr>
                <w:color w:val="FF0000"/>
                <w:sz w:val="17"/>
              </w:rPr>
              <w:t>10.4 (5.0-20.3)</w:t>
            </w:r>
          </w:p>
        </w:tc>
        <w:tc>
          <w:tcPr>
            <w:tcW w:type="dxa" w:w="2304"/>
            <w:vAlign w:val="top"/>
          </w:tcPr>
          <w:p>
            <w:r>
              <w:rPr>
                <w:color w:val="FF0000"/>
                <w:sz w:val="17"/>
              </w:rPr>
              <w:t>1.0-58.2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84.4%</w:t>
            </w:r>
          </w:p>
        </w:tc>
      </w:tr>
      <w:tr>
        <w:tc>
          <w:tcPr>
            <w:tcW w:type="dxa" w:w="2880"/>
            <w:vAlign w:val="top"/>
          </w:tcPr>
          <w:p>
            <w:r>
              <w:rPr>
                <w:color w:val="FF0000"/>
                <w:sz w:val="17"/>
              </w:rPr>
              <w:t>Excluding zero-repair cohorts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6 (897)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70</w:t>
            </w:r>
          </w:p>
        </w:tc>
        <w:tc>
          <w:tcPr>
            <w:tcW w:type="dxa" w:w="2160"/>
            <w:vAlign w:val="top"/>
          </w:tcPr>
          <w:p>
            <w:r>
              <w:rPr>
                <w:color w:val="FF0000"/>
                <w:sz w:val="17"/>
              </w:rPr>
              <w:t>15.4 (7.3-29.9)</w:t>
            </w:r>
          </w:p>
        </w:tc>
        <w:tc>
          <w:tcPr>
            <w:tcW w:type="dxa" w:w="2304"/>
            <w:vAlign w:val="top"/>
          </w:tcPr>
          <w:p>
            <w:r>
              <w:rPr>
                <w:color w:val="FF0000"/>
                <w:sz w:val="17"/>
              </w:rPr>
              <w:t>1.0-77.2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88.7%</w:t>
            </w:r>
          </w:p>
        </w:tc>
      </w:tr>
      <w:tr>
        <w:tc>
          <w:tcPr>
            <w:tcW w:type="dxa" w:w="2880"/>
            <w:vAlign w:val="top"/>
          </w:tcPr>
          <w:p>
            <w:r>
              <w:rPr>
                <w:color w:val="FF0000"/>
                <w:sz w:val="17"/>
              </w:rPr>
              <w:t>Contemporary cohorts (2021 onward)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5 (907)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62</w:t>
            </w:r>
          </w:p>
        </w:tc>
        <w:tc>
          <w:tcPr>
            <w:tcW w:type="dxa" w:w="2160"/>
            <w:vAlign w:val="top"/>
          </w:tcPr>
          <w:p>
            <w:r>
              <w:rPr>
                <w:color w:val="FF0000"/>
                <w:sz w:val="17"/>
              </w:rPr>
              <w:t>9.7 (4.1-21.1)</w:t>
            </w:r>
          </w:p>
        </w:tc>
        <w:tc>
          <w:tcPr>
            <w:tcW w:type="dxa" w:w="2304"/>
            <w:vAlign w:val="top"/>
          </w:tcPr>
          <w:p>
            <w:r>
              <w:rPr>
                <w:color w:val="FF0000"/>
                <w:sz w:val="17"/>
              </w:rPr>
              <w:t>0.4-73.4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88.2%</w:t>
            </w:r>
          </w:p>
        </w:tc>
      </w:tr>
      <w:tr>
        <w:tc>
          <w:tcPr>
            <w:tcW w:type="dxa" w:w="2880"/>
            <w:vAlign w:val="top"/>
          </w:tcPr>
          <w:p>
            <w:r>
              <w:rPr>
                <w:color w:val="FF0000"/>
                <w:sz w:val="17"/>
              </w:rPr>
              <w:t>Registry cohorts only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2 (795)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47</w:t>
            </w:r>
          </w:p>
        </w:tc>
        <w:tc>
          <w:tcPr>
            <w:tcW w:type="dxa" w:w="2160"/>
            <w:vAlign w:val="top"/>
          </w:tcPr>
          <w:p>
            <w:r>
              <w:rPr>
                <w:color w:val="FF0000"/>
                <w:sz w:val="17"/>
              </w:rPr>
              <w:t>6.0 (3.8-9.4)</w:t>
            </w:r>
          </w:p>
        </w:tc>
        <w:tc>
          <w:tcPr>
            <w:tcW w:type="dxa" w:w="2304"/>
            <w:vAlign w:val="top"/>
          </w:tcPr>
          <w:p>
            <w:r>
              <w:rPr>
                <w:color w:val="FF0000"/>
                <w:sz w:val="17"/>
              </w:rPr>
              <w:t>Not estimable with k=2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62.1%</w:t>
            </w:r>
          </w:p>
        </w:tc>
      </w:tr>
      <w:tr>
        <w:tc>
          <w:tcPr>
            <w:tcW w:type="dxa" w:w="2880"/>
            <w:vAlign w:val="top"/>
          </w:tcPr>
          <w:p>
            <w:r>
              <w:rPr>
                <w:color w:val="FF0000"/>
                <w:sz w:val="17"/>
              </w:rPr>
              <w:t>Single-center cohorts only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6 (156)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23</w:t>
            </w:r>
          </w:p>
        </w:tc>
        <w:tc>
          <w:tcPr>
            <w:tcW w:type="dxa" w:w="2160"/>
            <w:vAlign w:val="top"/>
          </w:tcPr>
          <w:p>
            <w:r>
              <w:rPr>
                <w:color w:val="FF0000"/>
                <w:sz w:val="17"/>
              </w:rPr>
              <w:t>17.9 (7.4-37.2)</w:t>
            </w:r>
          </w:p>
        </w:tc>
        <w:tc>
          <w:tcPr>
            <w:tcW w:type="dxa" w:w="2304"/>
            <w:vAlign w:val="top"/>
          </w:tcPr>
          <w:p>
            <w:r>
              <w:rPr>
                <w:color w:val="FF0000"/>
                <w:sz w:val="17"/>
              </w:rPr>
              <w:t>1.0-82.2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70.5%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873"/>
        <w:gridCol w:w="4873"/>
      </w:tblGrid>
      <w:tr>
        <w:trPr>
          <w:tblHeader w:val="true"/>
        </w:trPr>
        <w:tc>
          <w:tcPr>
            <w:tcW w:type="dxa" w:w="2016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Database</w:t>
            </w:r>
          </w:p>
        </w:tc>
        <w:tc>
          <w:tcPr>
            <w:tcW w:type="dxa" w:w="8640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Search string</w:t>
            </w:r>
          </w:p>
        </w:tc>
      </w:tr>
      <w:tr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MEDLINE/PubMed</w:t>
            </w:r>
          </w:p>
        </w:tc>
        <w:tc>
          <w:tcPr>
            <w:tcW w:type="dxa" w:w="8640"/>
            <w:vAlign w:val="top"/>
          </w:tcPr>
          <w:p>
            <w:r>
              <w:rPr>
                <w:color w:val="FF0000"/>
                <w:sz w:val="17"/>
              </w:rPr>
              <w:t>((mitral[Title/Abstract] OR "mitral valve"[Title/Abstract]) AND (MitraClip[Title/Abstract] OR TEER[Title/Abstract] OR M-TEER[Title/Abstract] OR PASCAL[Title/Abstract] OR "transcatheter edge-to-edge repair"[Title/Abstract] OR "transcatheter mitral valve repair"[Title/Abstract]) AND (fail*[Title/Abstract] OR recurrent[Title/Abstract] OR residual[Title/Abstract] OR reintervention[Title/Abstract] OR surgery[Title/Abstract] OR "mitral valve surgery"[Title/Abstract] OR repair[Title/Abstract] OR replacement[Title/Abstract] OR explant*[Title/Abstract] OR detachment[Title/Abstract] OR endocarditis[Title/Abstract]))</w:t>
            </w:r>
          </w:p>
        </w:tc>
      </w:tr>
      <w:tr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Embase</w:t>
            </w:r>
          </w:p>
        </w:tc>
        <w:tc>
          <w:tcPr>
            <w:tcW w:type="dxa" w:w="8640"/>
            <w:vAlign w:val="top"/>
          </w:tcPr>
          <w:p>
            <w:r>
              <w:rPr>
                <w:color w:val="FF0000"/>
                <w:sz w:val="17"/>
              </w:rPr>
              <w:t>(mitral:ti,ab OR "mitral valve":ti,ab) AND (MitraClip:ti,ab OR TEER:ti,ab OR M-TEER:ti,ab OR PASCAL:ti,ab OR "transcatheter edge-to-edge repair":ti,ab OR "transcatheter mitral valve repair":ti,ab) AND (fail*:ti,ab OR recurrent:ti,ab OR residual:ti,ab OR reintervention:ti,ab OR surgery:ti,ab OR "mitral valve surgery":ti,ab OR repair:ti,ab OR replacement:ti,ab OR explant*:ti,ab OR detachment:ti,ab OR endocarditis:ti,ab)</w:t>
            </w:r>
          </w:p>
        </w:tc>
      </w:tr>
      <w:tr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Scopus</w:t>
            </w:r>
          </w:p>
        </w:tc>
        <w:tc>
          <w:tcPr>
            <w:tcW w:type="dxa" w:w="8640"/>
            <w:vAlign w:val="top"/>
          </w:tcPr>
          <w:p>
            <w:r>
              <w:rPr>
                <w:color w:val="FF0000"/>
                <w:sz w:val="17"/>
              </w:rPr>
              <w:t>TITLE-ABS-KEY((mitral OR "mitral valve") AND (MitraClip OR TEER OR M-TEER OR PASCAL OR "transcatheter edge-to-edge repair" OR "transcatheter mitral valve repair") AND (fail* OR recurrent OR residual OR reintervention OR surgery OR "mitral valve surgery" OR repair OR replacement OR explant* OR detachment OR endocarditis))</w:t>
            </w:r>
          </w:p>
        </w:tc>
      </w:tr>
      <w:tr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Web of Science</w:t>
            </w:r>
          </w:p>
        </w:tc>
        <w:tc>
          <w:tcPr>
            <w:tcW w:type="dxa" w:w="8640"/>
            <w:vAlign w:val="top"/>
          </w:tcPr>
          <w:p>
            <w:r>
              <w:rPr>
                <w:color w:val="FF0000"/>
                <w:sz w:val="17"/>
              </w:rPr>
              <w:t>TS=((mitral OR "mitral valve") AND (MitraClip OR TEER OR M-TEER OR PASCAL OR "transcatheter edge-to-edge repair" OR "transcatheter mitral valve repair") AND (fail* OR recurrent OR residual OR reintervention OR surgery OR "mitral valve surgery" OR repair OR replacement OR explant* OR detachment OR endocarditis))</w:t>
            </w:r>
          </w:p>
        </w:tc>
      </w:tr>
    </w:tbl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