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F20" w:rsidRPr="00E13E47" w:rsidRDefault="00BD49FC" w:rsidP="00790794">
      <w:pPr>
        <w:spacing w:after="0"/>
        <w:rPr>
          <w:rFonts w:ascii="Arial" w:hAnsi="Arial" w:cs="Times"/>
          <w:b/>
          <w:sz w:val="28"/>
          <w:szCs w:val="20"/>
        </w:rPr>
      </w:pPr>
      <w:r w:rsidRPr="00E13E47">
        <w:rPr>
          <w:rFonts w:ascii="Arial" w:hAnsi="Arial" w:cs="Times"/>
          <w:b/>
          <w:sz w:val="28"/>
          <w:szCs w:val="20"/>
        </w:rPr>
        <w:t>Consolidated criteria for reporting qualitative studies (COREQ): 32-item checklist</w:t>
      </w:r>
    </w:p>
    <w:p w:rsidR="00790794" w:rsidRDefault="00790794" w:rsidP="00790794">
      <w:pPr>
        <w:spacing w:after="0"/>
        <w:rPr>
          <w:rFonts w:ascii="Arial" w:hAnsi="Arial"/>
          <w:sz w:val="22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52"/>
        <w:gridCol w:w="4131"/>
        <w:gridCol w:w="2385"/>
      </w:tblGrid>
      <w:tr w:rsidR="00790794" w:rsidRPr="0091109C" w:rsidTr="00523D4A">
        <w:tc>
          <w:tcPr>
            <w:tcW w:w="2952" w:type="dxa"/>
            <w:shd w:val="clear" w:color="auto" w:fill="C0C0C0"/>
          </w:tcPr>
          <w:p w:rsidR="00790794" w:rsidRPr="009110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 xml:space="preserve">No.  Item </w:t>
            </w:r>
          </w:p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b/>
                <w:sz w:val="22"/>
              </w:rPr>
            </w:pPr>
          </w:p>
        </w:tc>
        <w:tc>
          <w:tcPr>
            <w:tcW w:w="4131" w:type="dxa"/>
            <w:shd w:val="clear" w:color="auto" w:fill="C0C0C0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>Guide questions/description</w:t>
            </w:r>
          </w:p>
        </w:tc>
        <w:tc>
          <w:tcPr>
            <w:tcW w:w="2385" w:type="dxa"/>
            <w:shd w:val="clear" w:color="auto" w:fill="C0C0C0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b/>
                <w:sz w:val="22"/>
              </w:rPr>
            </w:pPr>
            <w:r w:rsidRPr="0091109C">
              <w:rPr>
                <w:rFonts w:ascii="Arial" w:eastAsiaTheme="minorHAnsi" w:hAnsi="Arial" w:cstheme="minorBidi"/>
                <w:b/>
                <w:sz w:val="22"/>
              </w:rPr>
              <w:t>Reported on Page</w:t>
            </w:r>
            <w:r>
              <w:rPr>
                <w:rFonts w:ascii="Arial" w:eastAsiaTheme="minorHAnsi" w:hAnsi="Arial" w:cstheme="minorBidi"/>
                <w:b/>
                <w:sz w:val="22"/>
              </w:rPr>
              <w:t xml:space="preserve"> #</w:t>
            </w:r>
          </w:p>
        </w:tc>
      </w:tr>
      <w:tr w:rsidR="00790794" w:rsidRPr="0091109C" w:rsidTr="00523D4A">
        <w:tc>
          <w:tcPr>
            <w:tcW w:w="2952" w:type="dxa"/>
          </w:tcPr>
          <w:p w:rsidR="00790794" w:rsidRPr="009110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>Domain 1: Research team and reﬂexivity</w:t>
            </w:r>
            <w:r w:rsidRPr="0091109C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131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385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 w:rsidTr="00523D4A">
        <w:tc>
          <w:tcPr>
            <w:tcW w:w="2952" w:type="dxa"/>
          </w:tcPr>
          <w:p w:rsidR="00790794" w:rsidRPr="00991380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991380">
              <w:rPr>
                <w:rFonts w:ascii="Arial" w:hAnsi="Arial" w:cs="Times"/>
                <w:i/>
                <w:sz w:val="22"/>
                <w:szCs w:val="20"/>
              </w:rPr>
              <w:t>Personal Characteristics</w:t>
            </w:r>
            <w:r w:rsidRPr="00991380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131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385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 w:rsidTr="00523D4A">
        <w:tc>
          <w:tcPr>
            <w:tcW w:w="2952" w:type="dxa"/>
          </w:tcPr>
          <w:p w:rsidR="00790794" w:rsidRPr="0091109C" w:rsidRDefault="00790794" w:rsidP="00132316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1. Interviewer/facilitator</w:t>
            </w:r>
          </w:p>
        </w:tc>
        <w:tc>
          <w:tcPr>
            <w:tcW w:w="4131" w:type="dxa"/>
          </w:tcPr>
          <w:p w:rsidR="00790794" w:rsidRPr="00991380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Which author/s conducted the inter view or focus group?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790794" w:rsidRPr="0091109C" w:rsidRDefault="00132316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See Nyondo-Mipando et al 2020 </w:t>
            </w:r>
            <w:r w:rsidR="00CF031D">
              <w:rPr>
                <w:rFonts w:ascii="Arial" w:eastAsiaTheme="minorHAnsi" w:hAnsi="Arial" w:cstheme="minorBidi"/>
                <w:sz w:val="22"/>
              </w:rPr>
              <w:t>(</w:t>
            </w:r>
            <w:r w:rsidR="00EC3BE0">
              <w:rPr>
                <w:rFonts w:ascii="Arial" w:eastAsiaTheme="minorHAnsi" w:hAnsi="Arial" w:cstheme="minorBidi"/>
                <w:sz w:val="22"/>
              </w:rPr>
              <w:t>*</w:t>
            </w:r>
            <w:r w:rsidR="00CF031D" w:rsidRPr="00CF031D">
              <w:rPr>
                <w:rFonts w:ascii="Arial" w:eastAsiaTheme="minorHAnsi" w:hAnsi="Arial" w:cstheme="minorBidi"/>
                <w:i/>
                <w:sz w:val="22"/>
              </w:rPr>
              <w:t>see reference below table</w:t>
            </w:r>
            <w:r w:rsidR="00CF031D">
              <w:rPr>
                <w:rFonts w:ascii="Arial" w:eastAsiaTheme="minorHAnsi" w:hAnsi="Arial" w:cstheme="minorBidi"/>
                <w:sz w:val="22"/>
              </w:rPr>
              <w:t>)</w:t>
            </w:r>
            <w:r>
              <w:rPr>
                <w:rFonts w:ascii="Arial" w:eastAsiaTheme="minorHAnsi" w:hAnsi="Arial" w:cstheme="minorBidi"/>
                <w:sz w:val="22"/>
              </w:rPr>
              <w:t>– pg 4</w:t>
            </w:r>
          </w:p>
        </w:tc>
      </w:tr>
      <w:tr w:rsidR="00790794" w:rsidRPr="0091109C" w:rsidTr="00523D4A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2. Credentials</w:t>
            </w:r>
          </w:p>
        </w:tc>
        <w:tc>
          <w:tcPr>
            <w:tcW w:w="4131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were the researcher’s credentials?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E.g. PhD, MD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790794" w:rsidRPr="0091109C" w:rsidRDefault="00132316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See Nyondo-Mipando et al 2020 – pg 4</w:t>
            </w:r>
          </w:p>
        </w:tc>
      </w:tr>
      <w:tr w:rsidR="00790794" w:rsidRPr="0091109C" w:rsidTr="00523D4A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3. Occupation</w:t>
            </w:r>
          </w:p>
        </w:tc>
        <w:tc>
          <w:tcPr>
            <w:tcW w:w="4131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was their occupation at the time of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790794" w:rsidRPr="0091109C" w:rsidRDefault="00132316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See Nyondo-Mipando et al 2020 – pg 4</w:t>
            </w:r>
          </w:p>
        </w:tc>
      </w:tr>
      <w:tr w:rsidR="00790794" w:rsidRPr="0091109C" w:rsidTr="00523D4A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4. Gender</w:t>
            </w:r>
          </w:p>
        </w:tc>
        <w:tc>
          <w:tcPr>
            <w:tcW w:w="4131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the researcher male or female?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790794" w:rsidRPr="0091109C" w:rsidRDefault="00132316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See Nyondo-Mipando et al 2020 – pg 5</w:t>
            </w:r>
          </w:p>
        </w:tc>
      </w:tr>
      <w:tr w:rsidR="00790794" w:rsidRPr="0091109C" w:rsidTr="00523D4A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5. Experience and training</w:t>
            </w:r>
          </w:p>
        </w:tc>
        <w:tc>
          <w:tcPr>
            <w:tcW w:w="4131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experience or training did the researcher have?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790794" w:rsidRPr="0091109C" w:rsidRDefault="00132316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See Nyondo-Mipando et al 2020 – pg 4</w:t>
            </w:r>
          </w:p>
        </w:tc>
      </w:tr>
      <w:tr w:rsidR="00790794" w:rsidRPr="0091109C" w:rsidTr="00523D4A">
        <w:tc>
          <w:tcPr>
            <w:tcW w:w="2952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150B92">
              <w:rPr>
                <w:rFonts w:ascii="Arial" w:hAnsi="Arial" w:cs="Times"/>
                <w:i/>
                <w:sz w:val="22"/>
                <w:szCs w:val="20"/>
              </w:rPr>
              <w:t>Relationship with participants</w:t>
            </w:r>
            <w:r w:rsidRPr="00150B92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131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385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 w:rsidTr="00523D4A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6. Relationship established</w:t>
            </w:r>
          </w:p>
        </w:tc>
        <w:tc>
          <w:tcPr>
            <w:tcW w:w="4131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a relationship established prior to study commencement?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790794" w:rsidRPr="0091109C" w:rsidRDefault="00132316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See Nyondo-Mipando et al 2020 – pg 5</w:t>
            </w:r>
          </w:p>
        </w:tc>
      </w:tr>
      <w:tr w:rsidR="00790794" w:rsidRPr="0091109C" w:rsidTr="00523D4A">
        <w:tc>
          <w:tcPr>
            <w:tcW w:w="2952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7. Participant knowledge of the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viewer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4131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did the participants know about the researcher? e.g. personal goals, reasons for doing the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research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790794" w:rsidRPr="0091109C" w:rsidRDefault="00132316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See Nyondo-Mipando et al 2020 – pg 4</w:t>
            </w:r>
          </w:p>
        </w:tc>
      </w:tr>
      <w:tr w:rsidR="00790794" w:rsidRPr="0091109C" w:rsidTr="00523D4A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8.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viewer characteristics</w:t>
            </w:r>
          </w:p>
        </w:tc>
        <w:tc>
          <w:tcPr>
            <w:tcW w:w="4131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characteristics were reported about the inter viewer/facilitator? e.g.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Bias, assumptions,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reasons and interests in the research topic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790794" w:rsidRPr="0091109C" w:rsidRDefault="00132316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See Nyondo-Mipando et al 2020 – pg 4</w:t>
            </w:r>
          </w:p>
        </w:tc>
      </w:tr>
      <w:tr w:rsidR="00790794" w:rsidRPr="0091109C" w:rsidTr="00523D4A">
        <w:tc>
          <w:tcPr>
            <w:tcW w:w="2952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1539DF">
              <w:rPr>
                <w:rFonts w:ascii="Arial" w:hAnsi="Arial" w:cs="Times"/>
                <w:b/>
                <w:sz w:val="22"/>
                <w:szCs w:val="20"/>
              </w:rPr>
              <w:t>Domain 2: study design</w:t>
            </w:r>
            <w:r w:rsidRPr="001539DF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131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385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 w:rsidTr="00523D4A">
        <w:tc>
          <w:tcPr>
            <w:tcW w:w="2952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1539DF">
              <w:rPr>
                <w:rFonts w:ascii="Arial" w:hAnsi="Arial" w:cs="Times"/>
                <w:i/>
                <w:sz w:val="22"/>
                <w:szCs w:val="20"/>
              </w:rPr>
              <w:t>Theoretical framework</w:t>
            </w:r>
            <w:r w:rsidRPr="001539DF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131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385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 w:rsidTr="00523D4A">
        <w:tc>
          <w:tcPr>
            <w:tcW w:w="2952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9. Methodological orientation and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Theory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4131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methodological orientation was stated to underpin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e.g. grounded theor</w:t>
            </w:r>
            <w:r w:rsidRPr="0091109C">
              <w:rPr>
                <w:rFonts w:ascii="Arial" w:hAnsi="Arial" w:cs="Times"/>
                <w:sz w:val="22"/>
                <w:szCs w:val="20"/>
              </w:rPr>
              <w:t>y,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discourse analysis, ethnography, pheno</w:t>
            </w:r>
            <w:r>
              <w:rPr>
                <w:rFonts w:ascii="Arial" w:hAnsi="Arial" w:cs="Times"/>
                <w:sz w:val="22"/>
                <w:szCs w:val="20"/>
              </w:rPr>
              <w:t>menolog</w:t>
            </w:r>
            <w:r w:rsidRPr="0091109C">
              <w:rPr>
                <w:rFonts w:ascii="Arial" w:hAnsi="Arial" w:cs="Times"/>
                <w:sz w:val="22"/>
                <w:szCs w:val="20"/>
              </w:rPr>
              <w:t>y, content analysis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790794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Pg 9; see also </w:t>
            </w:r>
            <w:r w:rsidR="00132316">
              <w:rPr>
                <w:rFonts w:ascii="Arial" w:eastAsiaTheme="minorHAnsi" w:hAnsi="Arial" w:cstheme="minorBidi"/>
                <w:sz w:val="22"/>
              </w:rPr>
              <w:t>Nyondo-Mipando et al 2020 – pg 3</w:t>
            </w:r>
          </w:p>
        </w:tc>
      </w:tr>
      <w:tr w:rsidR="00790794" w:rsidRPr="0091109C" w:rsidTr="00523D4A">
        <w:tc>
          <w:tcPr>
            <w:tcW w:w="2952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515CBE">
              <w:rPr>
                <w:rFonts w:ascii="Arial" w:hAnsi="Arial" w:cs="Times"/>
                <w:i/>
                <w:sz w:val="22"/>
                <w:szCs w:val="20"/>
              </w:rPr>
              <w:t>Participant selection</w:t>
            </w:r>
            <w:r w:rsidRPr="00515CBE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131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385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 w:rsidTr="00523D4A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10. Sampling</w:t>
            </w:r>
          </w:p>
        </w:tc>
        <w:tc>
          <w:tcPr>
            <w:tcW w:w="4131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were participants selected?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e.g. pur</w:t>
            </w:r>
            <w:r w:rsidRPr="0091109C">
              <w:rPr>
                <w:rFonts w:ascii="Arial" w:hAnsi="Arial" w:cs="Times"/>
                <w:sz w:val="22"/>
                <w:szCs w:val="20"/>
              </w:rPr>
              <w:t>posive, convenience, consecutive, snowball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790794" w:rsidRPr="0091109C" w:rsidRDefault="00523D4A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Pg 8</w:t>
            </w:r>
            <w:r w:rsidR="00DF1408">
              <w:rPr>
                <w:rFonts w:ascii="Arial" w:eastAsiaTheme="minorHAnsi" w:hAnsi="Arial" w:cstheme="minorBidi"/>
                <w:sz w:val="22"/>
              </w:rPr>
              <w:t>; see also Nyondo-Mipando et al 2020 – pg 4</w:t>
            </w:r>
          </w:p>
        </w:tc>
      </w:tr>
      <w:tr w:rsidR="00790794" w:rsidRPr="0091109C" w:rsidTr="00523D4A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11. Method of approach</w:t>
            </w:r>
          </w:p>
        </w:tc>
        <w:tc>
          <w:tcPr>
            <w:tcW w:w="4131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were participants approached? e.g. face-to-face, telephone, mail, email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790794" w:rsidRPr="0091109C" w:rsidRDefault="00523D4A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See Nyondo-Mipando et al 2020 – pg 4</w:t>
            </w:r>
          </w:p>
        </w:tc>
      </w:tr>
      <w:tr w:rsidR="00523D4A" w:rsidRPr="0091109C" w:rsidTr="00523D4A">
        <w:tc>
          <w:tcPr>
            <w:tcW w:w="2952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12. Sample size</w:t>
            </w:r>
          </w:p>
        </w:tc>
        <w:tc>
          <w:tcPr>
            <w:tcW w:w="4131" w:type="dxa"/>
          </w:tcPr>
          <w:p w:rsidR="00523D4A" w:rsidRPr="00515CBE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participants were in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Pg 8</w:t>
            </w:r>
            <w:r w:rsidR="00DF1408">
              <w:rPr>
                <w:rFonts w:ascii="Arial" w:eastAsiaTheme="minorHAnsi" w:hAnsi="Arial" w:cstheme="minorBidi"/>
                <w:sz w:val="22"/>
              </w:rPr>
              <w:t>; see also Nyondo-Mipando et al 2020 – pg 5</w:t>
            </w:r>
          </w:p>
        </w:tc>
      </w:tr>
      <w:tr w:rsidR="00790794" w:rsidRPr="0091109C" w:rsidTr="00523D4A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13. Non-participation</w:t>
            </w:r>
          </w:p>
        </w:tc>
        <w:tc>
          <w:tcPr>
            <w:tcW w:w="4131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people refused to participate or dropped out? Reasons?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790794" w:rsidRPr="0091109C" w:rsidRDefault="00523D4A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See Nyondo-Mipando et al 2020 – pg 5</w:t>
            </w:r>
          </w:p>
        </w:tc>
      </w:tr>
      <w:tr w:rsidR="00790794" w:rsidRPr="0091109C" w:rsidTr="00523D4A">
        <w:tc>
          <w:tcPr>
            <w:tcW w:w="2952" w:type="dxa"/>
          </w:tcPr>
          <w:p w:rsidR="00790794" w:rsidRPr="00515CBE" w:rsidRDefault="00790794" w:rsidP="00790794">
            <w:pPr>
              <w:spacing w:after="0"/>
              <w:rPr>
                <w:rFonts w:ascii="Arial" w:eastAsiaTheme="minorHAnsi" w:hAnsi="Arial" w:cstheme="minorBidi"/>
                <w:i/>
                <w:sz w:val="22"/>
              </w:rPr>
            </w:pPr>
            <w:r w:rsidRPr="00515CBE">
              <w:rPr>
                <w:rFonts w:ascii="Arial" w:hAnsi="Arial" w:cs="Times"/>
                <w:i/>
                <w:sz w:val="22"/>
                <w:szCs w:val="20"/>
              </w:rPr>
              <w:lastRenderedPageBreak/>
              <w:t>Setting</w:t>
            </w:r>
          </w:p>
        </w:tc>
        <w:tc>
          <w:tcPr>
            <w:tcW w:w="4131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385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523D4A" w:rsidRPr="0091109C" w:rsidTr="00523D4A">
        <w:tc>
          <w:tcPr>
            <w:tcW w:w="2952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14. Setting of data collection</w:t>
            </w:r>
          </w:p>
        </w:tc>
        <w:tc>
          <w:tcPr>
            <w:tcW w:w="4131" w:type="dxa"/>
          </w:tcPr>
          <w:p w:rsidR="00523D4A" w:rsidRPr="004772CF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Where was the data collected? e.g. home, clinic, workplace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See Nyondo-Mipando et al 2020 – pg 4</w:t>
            </w:r>
          </w:p>
        </w:tc>
      </w:tr>
      <w:tr w:rsidR="00523D4A" w:rsidRPr="0091109C" w:rsidTr="00523D4A">
        <w:tc>
          <w:tcPr>
            <w:tcW w:w="2952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15. Presence of non-participants</w:t>
            </w:r>
          </w:p>
        </w:tc>
        <w:tc>
          <w:tcPr>
            <w:tcW w:w="4131" w:type="dxa"/>
          </w:tcPr>
          <w:p w:rsidR="00523D4A" w:rsidRPr="004772CF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anyone else present besides the participants and researchers?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See Nyondo-Mipando et al 2020 – pg 4</w:t>
            </w:r>
          </w:p>
        </w:tc>
      </w:tr>
      <w:tr w:rsidR="00523D4A" w:rsidRPr="0091109C" w:rsidTr="00523D4A">
        <w:tc>
          <w:tcPr>
            <w:tcW w:w="2952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16. Description of sample</w:t>
            </w:r>
          </w:p>
        </w:tc>
        <w:tc>
          <w:tcPr>
            <w:tcW w:w="4131" w:type="dxa"/>
          </w:tcPr>
          <w:p w:rsidR="00523D4A" w:rsidRPr="004772CF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are the important characteristics of the sample?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e.g. demographic data, date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Pg 10; see also Nyondo-Mipando et al 2020 – pg 5-6</w:t>
            </w:r>
          </w:p>
        </w:tc>
      </w:tr>
      <w:tr w:rsidR="00523D4A" w:rsidRPr="0091109C" w:rsidTr="00523D4A">
        <w:tc>
          <w:tcPr>
            <w:tcW w:w="2952" w:type="dxa"/>
          </w:tcPr>
          <w:p w:rsidR="00523D4A" w:rsidRPr="004772CF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4772CF">
              <w:rPr>
                <w:rFonts w:ascii="Arial" w:hAnsi="Arial" w:cs="Times"/>
                <w:i/>
                <w:sz w:val="22"/>
                <w:szCs w:val="20"/>
              </w:rPr>
              <w:t>Data collection</w:t>
            </w:r>
            <w:r w:rsidRPr="004772CF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131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385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523D4A" w:rsidRPr="0091109C" w:rsidTr="00523D4A">
        <w:tc>
          <w:tcPr>
            <w:tcW w:w="2952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17.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 guide</w:t>
            </w:r>
          </w:p>
        </w:tc>
        <w:tc>
          <w:tcPr>
            <w:tcW w:w="4131" w:type="dxa"/>
          </w:tcPr>
          <w:p w:rsidR="00523D4A" w:rsidRPr="004772CF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questions, prompts, guides provided by the authors? Was it pilot tested?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523D4A" w:rsidRPr="0091109C" w:rsidRDefault="00DF1408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Pg 9; see also additional file 2</w:t>
            </w:r>
          </w:p>
        </w:tc>
      </w:tr>
      <w:tr w:rsidR="00523D4A" w:rsidRPr="0091109C" w:rsidTr="00523D4A">
        <w:tc>
          <w:tcPr>
            <w:tcW w:w="2952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18. Repeat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views</w:t>
            </w:r>
          </w:p>
        </w:tc>
        <w:tc>
          <w:tcPr>
            <w:tcW w:w="4131" w:type="dxa"/>
          </w:tcPr>
          <w:p w:rsidR="00523D4A" w:rsidRPr="004772CF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repeat inter views carried out? If yes, how many?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523D4A" w:rsidRPr="0091109C" w:rsidRDefault="00DF1408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See Nyondo-Mipando et al 2020 – pg 5</w:t>
            </w:r>
          </w:p>
        </w:tc>
      </w:tr>
      <w:tr w:rsidR="00523D4A" w:rsidRPr="0091109C" w:rsidTr="00523D4A">
        <w:tc>
          <w:tcPr>
            <w:tcW w:w="2952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19. Audio/visual recording</w:t>
            </w:r>
          </w:p>
        </w:tc>
        <w:tc>
          <w:tcPr>
            <w:tcW w:w="4131" w:type="dxa"/>
          </w:tcPr>
          <w:p w:rsidR="00523D4A" w:rsidRPr="004772CF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the research use audio or visual recording to collect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523D4A" w:rsidRPr="0091109C" w:rsidRDefault="00DF1408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Pg 9; see also Nyondo-Mipando et al 2020 – pg 5</w:t>
            </w:r>
          </w:p>
        </w:tc>
      </w:tr>
      <w:tr w:rsidR="00DF1408" w:rsidRPr="0091109C" w:rsidTr="00523D4A">
        <w:tc>
          <w:tcPr>
            <w:tcW w:w="2952" w:type="dxa"/>
          </w:tcPr>
          <w:p w:rsidR="00DF1408" w:rsidRPr="0091109C" w:rsidRDefault="00DF1408" w:rsidP="00DF1408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20. Field notes</w:t>
            </w:r>
          </w:p>
        </w:tc>
        <w:tc>
          <w:tcPr>
            <w:tcW w:w="4131" w:type="dxa"/>
          </w:tcPr>
          <w:p w:rsidR="00DF1408" w:rsidRPr="0091109C" w:rsidRDefault="00DF1408" w:rsidP="00DF1408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ﬁeld notes made during and/or after the inter view or focus group?</w:t>
            </w:r>
          </w:p>
        </w:tc>
        <w:tc>
          <w:tcPr>
            <w:tcW w:w="2385" w:type="dxa"/>
          </w:tcPr>
          <w:p w:rsidR="00DF1408" w:rsidRPr="0091109C" w:rsidRDefault="00DF1408" w:rsidP="00DF1408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See Nyondo-Mipando et al 2020 – pg 5</w:t>
            </w:r>
          </w:p>
        </w:tc>
      </w:tr>
      <w:tr w:rsidR="00523D4A" w:rsidRPr="0091109C" w:rsidTr="00523D4A">
        <w:tc>
          <w:tcPr>
            <w:tcW w:w="2952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21. Duration</w:t>
            </w:r>
          </w:p>
        </w:tc>
        <w:tc>
          <w:tcPr>
            <w:tcW w:w="4131" w:type="dxa"/>
          </w:tcPr>
          <w:p w:rsidR="00523D4A" w:rsidRPr="00A9799C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was the duration of the inter views or focus group?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523D4A" w:rsidRPr="0091109C" w:rsidRDefault="00DF1408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Pg 8; see also Nyondo-Mipando et al 2020 – pg 4</w:t>
            </w:r>
          </w:p>
        </w:tc>
      </w:tr>
      <w:tr w:rsidR="00523D4A" w:rsidRPr="0091109C" w:rsidTr="00523D4A">
        <w:tc>
          <w:tcPr>
            <w:tcW w:w="2952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22. Data saturation</w:t>
            </w:r>
          </w:p>
        </w:tc>
        <w:tc>
          <w:tcPr>
            <w:tcW w:w="4131" w:type="dxa"/>
          </w:tcPr>
          <w:p w:rsidR="00523D4A" w:rsidRPr="00A9799C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data saturation discussed?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523D4A" w:rsidRPr="0091109C" w:rsidRDefault="00DF1408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Pg 9; see also Nyondo-Mipando et al 2020 – pg 4</w:t>
            </w:r>
          </w:p>
        </w:tc>
      </w:tr>
      <w:tr w:rsidR="00523D4A" w:rsidRPr="0091109C" w:rsidTr="00523D4A">
        <w:tc>
          <w:tcPr>
            <w:tcW w:w="2952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23. Transcripts returned</w:t>
            </w:r>
          </w:p>
        </w:tc>
        <w:tc>
          <w:tcPr>
            <w:tcW w:w="4131" w:type="dxa"/>
          </w:tcPr>
          <w:p w:rsidR="00523D4A" w:rsidRPr="00A9799C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transcripts returned to participants for comment and/or correction?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523D4A" w:rsidRPr="0091109C" w:rsidRDefault="00DF1408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See Nyondo-Mipando et al 2020 – pg 5</w:t>
            </w:r>
          </w:p>
        </w:tc>
      </w:tr>
      <w:tr w:rsidR="00523D4A" w:rsidRPr="0091109C" w:rsidTr="00523D4A">
        <w:tc>
          <w:tcPr>
            <w:tcW w:w="2952" w:type="dxa"/>
          </w:tcPr>
          <w:p w:rsidR="00523D4A" w:rsidRPr="00A9799C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A9799C">
              <w:rPr>
                <w:rFonts w:ascii="Arial" w:hAnsi="Arial" w:cs="Times"/>
                <w:b/>
                <w:sz w:val="22"/>
                <w:szCs w:val="20"/>
              </w:rPr>
              <w:t>Domain 3: analysis and ﬁndings</w:t>
            </w:r>
            <w:r w:rsidRPr="00A9799C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131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385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523D4A" w:rsidRPr="0091109C" w:rsidTr="00523D4A">
        <w:tc>
          <w:tcPr>
            <w:tcW w:w="2952" w:type="dxa"/>
          </w:tcPr>
          <w:p w:rsidR="00523D4A" w:rsidRPr="00A9799C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A9799C">
              <w:rPr>
                <w:rFonts w:ascii="Arial" w:hAnsi="Arial" w:cs="Times"/>
                <w:i/>
                <w:sz w:val="22"/>
                <w:szCs w:val="20"/>
              </w:rPr>
              <w:t>Data analysis</w:t>
            </w:r>
            <w:r w:rsidRPr="00A9799C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131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385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523D4A" w:rsidRPr="0091109C" w:rsidTr="00523D4A">
        <w:tc>
          <w:tcPr>
            <w:tcW w:w="2952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24. Number of data coders</w:t>
            </w:r>
          </w:p>
        </w:tc>
        <w:tc>
          <w:tcPr>
            <w:tcW w:w="4131" w:type="dxa"/>
          </w:tcPr>
          <w:p w:rsidR="00523D4A" w:rsidRPr="00A9799C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data coders coded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523D4A" w:rsidRPr="0091109C" w:rsidRDefault="00C649AF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Pg 9; see also Nyondo-Mipando et al 2020 – pg </w:t>
            </w:r>
            <w:r w:rsidR="00974AAB">
              <w:rPr>
                <w:rFonts w:ascii="Arial" w:eastAsiaTheme="minorHAnsi" w:hAnsi="Arial" w:cstheme="minorBidi"/>
                <w:sz w:val="22"/>
              </w:rPr>
              <w:t>5</w:t>
            </w:r>
          </w:p>
        </w:tc>
      </w:tr>
      <w:tr w:rsidR="00523D4A" w:rsidRPr="0091109C" w:rsidTr="00523D4A">
        <w:tc>
          <w:tcPr>
            <w:tcW w:w="2952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25. Description of the coding tree</w:t>
            </w:r>
          </w:p>
        </w:tc>
        <w:tc>
          <w:tcPr>
            <w:tcW w:w="4131" w:type="dxa"/>
          </w:tcPr>
          <w:p w:rsidR="00523D4A" w:rsidRPr="00A9799C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authors provide a description of the coding tree?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523D4A" w:rsidRPr="0091109C" w:rsidRDefault="00C649AF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Pg 9; see also Nyondo-Mipando et al 2020 – pg </w:t>
            </w:r>
            <w:r w:rsidR="00974AAB">
              <w:rPr>
                <w:rFonts w:ascii="Arial" w:eastAsiaTheme="minorHAnsi" w:hAnsi="Arial" w:cstheme="minorBidi"/>
                <w:sz w:val="22"/>
              </w:rPr>
              <w:t>5</w:t>
            </w:r>
          </w:p>
        </w:tc>
      </w:tr>
      <w:tr w:rsidR="00523D4A" w:rsidRPr="0091109C" w:rsidTr="00523D4A">
        <w:tc>
          <w:tcPr>
            <w:tcW w:w="2952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26. Derivation of themes</w:t>
            </w:r>
          </w:p>
        </w:tc>
        <w:tc>
          <w:tcPr>
            <w:tcW w:w="4131" w:type="dxa"/>
          </w:tcPr>
          <w:p w:rsidR="00523D4A" w:rsidRPr="00117D9A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themes identiﬁed in advance or derived from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523D4A" w:rsidRPr="0091109C" w:rsidRDefault="00C95AA5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Pg 9</w:t>
            </w:r>
          </w:p>
        </w:tc>
      </w:tr>
      <w:tr w:rsidR="00523D4A" w:rsidRPr="0091109C" w:rsidTr="00523D4A">
        <w:tc>
          <w:tcPr>
            <w:tcW w:w="2952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27. Software</w:t>
            </w:r>
          </w:p>
        </w:tc>
        <w:tc>
          <w:tcPr>
            <w:tcW w:w="4131" w:type="dxa"/>
          </w:tcPr>
          <w:p w:rsidR="00523D4A" w:rsidRPr="00117D9A" w:rsidRDefault="00523D4A" w:rsidP="00523D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software, if applicable, was used to manage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523D4A" w:rsidRPr="0091109C" w:rsidRDefault="00523D4A" w:rsidP="00523D4A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NVivo</w:t>
            </w:r>
            <w:r w:rsidR="00C95AA5">
              <w:rPr>
                <w:rFonts w:ascii="Arial" w:eastAsiaTheme="minorHAnsi" w:hAnsi="Arial" w:cstheme="minorBidi"/>
                <w:sz w:val="22"/>
              </w:rPr>
              <w:t>; Pg 9</w:t>
            </w:r>
          </w:p>
        </w:tc>
      </w:tr>
      <w:tr w:rsidR="00C95AA5" w:rsidRPr="0091109C" w:rsidTr="00523D4A">
        <w:tc>
          <w:tcPr>
            <w:tcW w:w="2952" w:type="dxa"/>
          </w:tcPr>
          <w:p w:rsidR="00C95AA5" w:rsidRPr="0091109C" w:rsidRDefault="00C95AA5" w:rsidP="00C95AA5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28. Participant checking</w:t>
            </w:r>
          </w:p>
        </w:tc>
        <w:tc>
          <w:tcPr>
            <w:tcW w:w="4131" w:type="dxa"/>
          </w:tcPr>
          <w:p w:rsidR="00C95AA5" w:rsidRPr="00117D9A" w:rsidRDefault="00C95AA5" w:rsidP="00C95AA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participants provide feedback on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C95AA5" w:rsidRPr="0091109C" w:rsidRDefault="00C95AA5" w:rsidP="00C95AA5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See Nyondo-Mipando et al 2020 – pg 5</w:t>
            </w:r>
          </w:p>
        </w:tc>
      </w:tr>
      <w:tr w:rsidR="00C95AA5" w:rsidRPr="0091109C" w:rsidTr="00523D4A">
        <w:tc>
          <w:tcPr>
            <w:tcW w:w="2952" w:type="dxa"/>
          </w:tcPr>
          <w:p w:rsidR="00C95AA5" w:rsidRPr="00117D9A" w:rsidRDefault="00C95AA5" w:rsidP="00C95AA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117D9A">
              <w:rPr>
                <w:rFonts w:ascii="Arial" w:hAnsi="Arial" w:cs="Times"/>
                <w:i/>
                <w:sz w:val="22"/>
                <w:szCs w:val="20"/>
              </w:rPr>
              <w:t>Reporting</w:t>
            </w:r>
            <w:r w:rsidRPr="00117D9A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131" w:type="dxa"/>
          </w:tcPr>
          <w:p w:rsidR="00C95AA5" w:rsidRPr="0091109C" w:rsidRDefault="00C95AA5" w:rsidP="00C95AA5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385" w:type="dxa"/>
          </w:tcPr>
          <w:p w:rsidR="00C95AA5" w:rsidRPr="0091109C" w:rsidRDefault="00C95AA5" w:rsidP="00C95AA5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C95AA5" w:rsidRPr="0091109C" w:rsidTr="00523D4A">
        <w:tc>
          <w:tcPr>
            <w:tcW w:w="2952" w:type="dxa"/>
          </w:tcPr>
          <w:p w:rsidR="00C95AA5" w:rsidRPr="0091109C" w:rsidRDefault="00C95AA5" w:rsidP="00C95AA5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29. Quotations presented</w:t>
            </w:r>
          </w:p>
        </w:tc>
        <w:tc>
          <w:tcPr>
            <w:tcW w:w="4131" w:type="dxa"/>
          </w:tcPr>
          <w:p w:rsidR="00C95AA5" w:rsidRPr="00117D9A" w:rsidRDefault="00C95AA5" w:rsidP="00C95AA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participant quotations presented to illustrate the themes/ﬁndings? Was each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quotation identiﬁed? e.g. participant number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C95AA5" w:rsidRPr="0091109C" w:rsidRDefault="00C95AA5" w:rsidP="00C95AA5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Pg 10-19</w:t>
            </w:r>
          </w:p>
        </w:tc>
      </w:tr>
      <w:tr w:rsidR="00C95AA5" w:rsidRPr="0091109C" w:rsidTr="00523D4A">
        <w:tc>
          <w:tcPr>
            <w:tcW w:w="2952" w:type="dxa"/>
          </w:tcPr>
          <w:p w:rsidR="00C95AA5" w:rsidRPr="0091109C" w:rsidRDefault="00C95AA5" w:rsidP="00C95AA5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 xml:space="preserve">30. Data and ﬁndings </w:t>
            </w:r>
            <w:r w:rsidRPr="0091109C">
              <w:rPr>
                <w:rFonts w:ascii="Arial" w:hAnsi="Arial" w:cs="Times"/>
                <w:sz w:val="22"/>
                <w:szCs w:val="20"/>
              </w:rPr>
              <w:t>consistent</w:t>
            </w:r>
          </w:p>
        </w:tc>
        <w:tc>
          <w:tcPr>
            <w:tcW w:w="4131" w:type="dxa"/>
          </w:tcPr>
          <w:p w:rsidR="00C95AA5" w:rsidRPr="00117D9A" w:rsidRDefault="00C95AA5" w:rsidP="00C95AA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there consistency between the data presented and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C95AA5" w:rsidRPr="0091109C" w:rsidRDefault="00C95AA5" w:rsidP="00C95AA5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Pg 19-21</w:t>
            </w:r>
          </w:p>
        </w:tc>
      </w:tr>
      <w:tr w:rsidR="00C95AA5" w:rsidRPr="0091109C" w:rsidTr="00523D4A">
        <w:tc>
          <w:tcPr>
            <w:tcW w:w="2952" w:type="dxa"/>
          </w:tcPr>
          <w:p w:rsidR="00C95AA5" w:rsidRPr="0091109C" w:rsidRDefault="00C95AA5" w:rsidP="00C95AA5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31. Clarity of major themes</w:t>
            </w:r>
          </w:p>
        </w:tc>
        <w:tc>
          <w:tcPr>
            <w:tcW w:w="4131" w:type="dxa"/>
          </w:tcPr>
          <w:p w:rsidR="00C95AA5" w:rsidRPr="00117D9A" w:rsidRDefault="00C95AA5" w:rsidP="00C95AA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 xml:space="preserve">Were major themes clearly presented in </w:t>
            </w:r>
            <w:r w:rsidRPr="0091109C">
              <w:rPr>
                <w:rFonts w:ascii="Arial" w:hAnsi="Arial" w:cs="Times"/>
                <w:sz w:val="22"/>
                <w:szCs w:val="20"/>
              </w:rPr>
              <w:lastRenderedPageBreak/>
              <w:t>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C95AA5" w:rsidRPr="0091109C" w:rsidRDefault="00C95AA5" w:rsidP="00C95AA5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lastRenderedPageBreak/>
              <w:t>Pg 10-19</w:t>
            </w:r>
          </w:p>
        </w:tc>
      </w:tr>
      <w:tr w:rsidR="00C95AA5" w:rsidRPr="0091109C" w:rsidTr="00523D4A">
        <w:tc>
          <w:tcPr>
            <w:tcW w:w="2952" w:type="dxa"/>
          </w:tcPr>
          <w:p w:rsidR="00C95AA5" w:rsidRPr="0091109C" w:rsidRDefault="00C95AA5" w:rsidP="00C95AA5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32. Clarity of minor themes</w:t>
            </w:r>
          </w:p>
        </w:tc>
        <w:tc>
          <w:tcPr>
            <w:tcW w:w="4131" w:type="dxa"/>
          </w:tcPr>
          <w:p w:rsidR="00C95AA5" w:rsidRPr="00117D9A" w:rsidRDefault="00C95AA5" w:rsidP="00C95AA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Is there a description of diverse cases or discussion of minor themes?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 xml:space="preserve">    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85" w:type="dxa"/>
          </w:tcPr>
          <w:p w:rsidR="00C95AA5" w:rsidRPr="0091109C" w:rsidRDefault="00C95AA5" w:rsidP="00C95AA5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Pg 19-21</w:t>
            </w:r>
          </w:p>
        </w:tc>
      </w:tr>
    </w:tbl>
    <w:p w:rsidR="00790794" w:rsidRDefault="00790794" w:rsidP="007907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Helvetica"/>
          <w:sz w:val="22"/>
        </w:rPr>
      </w:pPr>
    </w:p>
    <w:p w:rsidR="00CC337F" w:rsidRPr="0091109C" w:rsidRDefault="00EC3BE0" w:rsidP="007907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Helvetica"/>
          <w:sz w:val="22"/>
        </w:rPr>
      </w:pPr>
      <w:r>
        <w:rPr>
          <w:rFonts w:ascii="Arial" w:hAnsi="Arial" w:cs="Helvetica"/>
          <w:sz w:val="22"/>
        </w:rPr>
        <w:t>*</w:t>
      </w:r>
      <w:bookmarkStart w:id="0" w:name="_GoBack"/>
      <w:bookmarkEnd w:id="0"/>
      <w:r w:rsidR="00CC337F" w:rsidRPr="00CC337F">
        <w:rPr>
          <w:rFonts w:ascii="Arial" w:hAnsi="Arial" w:cs="Helvetica"/>
          <w:sz w:val="22"/>
        </w:rPr>
        <w:t xml:space="preserve">Nyondo-Mipando AL, Woo Kinshella M-L, Bohne C, Suwedi-Kapesa LC, Salimu S, Banda M, et al. (2020) Barriers and enablers of implementing bubble Continuous Positive Airway Pressure (CPAP): Perspectives of health professionals in Malawi. PLoS ONE 15(2): e0228915. </w:t>
      </w:r>
      <w:hyperlink r:id="rId4" w:history="1">
        <w:r w:rsidR="00CC337F" w:rsidRPr="0035390A">
          <w:rPr>
            <w:rStyle w:val="Hyperlink"/>
            <w:rFonts w:ascii="Arial" w:hAnsi="Arial" w:cs="Helvetica"/>
            <w:sz w:val="22"/>
          </w:rPr>
          <w:t>https://doi.org/10.1371/journal.pone.0228915</w:t>
        </w:r>
      </w:hyperlink>
      <w:r w:rsidR="00CC337F">
        <w:rPr>
          <w:rFonts w:ascii="Arial" w:hAnsi="Arial" w:cs="Helvetica"/>
          <w:sz w:val="22"/>
        </w:rPr>
        <w:t xml:space="preserve"> </w:t>
      </w:r>
    </w:p>
    <w:sectPr w:rsidR="00CC337F" w:rsidRPr="0091109C" w:rsidSect="0079079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F20"/>
    <w:rsid w:val="000B69EE"/>
    <w:rsid w:val="00132316"/>
    <w:rsid w:val="003F6026"/>
    <w:rsid w:val="00503889"/>
    <w:rsid w:val="00523D4A"/>
    <w:rsid w:val="0057511E"/>
    <w:rsid w:val="00790794"/>
    <w:rsid w:val="0083437F"/>
    <w:rsid w:val="00836F90"/>
    <w:rsid w:val="00901283"/>
    <w:rsid w:val="00974AAB"/>
    <w:rsid w:val="00A26F20"/>
    <w:rsid w:val="00A52F44"/>
    <w:rsid w:val="00BD49FC"/>
    <w:rsid w:val="00C649AF"/>
    <w:rsid w:val="00C834E2"/>
    <w:rsid w:val="00C95AA5"/>
    <w:rsid w:val="00CC337F"/>
    <w:rsid w:val="00CF031D"/>
    <w:rsid w:val="00DF1408"/>
    <w:rsid w:val="00EA34CF"/>
    <w:rsid w:val="00EC3BE0"/>
    <w:rsid w:val="00EE175F"/>
    <w:rsid w:val="00EE7287"/>
    <w:rsid w:val="00FB7E1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E4A0FC"/>
  <w15:docId w15:val="{DBAF8557-CE9B-41A0-8BD4-3BBFA928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B40"/>
    <w:pPr>
      <w:spacing w:after="200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26F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rsid w:val="00CC33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371/journal.pone.02289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Roberts</dc:creator>
  <cp:keywords/>
  <dc:description/>
  <cp:lastModifiedBy>Maggie W. Kinshella</cp:lastModifiedBy>
  <cp:revision>8</cp:revision>
  <dcterms:created xsi:type="dcterms:W3CDTF">2012-09-13T23:44:00Z</dcterms:created>
  <dcterms:modified xsi:type="dcterms:W3CDTF">2020-10-05T16:36:00Z</dcterms:modified>
</cp:coreProperties>
</file>