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7F3F" w:rsidRPr="001334D1" w:rsidRDefault="00482C93" w:rsidP="00447F3F">
      <w:pPr>
        <w:rPr>
          <w:rFonts w:ascii="Times New Roman" w:hAnsi="Times New Roman" w:cs="Times New Roman"/>
          <w:b/>
          <w:bCs/>
          <w:sz w:val="22"/>
          <w:szCs w:val="22"/>
          <w:lang w:val="en-GB"/>
        </w:rPr>
      </w:pPr>
      <w:bookmarkStart w:id="0" w:name="_GoBack"/>
      <w:bookmarkEnd w:id="0"/>
      <w:r w:rsidRPr="001334D1">
        <w:rPr>
          <w:rFonts w:ascii="Times New Roman" w:hAnsi="Times New Roman" w:cs="Times New Roman"/>
          <w:b/>
          <w:bCs/>
          <w:sz w:val="22"/>
          <w:szCs w:val="22"/>
          <w:lang w:val="en-GB"/>
        </w:rPr>
        <w:t>Additional file</w:t>
      </w:r>
      <w:r w:rsidR="00856527" w:rsidRPr="001334D1">
        <w:rPr>
          <w:rFonts w:ascii="Times New Roman" w:hAnsi="Times New Roman" w:cs="Times New Roman"/>
          <w:b/>
          <w:bCs/>
          <w:sz w:val="22"/>
          <w:szCs w:val="22"/>
          <w:lang w:val="en-GB"/>
        </w:rPr>
        <w:t xml:space="preserve"> </w:t>
      </w:r>
      <w:r w:rsidR="00DB737E" w:rsidRPr="001334D1">
        <w:rPr>
          <w:rFonts w:ascii="Times New Roman" w:hAnsi="Times New Roman" w:cs="Times New Roman"/>
          <w:b/>
          <w:bCs/>
          <w:sz w:val="22"/>
          <w:szCs w:val="22"/>
          <w:lang w:val="en-GB"/>
        </w:rPr>
        <w:t>3</w:t>
      </w:r>
      <w:r w:rsidR="00856527" w:rsidRPr="001334D1">
        <w:rPr>
          <w:rFonts w:ascii="Times New Roman" w:hAnsi="Times New Roman" w:cs="Times New Roman"/>
          <w:b/>
          <w:bCs/>
          <w:sz w:val="22"/>
          <w:szCs w:val="22"/>
          <w:lang w:val="en-GB"/>
        </w:rPr>
        <w:t xml:space="preserve"> – Detailed list of papers included in the scoping review</w:t>
      </w:r>
    </w:p>
    <w:p w:rsidR="00856527" w:rsidRPr="001334D1" w:rsidRDefault="00856527" w:rsidP="00447F3F">
      <w:pPr>
        <w:rPr>
          <w:rFonts w:ascii="Times New Roman" w:hAnsi="Times New Roman" w:cs="Times New Roman"/>
          <w:b/>
          <w:bCs/>
          <w:sz w:val="22"/>
          <w:szCs w:val="22"/>
          <w:lang w:val="en-GB"/>
        </w:rPr>
      </w:pPr>
    </w:p>
    <w:p w:rsidR="00856527" w:rsidRPr="001334D1" w:rsidRDefault="00856527" w:rsidP="00856527">
      <w:pPr>
        <w:rPr>
          <w:rFonts w:ascii="Times New Roman" w:hAnsi="Times New Roman" w:cs="Times New Roman"/>
          <w:sz w:val="22"/>
          <w:szCs w:val="22"/>
          <w:lang w:val="en-US"/>
        </w:rPr>
      </w:pPr>
      <w:r w:rsidRPr="001334D1">
        <w:rPr>
          <w:rFonts w:ascii="Times New Roman" w:hAnsi="Times New Roman" w:cs="Times New Roman"/>
          <w:sz w:val="22"/>
          <w:szCs w:val="22"/>
          <w:lang w:val="en-US"/>
        </w:rPr>
        <w:t>Type of interventions featured in the articles included in the scoping review, grouped according to the EPOC taxonomy and with citation</w:t>
      </w:r>
    </w:p>
    <w:tbl>
      <w:tblPr>
        <w:tblStyle w:val="TableGrid"/>
        <w:tblW w:w="9493" w:type="dxa"/>
        <w:tblLook w:val="04A0" w:firstRow="1" w:lastRow="0" w:firstColumn="1" w:lastColumn="0" w:noHBand="0" w:noVBand="1"/>
      </w:tblPr>
      <w:tblGrid>
        <w:gridCol w:w="4531"/>
        <w:gridCol w:w="567"/>
        <w:gridCol w:w="4395"/>
      </w:tblGrid>
      <w:tr w:rsidR="00856527" w:rsidRPr="001334D1" w:rsidTr="00856527">
        <w:tc>
          <w:tcPr>
            <w:tcW w:w="4531" w:type="dxa"/>
            <w:shd w:val="clear" w:color="auto" w:fill="D9D9D9" w:themeFill="background1" w:themeFillShade="D9"/>
            <w:vAlign w:val="center"/>
          </w:tcPr>
          <w:p w:rsidR="00856527" w:rsidRPr="001334D1" w:rsidRDefault="00856527" w:rsidP="00856527">
            <w:pPr>
              <w:spacing w:after="240"/>
              <w:rPr>
                <w:rFonts w:ascii="Times New Roman" w:hAnsi="Times New Roman" w:cs="Times New Roman"/>
                <w:b/>
                <w:bCs/>
                <w:sz w:val="22"/>
                <w:szCs w:val="22"/>
                <w:lang w:val="en-GB"/>
              </w:rPr>
            </w:pPr>
            <w:r w:rsidRPr="001334D1">
              <w:rPr>
                <w:rFonts w:ascii="Times New Roman" w:hAnsi="Times New Roman" w:cs="Times New Roman"/>
                <w:b/>
                <w:bCs/>
                <w:sz w:val="22"/>
                <w:szCs w:val="22"/>
                <w:lang w:val="en-GB"/>
              </w:rPr>
              <w:t>EPOC Taxonomy</w:t>
            </w:r>
          </w:p>
        </w:tc>
        <w:tc>
          <w:tcPr>
            <w:tcW w:w="567" w:type="dxa"/>
            <w:shd w:val="clear" w:color="auto" w:fill="D9D9D9" w:themeFill="background1" w:themeFillShade="D9"/>
            <w:vAlign w:val="center"/>
          </w:tcPr>
          <w:p w:rsidR="00856527" w:rsidRPr="001334D1" w:rsidRDefault="00856527" w:rsidP="00856527">
            <w:pPr>
              <w:spacing w:after="240"/>
              <w:jc w:val="center"/>
              <w:rPr>
                <w:rFonts w:ascii="Times New Roman" w:hAnsi="Times New Roman" w:cs="Times New Roman"/>
                <w:b/>
                <w:bCs/>
                <w:sz w:val="22"/>
                <w:szCs w:val="22"/>
                <w:lang w:val="en-GB"/>
              </w:rPr>
            </w:pPr>
            <w:r w:rsidRPr="001334D1">
              <w:rPr>
                <w:rFonts w:ascii="Times New Roman" w:hAnsi="Times New Roman" w:cs="Times New Roman"/>
                <w:b/>
                <w:bCs/>
                <w:sz w:val="22"/>
                <w:szCs w:val="22"/>
                <w:lang w:val="en-GB"/>
              </w:rPr>
              <w:t>N</w:t>
            </w:r>
          </w:p>
        </w:tc>
        <w:tc>
          <w:tcPr>
            <w:tcW w:w="4395" w:type="dxa"/>
            <w:shd w:val="clear" w:color="auto" w:fill="D9D9D9" w:themeFill="background1" w:themeFillShade="D9"/>
            <w:vAlign w:val="center"/>
          </w:tcPr>
          <w:p w:rsidR="00856527" w:rsidRPr="001334D1" w:rsidRDefault="00856527" w:rsidP="00856527">
            <w:pPr>
              <w:spacing w:after="240"/>
              <w:rPr>
                <w:rFonts w:ascii="Times New Roman" w:hAnsi="Times New Roman" w:cs="Times New Roman"/>
                <w:b/>
                <w:bCs/>
                <w:sz w:val="22"/>
                <w:szCs w:val="22"/>
                <w:lang w:val="en-GB"/>
              </w:rPr>
            </w:pPr>
            <w:r w:rsidRPr="001334D1">
              <w:rPr>
                <w:rFonts w:ascii="Times New Roman" w:hAnsi="Times New Roman" w:cs="Times New Roman"/>
                <w:b/>
                <w:bCs/>
                <w:sz w:val="22"/>
                <w:szCs w:val="22"/>
                <w:lang w:val="en-GB"/>
              </w:rPr>
              <w:t>Type of intervention</w:t>
            </w:r>
          </w:p>
        </w:tc>
      </w:tr>
      <w:tr w:rsidR="00856527" w:rsidRPr="001334D1" w:rsidTr="00856527">
        <w:tc>
          <w:tcPr>
            <w:tcW w:w="4531" w:type="dxa"/>
            <w:vAlign w:val="center"/>
          </w:tcPr>
          <w:p w:rsidR="00856527" w:rsidRPr="001334D1" w:rsidRDefault="00856527" w:rsidP="001D604D">
            <w:pPr>
              <w:spacing w:after="240"/>
              <w:rPr>
                <w:rFonts w:ascii="Times New Roman" w:hAnsi="Times New Roman" w:cs="Times New Roman"/>
                <w:bCs/>
                <w:sz w:val="22"/>
                <w:szCs w:val="22"/>
                <w:lang w:val="en-GB"/>
              </w:rPr>
            </w:pPr>
            <w:r w:rsidRPr="001334D1">
              <w:rPr>
                <w:rFonts w:ascii="Times New Roman" w:hAnsi="Times New Roman" w:cs="Times New Roman"/>
                <w:bCs/>
                <w:sz w:val="22"/>
                <w:szCs w:val="22"/>
                <w:lang w:val="en-GB"/>
              </w:rPr>
              <w:t>Financial Arrangements</w:t>
            </w:r>
          </w:p>
          <w:p w:rsidR="00856527" w:rsidRPr="001334D1" w:rsidRDefault="00856527" w:rsidP="001D604D">
            <w:pPr>
              <w:spacing w:after="240"/>
              <w:rPr>
                <w:rFonts w:ascii="Times New Roman" w:hAnsi="Times New Roman" w:cs="Times New Roman"/>
                <w:bCs/>
                <w:sz w:val="22"/>
                <w:szCs w:val="22"/>
                <w:lang w:val="en-GB"/>
              </w:rPr>
            </w:pPr>
            <w:r w:rsidRPr="001334D1">
              <w:rPr>
                <w:rFonts w:ascii="Times New Roman" w:hAnsi="Times New Roman" w:cs="Times New Roman"/>
                <w:bCs/>
                <w:sz w:val="22"/>
                <w:szCs w:val="22"/>
                <w:lang w:val="en-GB"/>
              </w:rPr>
              <w:t>Changes in how funds are collected, insurance schemes, how services are purchased, and the use of targeted financial incentives or disincentives</w:t>
            </w:r>
          </w:p>
        </w:tc>
        <w:tc>
          <w:tcPr>
            <w:tcW w:w="567" w:type="dxa"/>
            <w:vAlign w:val="center"/>
          </w:tcPr>
          <w:p w:rsidR="00856527" w:rsidRPr="001334D1" w:rsidRDefault="00856527" w:rsidP="00856527">
            <w:pPr>
              <w:jc w:val="center"/>
              <w:rPr>
                <w:rFonts w:ascii="Times New Roman" w:hAnsi="Times New Roman" w:cs="Times New Roman"/>
                <w:sz w:val="22"/>
                <w:szCs w:val="22"/>
                <w:lang w:val="en-GB"/>
              </w:rPr>
            </w:pPr>
            <w:r w:rsidRPr="001334D1">
              <w:rPr>
                <w:rFonts w:ascii="Times New Roman" w:hAnsi="Times New Roman" w:cs="Times New Roman"/>
                <w:sz w:val="22"/>
                <w:szCs w:val="22"/>
                <w:lang w:val="en-GB"/>
              </w:rPr>
              <w:t>57</w:t>
            </w:r>
          </w:p>
        </w:tc>
        <w:tc>
          <w:tcPr>
            <w:tcW w:w="4395" w:type="dxa"/>
          </w:tcPr>
          <w:p w:rsidR="00856527" w:rsidRPr="001334D1" w:rsidRDefault="00856527" w:rsidP="001D604D">
            <w:pPr>
              <w:pStyle w:val="Contenutotabella"/>
              <w:rPr>
                <w:rFonts w:ascii="Times New Roman" w:hAnsi="Times New Roman" w:cs="Times New Roman"/>
                <w:sz w:val="22"/>
                <w:szCs w:val="22"/>
                <w:lang w:val="en-US"/>
              </w:rPr>
            </w:pPr>
            <w:r w:rsidRPr="001334D1">
              <w:rPr>
                <w:rFonts w:ascii="Times New Roman" w:hAnsi="Times New Roman" w:cs="Times New Roman"/>
                <w:sz w:val="22"/>
                <w:szCs w:val="22"/>
                <w:lang w:val="en-US"/>
              </w:rPr>
              <w:t>Hospital readmission reduction program</w:t>
            </w:r>
            <w:r w:rsidRPr="001334D1">
              <w:rPr>
                <w:rFonts w:ascii="Times New Roman" w:hAnsi="Times New Roman" w:cs="Times New Roman"/>
                <w:sz w:val="22"/>
                <w:szCs w:val="22"/>
                <w:lang w:val="en-US"/>
              </w:rPr>
              <w:fldChar w:fldCharType="begin"/>
            </w:r>
            <w:r w:rsidRPr="001334D1">
              <w:rPr>
                <w:rFonts w:ascii="Times New Roman" w:hAnsi="Times New Roman" w:cs="Times New Roman"/>
                <w:sz w:val="22"/>
                <w:szCs w:val="22"/>
                <w:lang w:val="en-US"/>
              </w:rPr>
              <w:instrText xml:space="preserve"> ADDIN ZOTERO_ITEM CSL_CITATION {"citationID":"6GK33M6c","properties":{"formattedCitation":"\\super 1\\uc0\\u8211{}7\\nosupersub{}","plainCitation":"1–7","noteIndex":0},"citationItems":[{"id":3206,"uris":["http://zotero.org/users/1650834/items/S8HGCBHY"],"uri":["http://zotero.org/users/1650834/items/S8HGCBHY"],"itemData":{"id":3206,"type":"article-journal","title":"Impact of the Medicare hospital readmissions reduction program on vulnerable populations","container-title":"BMC Health Services Research","volume":"19","issue":"1","source":"Ovid MEDLINE(R)","note":"PMID: 31727168","author":[{"family":"Gai","given":"Yunwei"},{"family":"Pachamanova","given":"Dessislava"}],"issued":{"date-parts":[["2019",11]]}}},{"id":3340,"uris":["http://zotero.org/users/1650834/items/X6P2JVDK"],"uri":["http://zotero.org/users/1650834/items/X6P2JVDK"],"itemData":{"id":3340,"type":"article-journal","title":"National Trends in Readmission Following Inpatient Surgery in the Hospital Readmissions Reduction Program Era","container-title":"Annals of Surgery","page":"599-605","volume":"267","issue":"4","source":"Ovid MEDLINE(R)","note":"PMID: 28657950","author":[{"family":"Mehtsun","given":"Winta T."},{"family":"Papanicolas","given":"Irene"},{"family":"Zheng","given":"Jie"},{"family":"Orav","given":"E. John"},{"family":"Lillemoe","given":"Keith D."},{"family":"Jha","given":"Ashish K."}],"issued":{"date-parts":[["2018"]]}}},{"id":4522,"uris":["http://zotero.org/users/1650834/items/Z2FSN4NP"],"uri":["http://zotero.org/users/1650834/items/Z2FSN4NP"],"itemData":{"id":4522,"type":"article-journal","title":"Further Evidence on the System-Wide Effects of the Hospital Readmissions Reduction Program","container-title":"Health Services Research","page":"1478-1497","volume":"53","issue":"3","source":"Wiley Online Library","abstract":"Objective To investigate the potential spillover effects of the Hospital Readmissions Reduction Program (HRRP) on readmissions for nontargeted conditions and patient populations. We examine HRRP effects on nontargeted conditions separately and on non-Medicare populations in Florida and California. Data Sources From 2007–2013, 100 percent Medicare inpatient claims data, 2007–2013 State Inpatient Database (SID) for Florida, and 2007–2011 SID for California. Study Design We conducted an interrupted time series analysis to estimate the change in 30-day all-cause unplanned readmission trends after the start of HRRP using logistic regression. Principal Findings Hospitals with the largest reductions in targeted Medicare readmissions experienced higher reductions in nontargeted Medicare readmissions. Among nontargeted conditions, reductions were higher for neurology and surgery conditions than for the cardiovascular and cardiorespiratory conditions, which are clinically similar to the targeted conditions. For non-Medicare patients, readmission trends for targeted conditions in Florida and California did not change after HRRP. Conclusions Our findings are consistent with positive spillover benefits associated with HRRP. The extent of these benefits, however, varies across condition and patient groups. The observed patterns suggest a complex response, including a role of nonfinancial factors, in driving lower readmissions.","DOI":"10.1111/1475-6773.12701","ISSN":"1475-6773","language":"en","author":[{"family":"Demiralp","given":"Berna"},{"family":"He","given":"Fang"},{"family":"Koenig","given":"Lane"}],"issued":{"date-parts":[["2018"]]}}},{"id":3374,"uris":["http://zotero.org/users/1650834/items/IGYGA7RQ"],"uri":["http://zotero.org/users/1650834/items/IGYGA7RQ"],"itemData":{"id":3374,"type":"article-journal","title":"Impact of the Hospital Readmission Reduction Program on Surgical Readmissions Among Medicare Beneficiaries","container-title":"Annals of Surgery","page":"617-624","volume":"266","issue":"4","source":"Ovid MEDLINE(R)","note":"PMID: 28657948","author":[{"family":"Ibrahim","given":"Andrew M."},{"family":"Nathan","given":"Hari"},{"family":"Thumma","given":"Jyothi R."},{"family":"Dimick","given":"Justin B."}],"issued":{"date-parts":[["2017"]]}}},{"id":3485,"uris":["http://zotero.org/users/1650834/items/WY7BVUK9"],"uri":["http://zotero.org/users/1650834/items/WY7BVUK9"],"itemData":{"id":3485,"type":"article-journal","title":"Readmissions To New York Hospitals Fell For Three Target Conditions From 2008 To 2012, Consistent With Medicare Goals","container-title":"Health Affairs","page":"978-985","volume":"34","issue":"6","source":"Ovid MEDLINE(R)","note":"PMID: 26056203","author":[{"family":"Carey","given":"Kathleen"},{"family":"Lin","given":"Meng-Yun"}],"issued":{"date-parts":[["2015",6]]}}},{"id":4777,"uris":["http://zotero.org/users/1650834/items/465RJM7Q"],"uri":["http://zotero.org/users/1650834/items/465RJM7Q"],"itemData":{"id":4777,"type":"article-journal","title":"A nationwide analysis of readmission rates after colorectal cancer surgery in the US in the Era of the Affordable Care Act","container-title":"The American Journal of Surgery","page":"1015-1022","volume":"220","issue":"4","source":"ScienceDirect","abstract":"Background &amp; aims\nThe Hospital Readmissions Reduction Program (HRRP), which was instituted in 2012, may have affected readmission rates for non-target conditions, including colorectal cancer (CRC). We aimed to analyze the nationwide all-cause 30-day readmission rate following CRC surgery in a US nationwide database.\nMethods\nWe queried the 2010–2015 Nationwide Readmissions Database to estimate readmission rates. All results were weighted for national estimates.\nResults\nAmong 616,348 index cases, the overall 2010–2015 30-day readmission rate was 14.7% (95% confidence interval, 14.5%–14.9% [n = 90,555]), with a decreasing trend from 15.5% in 2010 and 2011 to 13.5% in 2015 (p-trend&lt;0.001). Rectal resection, longer length of stay, non-invasive cancer, surgery at a metropolitan teaching hospital, non-routine discharge, elective admission, and higher Elixhauser comorbidity score were associated with subsequent readmission.\nConclusions\nIn the US, 30-day readmission rates after CRC surgery showed a decreasing trend during 2010–2015, which could represent a spillover effect of the HRRP.","DOI":"10.1016/j.amjsurg.2020.04.013","ISSN":"0002-9610","journalAbbreviation":"The American Journal of Surgery","language":"en","author":[{"family":"Kim","given":"Jong Wook"},{"family":"Mannalithara","given":"Ajitha"},{"family":"Sehgal","given":"Maanek"},{"family":"Mithal","given":"Aditi"},{"family":"Singh","given":"Gurkirpal"},{"family":"Ladabaum","given":"Uri"}],"issued":{"date-parts":[["2020",10,1]]}}},{"id":4779,"uris":["http://zotero.org/users/1650834/items/637RR55A"],"uri":["http://zotero.org/users/1650834/items/637RR55A"],"itemData":{"id":4779,"type":"article-journal","title":"Spillover Effects of the Hospital Readmissions Reduction Program on Radical Cystectomy Readmissions","container-title":"Urology Practice","page":"350-356","volume":"6","issue":"6","source":"Crossref","DOI":"10.1097/UPJ.0000000000000042","ISSN":"2352-0779","language":"en","author":[{"family":"Lee","given":"Matthew S."},{"family":"Hollenbeck","given":"Brent K."},{"family":"Oerline","given":"Mary K."},{"family":"Skolarus","given":"Ted A."},{"family":"Jacobs","given":"Bruce L."},{"family":"Jen","given":"Rita"},{"family":"Luckenbaugh","given":"Amy N."},{"family":"Shahinian","given":"Vahakn"},{"family":"Borza","given":"Tudor"}],"issued":{"date-parts":[["2019",11]]}}}],"schema":"https://github.com/citation-style-language/schema/raw/master/csl-citation.json"} </w:instrText>
            </w:r>
            <w:r w:rsidRPr="001334D1">
              <w:rPr>
                <w:rFonts w:ascii="Times New Roman" w:hAnsi="Times New Roman" w:cs="Times New Roman"/>
                <w:sz w:val="22"/>
                <w:szCs w:val="22"/>
                <w:lang w:val="en-US"/>
              </w:rPr>
              <w:fldChar w:fldCharType="separate"/>
            </w:r>
            <w:r w:rsidRPr="001334D1">
              <w:rPr>
                <w:rFonts w:ascii="Times New Roman" w:hAnsi="Times New Roman" w:cs="Times New Roman"/>
                <w:sz w:val="22"/>
                <w:szCs w:val="22"/>
                <w:vertAlign w:val="superscript"/>
              </w:rPr>
              <w:t>1–7</w:t>
            </w:r>
            <w:r w:rsidRPr="001334D1">
              <w:rPr>
                <w:rFonts w:ascii="Times New Roman" w:hAnsi="Times New Roman" w:cs="Times New Roman"/>
                <w:sz w:val="22"/>
                <w:szCs w:val="22"/>
                <w:lang w:val="en-US"/>
              </w:rPr>
              <w:fldChar w:fldCharType="end"/>
            </w:r>
            <w:r w:rsidRPr="001334D1">
              <w:rPr>
                <w:rFonts w:ascii="Times New Roman" w:hAnsi="Times New Roman" w:cs="Times New Roman"/>
                <w:sz w:val="22"/>
                <w:szCs w:val="22"/>
                <w:lang w:val="en-US"/>
              </w:rPr>
              <w:t>, Results-based financing</w:t>
            </w:r>
            <w:r w:rsidRPr="001334D1">
              <w:rPr>
                <w:rFonts w:ascii="Times New Roman" w:hAnsi="Times New Roman" w:cs="Times New Roman"/>
                <w:sz w:val="22"/>
                <w:szCs w:val="22"/>
                <w:lang w:val="en-US"/>
              </w:rPr>
              <w:fldChar w:fldCharType="begin"/>
            </w:r>
            <w:r w:rsidRPr="001334D1">
              <w:rPr>
                <w:rFonts w:ascii="Times New Roman" w:hAnsi="Times New Roman" w:cs="Times New Roman"/>
                <w:sz w:val="22"/>
                <w:szCs w:val="22"/>
                <w:lang w:val="en-US"/>
              </w:rPr>
              <w:instrText xml:space="preserve"> ADDIN ZOTERO_ITEM CSL_CITATION {"citationID":"WfBmpEzC","properties":{"formattedCitation":"\\super 8\\uc0\\u8211{}11\\nosupersub{}","plainCitation":"8–11","noteIndex":0},"citationItems":[{"id":4260,"uris":["http://zotero.org/users/1650834/items/XK4H9HLW"],"uri":["http://zotero.org/users/1650834/items/XK4H9HLW"],"itemData":{"id":4260,"type":"article-journal","title":"Can a results-based bottom-up reform improve health system performance? Evidence from the rural health project in China","container-title":"Health Economics","page":"1204-1219","volume":"28","issue":"10","source":"Wiley Online Library","abstract":"In 2008, the Rural Health Project (Health XI) was initiated in 40 Chinese counties to pilot interventions aimed at improving local health systems. Performance targets were pre-specified (results-based), and project counties were allowed to tailor their interventions (bottom-up) in recognition of the substantial regional variations. Using household data from the China National Health Services Survey in a difference-in-differences strategy combined with matching, we find that project counties have improved outcomes (both incentivized and not-directly-incentivized) in all three domains examined—medical care, public health services, and self-rated health—by 2013. In particular, the decrease in outpatient intravenous drip use and financial strain and the increase in all four components of public health services provision are robust to a variety of tests and alternative matching strategies. Results for not-directly-incentivized indicators suggest that results-based payment did not lead to multitasking problems but rather to positive spillovers. On the other hand, little improvement in inpatient-related indicators suggests that the Health XI interventions did not successfully redress the perverse incentives driving the bulk of providers' income. In general, however, our results indicate that interventions adopted in the results-based bottom-up approach generated substantial benefits given the investment.","DOI":"10.1002/hec.3935","ISSN":"1099-1050","shortTitle":"Can a results-based bottom-up reform improve health system performance?","language":"en","author":[{"family":"Zhang","given":"Hao"},{"family":"Doorslaer","given":"Eddy","dropping-particle":"van"},{"family":"Xu","given":"Ling"},{"family":"Zhang","given":"Yaoguang"},{"family":"Klundert","given":"Joris","dropping-particle":"van de"}],"issued":{"date-parts":[["2019"]]}}},{"id":3436,"uris":["http://zotero.org/users/1650834/items/9PALU7VP"],"uri":["http://zotero.org/users/1650834/items/9PALU7VP"],"itemData":{"id":3436,"type":"article-journal","title":"How do individuals' health behaviours respond to an increase in the supply of health care? Evidence from a natural experiment","container-title":"Social Science &amp; Medicine","page":"170-179","source":"Ovid MEDLINE(R)","note":"PMID: 27183132","author":[{"family":"Fichera","given":"Eleonora"},{"family":"Gray","given":"Ewan"},{"family":"Sutton","given":"Matt"}],"issued":{"date-parts":[["2016"]]}}},{"id":4548,"uris":["http://zotero.org/users/1650834/items/JYQBMV7E"],"uri":["http://zotero.org/users/1650834/items/JYQBMV7E"],"itemData":{"id":4548,"type":"article-journal","title":"Long-Term Effect of Hospital Pay for Performance on Mortality in England","container-title":"New England Journal of Medicine","page":"540-548","volume":"371","issue":"6","source":"Taylor and Francis+NEJM","abstract":"Pay-for-performance initiatives, which explicitly link financial incentives to the performance of health care providers, have been adopted in several countries in recent years.1,2 These programs aim to improve the quality of care provided, which should result in better patient outcomes. However, evidence that improvements in health are realized in practice is currently lacking.3–5 Few programs have been subjected to robust evaluation. Programs that have been evaluated show modest and short-term improvements at best on measures of processes related to financial incentives.6,7 There is particular concern about the long-term effects of pay-for-performance initiatives, since initial improvements in measures . . .","DOI":"10.1056/NEJMoa1400962","ISSN":"0028-4793","note":"PMID: 25099578","author":[{"family":"Kristensen","given":"Søren Rud"},{"family":"Meacock","given":"Rachel"},{"family":"Turner","given":"Alex J."},{"family":"Boaden","given":"Ruth"},{"family":"McDonald","given":"Ruth"},{"family":"Roland","given":"Martin"},{"family":"Sutton","given":"Matthew"}],"issued":{"date-parts":[["2014",8,7]]}}},{"id":3740,"uris":["http://zotero.org/users/1650834/items/7PR3LCY3"],"uri":["http://zotero.org/users/1650834/items/7PR3LCY3"],"itemData":{"id":3740,"type":"article-journal","title":"Record rewards: the effects of targeted quality incentives on the recording of risk factors by primary care providers","container-title":"Health Economics","page":"1-13","volume":"19","issue":"1","source":"Ovid MEDLINE(R)","note":"PMID: 19206084","author":[{"family":"Sutton","given":"Matt"},{"family":"Elder","given":"Ross"},{"family":"Guthrie","given":"Bruce"},{"family":"Watt","given":"Graham"}],"issued":{"date-parts":[["2010",1]]}}}],"schema":"https://github.com/citation-style-language/schema/raw/master/csl-citation.json"} </w:instrText>
            </w:r>
            <w:r w:rsidRPr="001334D1">
              <w:rPr>
                <w:rFonts w:ascii="Times New Roman" w:hAnsi="Times New Roman" w:cs="Times New Roman"/>
                <w:sz w:val="22"/>
                <w:szCs w:val="22"/>
                <w:lang w:val="en-US"/>
              </w:rPr>
              <w:fldChar w:fldCharType="separate"/>
            </w:r>
            <w:r w:rsidRPr="001334D1">
              <w:rPr>
                <w:rFonts w:ascii="Times New Roman" w:hAnsi="Times New Roman" w:cs="Times New Roman"/>
                <w:sz w:val="22"/>
                <w:szCs w:val="22"/>
                <w:vertAlign w:val="superscript"/>
              </w:rPr>
              <w:t>8–11</w:t>
            </w:r>
            <w:r w:rsidRPr="001334D1">
              <w:rPr>
                <w:rFonts w:ascii="Times New Roman" w:hAnsi="Times New Roman" w:cs="Times New Roman"/>
                <w:sz w:val="22"/>
                <w:szCs w:val="22"/>
                <w:lang w:val="en-US"/>
              </w:rPr>
              <w:fldChar w:fldCharType="end"/>
            </w:r>
            <w:r w:rsidRPr="001334D1">
              <w:rPr>
                <w:rFonts w:ascii="Times New Roman" w:hAnsi="Times New Roman" w:cs="Times New Roman"/>
                <w:sz w:val="22"/>
                <w:szCs w:val="22"/>
                <w:lang w:val="en-US"/>
              </w:rPr>
              <w:t>, Provider payment models or fees (DRG, capitation, FFS)</w:t>
            </w:r>
            <w:r w:rsidRPr="001334D1">
              <w:rPr>
                <w:rFonts w:ascii="Times New Roman" w:hAnsi="Times New Roman" w:cs="Times New Roman"/>
                <w:sz w:val="22"/>
                <w:szCs w:val="22"/>
                <w:lang w:val="en-US"/>
              </w:rPr>
              <w:fldChar w:fldCharType="begin"/>
            </w:r>
            <w:r w:rsidRPr="001334D1">
              <w:rPr>
                <w:rFonts w:ascii="Times New Roman" w:hAnsi="Times New Roman" w:cs="Times New Roman"/>
                <w:sz w:val="22"/>
                <w:szCs w:val="22"/>
                <w:lang w:val="en-US"/>
              </w:rPr>
              <w:instrText xml:space="preserve"> ADDIN ZOTERO_ITEM CSL_CITATION {"citationID":"8hDJBYWJ","properties":{"formattedCitation":"\\super 12\\uc0\\u8211{}23\\nosupersub{}","plainCitation":"12–23","noteIndex":0},"citationItems":[{"id":4775,"uris":["http://zotero.org/users/1650834/items/A9SZ2YFL"],"uri":["http://zotero.org/users/1650834/items/A9SZ2YFL"],"itemData":{"id":4775,"type":"article-journal","title":"Randomized trial shows healthcare payment reform has equal-sized spillover effects on patients not targeted by reform","container-title":"Proceedings of the National Academy of Sciences","page":"18939-18947","volume":"117","issue":"32","source":"Crossref","DOI":"10.1073/pnas.2004759117","ISSN":"0027-8424, 1091-6490","language":"en","author":[{"family":"Einav","given":"Liran"},{"family":"Finkelstein","given":"Amy"},{"family":"Ji","given":"Yunan"},{"family":"Mahoney","given":"Neale"}],"issued":{"date-parts":[["2020",8,11]]}}},{"id":4515,"uris":["http://zotero.org/users/1650834/items/ZTIFFQUD"],"uri":["http://zotero.org/users/1650834/items/ZTIFFQUD"],"itemData":{"id":4515,"type":"article-journal","title":"Early Impact on Outpatients of Mandatory Adoption of the Diagnosis-Related Group-Based Reimbursement System in Korea on Use of Outpatient Care: Differences in Medical Utilization and Presurgery Examination","container-title":"Health Services Research","page":"2064-2083","volume":"53","issue":"4","source":"Wiley Online Library","abstract":"Objective To explore the impact of mandatory adoption of diagnosis-related groups (DRGs) on the use of outpatient care in Korea. Data Sources National Health Claim data from 2,022 hospitals and 1,029,101 admission cases during 2011–2014: tonsillectomy/adenoidectomy, inguinal/femoral hernia operation, and hemorrhoidectomy. Study Design Outcome variables included probability of outpatient visit, number of outpatient visits, and outpatient medical expenditures within 30 days. Presurgery examination before hospitalization for surgery, including basic and other examination, was conducted to evaluate a possible shift in health care service. A difference-in-difference research design was used to evaluate the impact of the DRG system on the use of outpatient care. Principal Findings Before the introduction of the DRG system, 384,609 (91.1 percent) participants used an outpatient clinic either before or after hospitalization. In our study, the number of outpatient visits and outpatient medical expenditures within 30 days increased after mandatory adoption of the DRG system. After adoption of the DRG system, volume and costs for presurgery examinations increased before hospitalization. Conclusion We observed a spillover effect after mandatory adoption of the DRG system. A future payment system should be designed for spillover effects, and the introduction of a new payment system that expands the DRG-based reimbursement system should be considered.","DOI":"10.1111/1475-6773.12749","ISSN":"1475-6773","shortTitle":"Early Impact on Outpatients of Mandatory Adoption of the Diagnosis-Related Group-Based Reimbursement System in Korea on Use of Outpatient Care","language":"en","author":[{"family":"Kim","given":"Seung Ju"},{"family":"Han","given":"Kyu-Tae"},{"family":"Kim","given":"Woorim"},{"family":"Kim","given":"Sun Jung"},{"family":"Park","given":"Eun-Cheol"}],"issued":{"date-parts":[["2018"]]}}},{"id":3314,"uris":["http://zotero.org/users/1650834/items/HF8AK4JR"],"uri":["http://zotero.org/users/1650834/items/HF8AK4JR"],"itemData":{"id":3314,"type":"article-journal","title":"Medicare Advantage Penetration and Hospital Costs Before and After the Affordable Care Act","container-title":"Medical Care","page":"321-328","volume":"56","issue":"4","source":"Ovid MEDLINE(R)","note":"PMID: 29462076","author":[{"family":"Henke","given":"Rachel Mosher"},{"family":"Karaca","given":"Zeynal"},{"family":"Gibson","given":"Teresa B."},{"family":"Cutler","given":"Eli"},{"family":"White","given":"Chapin"},{"family":"Wong","given":"Herbert S."}],"issued":{"date-parts":[["2018"]]}}},{"id":4530,"uris":["http://zotero.org/users/1650834/items/QLIHZS7Z"],"uri":["http://zotero.org/users/1650834/items/QLIHZS7Z"],"itemData":{"id":4530,"type":"article-journal","title":"Home Dialysis in the Prospective Payment System Era","container-title":"Journal of the American Society of Nephrology","page":"2993-3004","volume":"28","issue":"10","source":"jasn.asnjournals.org","abstract":"The ESRD Prospective Payment System introduced two incentives to increase home dialysis use: bundling injectable medications into a single payment for treatment and paying for home dialysis training. We evaluated the effects of the ESRD Prospective Payment System on home dialysis use by patients starting dialysis in the United States from January 1, 2006 to August 31, 2013. We analyzed data on dialysis modality, insurance type, and comorbidities from the United States Renal Data System. We estimated the effect of the policy on home dialysis use with multivariable logistic regression and compared the effect on Medicare Parts A/B beneficiaries with the effect on patients with other types of insurance. The ESRD Prospective Payment System associated with a 5.0% (95% confidence interval [95% CI], 4.0% to 6.0%) increase in home dialysis use by the end of the study period. Home dialysis use increased by 5.8% (95% CI, 4.3% to 6.9%) among Medicare beneficiaries and 4.1% (95% CI, 2.3% to 5.4%) among patients covered by other forms of health insurance. The difference between these groups was not statistically significant (1.8%; 95% CI, −0.2% to 3.8%). Conversely, in both populations, the training add-on did not associate with increases in home dialysis use beyond the effect of the policy. The ESRD Prospective Payment System bundling, but not the training add-on, associated with substantial increases in home dialysis, which were identical for both Medicare and non-Medicare patients. These spill-over effects suggest that major payment changes in Medicare can affect all patients with ESRD.","DOI":"10.1681/ASN.2017010041","ISSN":"1046-6673, 1533-3450","note":"PMID: 28490435","journalAbbreviation":"JASN","language":"en","author":[{"family":"Lin","given":"Eugene"},{"family":"Cheng","given":"Xingxing S."},{"family":"Chin","given":"Kuo-Kai"},{"family":"Zubair","given":"Talhah"},{"family":"Chertow","given":"Glenn M."},{"family":"Bendavid","given":"Eran"},{"family":"Bhattacharya","given":"Jayanta"}],"issued":{"date-parts":[["2017",10,1]]}}},{"id":4551,"uris":["http://zotero.org/users/1650834/items/5U6SHENU"],"uri":["http://zotero.org/users/1650834/items/5U6SHENU"],"itemData":{"id":4551,"type":"article-journal","title":"Retrospective drug utilization review: impact of pharmacist interventions on physician prescribing","container-title":"ClinicoEconomics and Outcomes Research: CEOR","page":"105-108","volume":"3","source":"PubMed Central","abstract":"Objectives:\nTo evaluate the impact of retrospective drug utilization review (RDUR), pharmacist’s interventions on physician prescribing, and the level of spillover effect on future prescriptions following the intervention.\n\nMethods:\nA retrospective case–control study was conducted at a pharmacy benefits management company using the available prescription data from April 2004 to August 2005. RDUR conflicts evaluated and intervened by a clinical pharmacist served as a case group, whereas conflicts that were not evaluated and intervened by a clinical pharmacist served as a control group.\n\nResults:\nA total of 40,284 conflicts in cases and 13,044 in controls were identified. For cases, 32,780 interventions were considered nonrepetitive, and 529 were repetitive. There were 22,870 physicians in cases that received intervention letters and 2348 physicians in the control group that would have received intervention letters during the study period. Each physician received on average 1.4 interventions for cases vs 3.0 for controls. Among the case physicians who were intervened during the study period, 2.2% (505) were involved in a repeated intervention vs 18.2% (428) in controls (P &lt; 0.001), which is an eight-fold difference. The most common conflict intervened on in cases was therapeutic appropriateness (8277, 25.3%), and for controls it was drug–drug interactions (1796, 25.4%). The overall interventional spillover effect in cases was 98.4% vs 89.4% in controls (P = 0.01).\n\nConclusion:\nRDUR is an effective interventional program which results in decreased numbers of interventions per physician and provides a significant impact on future prescribing habits.","DOI":"10.2147/CEOR.S21789","ISSN":"1178-6981","note":"PMID: 21935338\nPMCID: PMC3169980","shortTitle":"Retrospective drug utilization review","journalAbbreviation":"Clinicoecon Outcomes Res","author":[{"family":"Angalakuditi","given":"Mallik"},{"family":"Gomes","given":"Joseph"}],"issued":{"date-parts":[["2011",6,27]]}}},{"id":4556,"uris":["http://zotero.org/users/1650834/items/LKGFJUBJ"],"uri":["http://zotero.org/users/1650834/items/LKGFJUBJ"],"itemData":{"id":4556,"type":"article-journal","title":"A tale of two bounties: the impact of competing fees on physician behavior","container-title":"Journal of Health Politics, Policy and Law","page":"1307-1330","volume":"24","issue":"6","source":"PubMed","abstract":"This study examines how the volume of privately insured services provided in hospital inpatient and outpatient departments changes in response to reductions in Medicare physician payments. We hypothesize that physicians consider relative payment rates when choosing which patients to treat in their practices. When Medicare reduces its payments for surgical procedures, as it did in the late 1980s, physicians are predicted to treat more privately insured patients because they become more lucrative. We use data from 182 hospitals for seventeen major procedures groups, covering a forty-five-month period between 1988 and 1991 that encom passes a twenty-four-month period before the reduction in Medicare fees and twenty-one months after the reduction. Our findings are consistent with the predictions for a number of procedure groups, but not for all of them. One implication of the findings is that societal savings from Medicare fee reductions are overstated if one does not also consider spillover effects in the private insurance market.","DOI":"10.1215/03616878-24-6-1307","ISSN":"0361-6878","note":"PMID: 10626694","shortTitle":"A tale of two bounties","language":"eng","author":[{"family":"Rice","given":"T."},{"family":"Stearns","given":"S. C."},{"family":"Pathman","given":"D. E."},{"family":"DesHarnais","given":"S."},{"family":"Brasure","given":"M."},{"family":"Tai-Seale","given":"M."}],"issued":{"date-parts":[["1999",12]]}}},{"id":3976,"uris":["http://zotero.org/users/1650834/items/YP436KJZ"],"uri":["http://zotero.org/users/1650834/items/YP436KJZ"],"itemData":{"id":3976,"type":"article-journal","title":"Services utilization before and after the prospective payment system by patients with somatization disorder","container-title":"Journal of Behavioral Health Services","page":"76-82","volume":"25","issue":"1","source":"Ovid MEDLINE(R)","note":"PMID: 9516296","author":[{"family":"Zhang","given":"M."},{"family":"Booth","given":"B. M."},{"family":"Smith","given":"G. R. Jr"}],"issued":{"date-parts":[["1998",2]]}}},{"id":4560,"uris":["http://zotero.org/users/1650834/items/9PYK7LTA"],"uri":["http://zotero.org/users/1650834/items/9PYK7LTA"],"itemData":{"id":4560,"type":"article-journal","title":"The Hospital Response to Medicare's Prospective Payment System: An Econometric Model of Blue Cross and Blue Shield Plans","container-title":"Medical Care","page":"471-485","volume":"32","issue":"5","source":"JSTOR","archive":"JSTOR","abstract":"This paper presents an empirical analysis of the impact that resulted from phase-in of Medicare's Prospective Payment System (PPS) on hospital utilization and payments for the Blue Cross and Blue Shield (BCBS) plans. A pooled cross-sectional time series econometric model was specified and estimated using quarterly hospital utilization and payments of the BCBS plans over the period 1980 to 1987. The results indicate that the implementation of PPS was significantly associated with a lower rate of hospital admissions, days and deflated inpatient payments for the BCBS plan members under age 65. A 1% increase in the proportion of hospital days reimbursed under PPS resulted in a .032% decrease in BCBS plan admissions per 1,000 members, a 0.017% decline in days per 1,000 members and a 0.016% decline in deflated inpatient payment per 1,000 members. The reductions in hospital utilization resulted in lower payments by BCBS plans to participating hospitals suggesting a positive spill-over effect of PPS for private insurers. This research underscores the importance of interaction between federal health policy and the private health insurance market.","ISSN":"0025-7079","shortTitle":"The Hospital Response to Medicare's Prospective Payment System","author":[{"family":"Scheffler","given":"Richard M."},{"family":"Clement","given":"Dolores G."},{"family":"Sullivan","given":"Sean D."},{"family":"Hu","given":"Teh-wei"},{"family":"Sung","given":"Hai-Yen"}],"issued":{"date-parts":[["1994"]]}}},{"id":4042,"uris":["http://zotero.org/users/1650834/items/S4CNTHRF"],"uri":["http://zotero.org/users/1650834/items/S4CNTHRF"],"itemData":{"id":4042,"type":"article-journal","title":"Medicare prospective payment reforms and hospital utilization. Temporary or lasting effects?","container-title":"Medical Care","page":"296-308","volume":"31","issue":"4","source":"Ovid MEDLINE(R)","note":"PMID: 8464247","author":[{"family":"Muller","given":"A."}],"issued":{"date-parts":[["1993",4]]}}},{"id":3887,"uris":["http://zotero.org/users/1650834/items/FH7HZLSN"],"uri":["http://zotero.org/users/1650834/items/FH7HZLSN"],"itemData":{"id":3887,"type":"article-journal","title":"Spillover effects of Medicare fee reductions: evidence from ophthalmology","container-title":"Journal of Health Care Finance","page":"171-188","volume":"2","issue":"3","source":"Ovid MEDLINE(R)","note":"PMID: 14625939","author":[{"family":"Mitchell","given":"Jean M."},{"family":"Hadley","given":"Jack"},{"family":"Gaskin","given":"Darrell J."}],"issued":{"date-parts":[["2002",9]]}}},{"id":4834,"uris":["http://zotero.org/users/1650834/items/ED7MGQW8"],"uri":["http://zotero.org/users/1650834/items/ED7MGQW8"],"itemData":{"id":4834,"type":"article-journal","title":"Did Arkansas’ Medicaid Patient-Centered Medical Home Program Have Spillover Effects on Commercially Insured Enrollees?","container-title":"INQUIRY: The Journal of Health Care Organization, Provision, and Financing","page":"0046958019900753","volume":"57","source":"SAGE Journals","abstract":"Patient-centered medical homes are increasingly being implemented by state Medicaid programs to incentivize high-quality, coordinated care and ultimately lower health care spending. This study examined whether the Arkansas Medicaid Patient-Centered Medical Home Program’s practice-wide transformation activities had spillover effects on commercial beneficiaries. We used difference-in-differences to compare utilization and expenditures of commercially insured enrollees as their practices received Medicaid patient-centered medical home certification on a rolling basis between 2014 and 2016. We found a 5.7% increase in outpatient visits and 13% higher expenditures among early adopting practices. Even without associated reductions in costly emergency department visits or inpatient hospital admissions, decisionmakers should not lose sight of the potential value of increased engagement in and coordination of professional services for a population with high unmet health needs. Our results also emphasize that states can leverage Medicaid to spur system-wide transformation, and the investments generate spillover effects beyond those covered directly by Medicaid.","DOI":"10.1177/0046958019900753","ISSN":"0046-9580","journalAbbreviation":"INQUIRY","language":"en","author":[{"family":"Hinde","given":"Jesse M."},{"family":"West","given":"Nathan"},{"family":"Arbes","given":"Samuel J."},{"family":"Kluckman","given":"Marianne"},{"family":"West","given":"Suzanne L."}],"issued":{"date-parts":[["2020",1,1]]}}},{"id":4803,"uris":["http://zotero.org/users/1650834/items/6KKFLSGU"],"uri":["http://zotero.org/users/1650834/items/6KKFLSGU"],"itemData":{"id":4803,"type":"article-journal","title":"Do hospitals respond to changing incentive structures? Evidence from Medicare’s 2007 DRG restructuring","container-title":"Journal of Health Economics","page":"102319","volume":"73","source":"ScienceDirect","abstract":"In 2007, the Centers for Medicare and Medicaid restructured the diagnosis related group (DRG) system by expanding the number of categories within a DRG to account for complications present within certain conditions. This change allows for differential reimbursement depending on the severity of the case. We examine whether this change incentivized hospitals to upcode patients as sicker to increase their reimbursements. Using the National Inpatient Survey data from HCUP from 2005 to 2010 and three methods to detect the presence of upcoding, our most conservative estimate is an additional three percent of reimbursement is attributable to upcoding. We find evidence of upcoding in government, non-profit, and for-profit hospitals. We find spillover effects of upcoding impacting not only Medicare payers, but also private insurance companies as well.","DOI":"10.1016/j.jhealeco.2020.102319","ISSN":"0167-6296","shortTitle":"Do hospitals respond to changing incentive structures?","journalAbbreviation":"Journal of Health Economics","language":"en","author":[{"family":"Cook","given":"Amanda"},{"family":"Averett","given":"Susan"}],"issued":{"date-parts":[["2020",9,1]]}}}],"schema":"https://github.com/citation-style-language/schema/raw/master/csl-citation.json"} </w:instrText>
            </w:r>
            <w:r w:rsidRPr="001334D1">
              <w:rPr>
                <w:rFonts w:ascii="Times New Roman" w:hAnsi="Times New Roman" w:cs="Times New Roman"/>
                <w:sz w:val="22"/>
                <w:szCs w:val="22"/>
                <w:lang w:val="en-US"/>
              </w:rPr>
              <w:fldChar w:fldCharType="separate"/>
            </w:r>
            <w:r w:rsidRPr="001334D1">
              <w:rPr>
                <w:rFonts w:ascii="Times New Roman" w:hAnsi="Times New Roman" w:cs="Times New Roman"/>
                <w:sz w:val="22"/>
                <w:szCs w:val="22"/>
                <w:vertAlign w:val="superscript"/>
              </w:rPr>
              <w:t>12–23</w:t>
            </w:r>
            <w:r w:rsidRPr="001334D1">
              <w:rPr>
                <w:rFonts w:ascii="Times New Roman" w:hAnsi="Times New Roman" w:cs="Times New Roman"/>
                <w:sz w:val="22"/>
                <w:szCs w:val="22"/>
                <w:lang w:val="en-US"/>
              </w:rPr>
              <w:fldChar w:fldCharType="end"/>
            </w:r>
            <w:r w:rsidRPr="001334D1">
              <w:rPr>
                <w:rFonts w:ascii="Times New Roman" w:hAnsi="Times New Roman" w:cs="Times New Roman"/>
                <w:sz w:val="22"/>
                <w:szCs w:val="22"/>
                <w:lang w:val="en-US"/>
              </w:rPr>
              <w:t>, Disease-specific financial incentive programs</w:t>
            </w:r>
            <w:r w:rsidRPr="001334D1">
              <w:rPr>
                <w:rFonts w:ascii="Times New Roman" w:hAnsi="Times New Roman" w:cs="Times New Roman"/>
                <w:sz w:val="22"/>
                <w:szCs w:val="22"/>
                <w:lang w:val="en-US"/>
              </w:rPr>
              <w:fldChar w:fldCharType="begin"/>
            </w:r>
            <w:r w:rsidRPr="001334D1">
              <w:rPr>
                <w:rFonts w:ascii="Times New Roman" w:hAnsi="Times New Roman" w:cs="Times New Roman"/>
                <w:sz w:val="22"/>
                <w:szCs w:val="22"/>
                <w:lang w:val="en-US"/>
              </w:rPr>
              <w:instrText xml:space="preserve"> ADDIN ZOTERO_ITEM CSL_CITATION {"citationID":"RpocQySN","properties":{"formattedCitation":"\\super 24\\uc0\\u8211{}26\\nosupersub{}","plainCitation":"24–26","noteIndex":0},"citationItems":[{"id":4521,"uris":["http://zotero.org/users/1650834/items/NSE4BC2Z"],"uri":["http://zotero.org/users/1650834/items/NSE4BC2Z"],"itemData":{"id":4521,"type":"article-journal","title":"Incentive schemes to increase dementia diagnoses in primary care in England: a retrospective cohort study of unintended consequences","container-title":"British Journal of General Practice","page":"e154-e163","volume":"69","issue":"680","source":"bjgp.org","abstract":"Background The UK government introduced two financial incentive schemes for primary care to tackle underdiagnosis in dementia: the 3-year Directed Enhanced Service 18 (DES18) and the 6-month Dementia Identification Scheme (DIS). The schemes appear to have been effective in boosting dementia diagnosis rates, but their unintended effects are unknown.\nAim To identify and quantify unintended consequences associated with the DES18 and DIS schemes.\nDesign and setting A retrospective cohort quantitative study of 7079 English primary care practices.\nMethod Potential unintended effects of financial incentive schemes, both positive and negative, were identified from a literature review. A practice-level dataset covering the period 2006/2007 to 2015/2016 was constructed. Difference-in-differences analysis was employed to test the effects of the incentive schemes on quality measures from the Quality and Outcomes Framework (QOF); and four measures of patient experience from the GP Patient Survey (GPPS): patient-centred care, access to care, continuity of care, and the doctor–patient relationship. The researchers controlled for effects of the contemporaneous hospital incentive scheme for dementia and for practice characteristics.\nResults National practice participation rates in DES18 and DIS were 98.5% and 76% respectively. Both schemes were associated not only with a positive impact on QOF quality outcomes, but also with negative impacts on some patient experience indicators.\nConclusion The primary care incentive schemes for dementia appear to have enhanced QOF performance for the dementia review, and have had beneficial spillover effects on QOF performance in other clinical areas. However, the schemes may have had negative impacts on several aspects of patient experience.","DOI":"10.3399/bjgp19X701513","ISSN":"0960-1643, 1478-5242","note":"PMID: 30803980","shortTitle":"Incentive schemes to increase dementia diagnoses in primary care in England","journalAbbreviation":"Br J Gen Pract","language":"en","author":[{"family":"Liu","given":"Dan"},{"family":"Green","given":"Emily"},{"family":"Kasteridis","given":"Panagiotis"},{"family":"Goddard","given":"Maria"},{"family":"Jacobs","given":"Rowena"},{"family":"Wittenberg","given":"Raphael"},{"family":"Mason","given":"Anne"}],"issued":{"date-parts":[["2019",3,1]]}}},{"id":4562,"uris":["http://zotero.org/users/1650834/items/65WD7BSM"],"uri":["http://zotero.org/users/1650834/items/65WD7BSM"],"itemData":{"id":4562,"type":"article-journal","title":"Reports of unintended consequences of financial incentives to improve management of hypertension","container-title":"PloS One","page":"e0184856","volume":"12","issue":"9","source":"PubMed","abstract":"BACKGROUND: Given the increase in financial-incentive programs nationwide, many physicians and physician groups are concerned about potential unintended consequences of providing financial incentives to improve quality of care. However, few studies examine whether actual unintended consequences result from providing financial incentives to physicians. We sought to document the extent to which the unintended consequences discussed in the literature were observable in a randomized clinical trial (RCT) of financial incentives.\nMETHODS: We conducted a qualitative observational study nested within a larger RCT of financial incentives to improve hypertension care. We conducted 30-minute telephone interviews with primary care personnel at facilities participating in the RCT housed at12 geographically dispersed Veterans Affairs Medical Centers nationwide. Participants answered questions about unintended effects, clinic team dynamics, organizational impact on care delivery, study participation. We employed a blend of inductive and deductive qualitative techniques for analysis.\nPARTICIPANTS: Sixty-five participants were recruited from RCT enrollees and personnel not enrolled in the larger RCT, plus one primary care leader per site.\nRESULTS: Emergent themes included possible patient harm, emphasis on documentation over improving care, reduced professional morale, and positive spillover. All discussions of unintended consequences involving patient harm were only concerns, not actual events. Several unintended consequences concerned ancillary initiatives for quality improvement (e.g., practice guidelines and performance measurement systems) rather than financial incentives.\nCONCLUSIONS: Many unintended consequences of financial incentives noted were either only concerns or attributable to ancillary quality-improvement initiatives. Actual unintended consequences included improved documentation of care without necessarily improving actual care, and positive unintended consequences.\nTRIAL REGISTRATION: Clinicaltrials.gov Identifier: NCT00302718.","DOI":"10.1371/journal.pone.0184856","ISSN":"1932-6203","note":"PMID: 28934258\nPMCID: PMC5608267","language":"eng","author":[{"family":"Hysong","given":"Sylvia J."},{"family":"SoRelle","given":"Richard"},{"family":"Broussard Smitham","given":"Kristen"},{"family":"Petersen","given":"Laura A."}],"issued":{"date-parts":[["2017"]]}}},{"id":4543,"uris":["http://zotero.org/users/1650834/items/DWVXDUEM"],"uri":["http://zotero.org/users/1650834/items/DWVXDUEM"],"itemData":{"id":4543,"type":"article-journal","title":"The Spillover Effect of a Change in Medicare Reimbursements on Provider Behavior in the Non-Medicare Population for Bariatric Surgery","container-title":"World Medical &amp; Health Policy","page":"74-94","volume":"8","issue":"1","source":"Wiley Online Library","abstract":"In 2006, the United States' Centers for Medicare and Medicaid Services (CMS) released a national coverage determination (NCD) which required bariatric surgery procedures to be performed in accredited centers of excellence, which decreased the rate of procedures among Medicare beneficiaries. The NCD's effect on the non-Medicare population is unknown. In this study, we evaluate temporal rates of bariatric surgery using data from the Healthcare Cost and Utilization Project's National Inpatient Sample from 1998 to 2010. We observed similar decreases in rates of bariatric surgery in both the Medicare and non-Medicare populations with the decreases occurring concurrently. This suggests significant Medicare spillover onto the non-Medicare population and indicates CMS has the ability to influence provider behavior beyond the Medicare population.","DOI":"10.1002/wmh3.178","ISSN":"1948-4682","language":"en","author":[{"family":"Muhlestein","given":"David B."},{"family":"Wickizer","given":"Thomas"},{"family":"Shoben","given":"Abigail"}],"issued":{"date-parts":[["2016"]]}}}],"schema":"https://github.com/citation-style-language/schema/raw/master/csl-citation.json"} </w:instrText>
            </w:r>
            <w:r w:rsidRPr="001334D1">
              <w:rPr>
                <w:rFonts w:ascii="Times New Roman" w:hAnsi="Times New Roman" w:cs="Times New Roman"/>
                <w:sz w:val="22"/>
                <w:szCs w:val="22"/>
                <w:lang w:val="en-US"/>
              </w:rPr>
              <w:fldChar w:fldCharType="separate"/>
            </w:r>
            <w:r w:rsidRPr="001334D1">
              <w:rPr>
                <w:rFonts w:ascii="Times New Roman" w:hAnsi="Times New Roman" w:cs="Times New Roman"/>
                <w:sz w:val="22"/>
                <w:szCs w:val="22"/>
                <w:vertAlign w:val="superscript"/>
              </w:rPr>
              <w:t>24–26</w:t>
            </w:r>
            <w:r w:rsidRPr="001334D1">
              <w:rPr>
                <w:rFonts w:ascii="Times New Roman" w:hAnsi="Times New Roman" w:cs="Times New Roman"/>
                <w:sz w:val="22"/>
                <w:szCs w:val="22"/>
                <w:lang w:val="en-US"/>
              </w:rPr>
              <w:fldChar w:fldCharType="end"/>
            </w:r>
            <w:r w:rsidRPr="001334D1">
              <w:rPr>
                <w:rFonts w:ascii="Times New Roman" w:hAnsi="Times New Roman" w:cs="Times New Roman"/>
                <w:sz w:val="22"/>
                <w:szCs w:val="22"/>
                <w:lang w:val="en-US"/>
              </w:rPr>
              <w:t>, Financial interventions (microcredit, incentives)</w:t>
            </w:r>
            <w:r w:rsidRPr="001334D1">
              <w:rPr>
                <w:rFonts w:ascii="Times New Roman" w:hAnsi="Times New Roman" w:cs="Times New Roman"/>
                <w:sz w:val="22"/>
                <w:szCs w:val="22"/>
                <w:lang w:val="en-US"/>
              </w:rPr>
              <w:fldChar w:fldCharType="begin"/>
            </w:r>
            <w:r w:rsidRPr="001334D1">
              <w:rPr>
                <w:rFonts w:ascii="Times New Roman" w:hAnsi="Times New Roman" w:cs="Times New Roman"/>
                <w:sz w:val="22"/>
                <w:szCs w:val="22"/>
                <w:lang w:val="en-US"/>
              </w:rPr>
              <w:instrText xml:space="preserve"> ADDIN ZOTERO_ITEM CSL_CITATION {"citationID":"QSQi7vQU","properties":{"formattedCitation":"\\super 27\\uc0\\u8211{}32\\nosupersub{}","plainCitation":"27–32","noteIndex":0},"citationItems":[{"id":4444,"uris":["http://zotero.org/users/1650834/items/UGK9S76E"],"uri":["http://zotero.org/users/1650834/items/UGK9S76E"],"itemData":{"id":4444,"type":"article-journal","title":"More than credit: Exploring associations between microcredit programs and maternal and reproductive health service utilization in India","container-title":"SSM - Population Health","volume":"9","source":"PubMed Central","abstract":"Microcredit programs are increasingly popular interventions aimed at enabling women's economic empowerment in low- and middle-income countries. Resultant improved income, and social support from co-members of microcredit programs, may lead to increased utilization of health services. But existing research is inconclusive. This study investigates the association of microcredit program awareness and participation, with maternal and postpartum reproductive health service utilization in India. We use data from a nationally representative survey, the National Family Health Survey (2015–16), and assess three indicators of maternal health service utilization: receipt of four or more antenatal check-ups, institutional delivery, and postnatal check-up among women who had a child less than 5 years of age (N = 32,880). Reproductive health service utilization is assessed via postpartum contraceptive use within 12 months of childbirth, among women who had a live birth in the 12–59 months preceding the survey (N = 24,258). We use binomial and multinomial logistic regression models to examine associations. Additionally, we use propensity score matching to account for self-selection bias. One-third of women are aware of microcredit programs in their community/village, but only 6% have ever taken a loan from these programs. Both microcredit program awareness and participation are associated with higher odds of antenatal care, postnatal check-ups, as well as use of a modern method of contraceptive within 12 months of childbirth, even after accounting for self-selection bias. Stratified analysis by household wealth show that significant associations seen in our primary analyses are significant only for the poorest women. Findings highlight the potential value of microcredit programs in improving health service utilization during and after pregnancy, particularly among poor women. Microcredit program benefits extend beyond their participants. Non-participants living close to the programs also have greater odds of maternal and reproductive health service utilization, suggesting a spillover effect of these programs at the community level., \n          \n            \n              •\n              Microcredit program awareness and participation are associated with improved maternal and postpartum reproductive health service utilization.\n            \n            \n              •\n              Observed associations are true even after accounting for self-selection bias.\n            \n            \n              •\n              Observed associations are strongest for women belonging to the lowest wealth quintile.","URL":"https://www.ncbi.nlm.nih.gov/pmc/articles/PMC6706634/","DOI":"10.1016/j.ssmph.2019.100467","ISSN":"2352-8273","note":"PMID: 31463356\nPMCID: PMC6706634","shortTitle":"More than credit","journalAbbreviation":"SSM Popul Health","author":[{"family":"Dehingia","given":"Nabamallika"},{"family":"Singh","given":"Abhishek"},{"family":"Raj","given":"Anita"},{"family":"McDougal","given":"Lotus"}],"issued":{"date-parts":[["2019",8,6]]},"accessed":{"date-parts":[["2020",10,7]]}}},{"id":4451,"uris":["http://zotero.org/users/1650834/items/ESVLSJAZ"],"uri":["http://zotero.org/users/1650834/items/ESVLSJAZ"],"itemData":{"id":4451,"type":"article-journal","title":"Cost-Related Medication Nonadherence for Older Adults Participating in SNAP, 2013-2015","container-title":"American Journal of Public Health","page":"224-230","volume":"108","issue":"2","source":"PubMed","abstract":"OBJECTIVES: To estimate the impact of Supplemental Nutrition Assistance Program (SNAP) participation on cost-related medication nonadherence (CRN) for older adults in the United States, with a particular focus on those who are food insecure and those threatened by hunger.\nMETHODS: We used propensity score matching to create matched intervention and comparison groups of SNAP-eligible US adults aged 60 years and older with data from the 2013-2015 National Health Interview Survey. Intervention group participants were identified on the basis of self-reported SNAP participation in the past year.\nRESULTS: SNAP participants were 4.8 percentage points less likely to engage in CRN than eligible nonparticipants (P &lt; .01). The effect of SNAP is about twice as large for older adults threatened by hunger (9.1 percentage points; P &lt; .01), and considerable even for those who are food insecure (7.4 percentage points; P &lt; .05).\nCONCLUSIONS: Findings point to a spillover \"income effect\" as SNAP may help older adults better afford their medications, conceivably by reducing out-of-pocket food expenditures. When prescribing treatment plans, health systems and payers have a vested interest in connecting older patients to SNAP and other resources that may help address barriers to care.","DOI":"10.2105/AJPH.2017.304176","ISSN":"1541-0048","note":"PMID: 29267062\nPMCID: PMC5846586","language":"eng","author":[{"family":"Srinivasan","given":"Mithuna"},{"family":"Pooler","given":"Jennifer A."}],"issued":{"date-parts":[["2018"]]}}},{"id":4457,"uris":["http://zotero.org/users/1650834/items/6EUWCM6Y"],"uri":["http://zotero.org/users/1650834/items/6EUWCM6Y"],"itemData":{"id":4457,"type":"article-journal","title":"The effects of community income inequality on health: Evidence from a randomized control trial in the Bolivian Amazon","container-title":"Social Science &amp; Medicine","page":"66-75","volume":"149","source":"ScienceDirect","abstract":"Research suggests that poorer people have worse health than the better-off and, more controversially, that income inequality harms health. But causal interpretations suffer from endogeneity. We addressed the gap by using a randomized control trial among a society of forager-farmers in the Bolivian Amazon. Treatments included one-time unconditional income transfers (T1) to all households and (T2) only to the poorest 20% of households, with other villages as controls. We assessed the effects of income inequality, absolute income, and spillovers within villages on self-reported health, objective indicators of health and nutrition, and adults' substance consumption. Most effects came from relative income. Targeted transfers increased the perceived stress of participants in better-off households. Evidence suggests increased work efforts among better-off households when the lot of the poor improved, possibly due to a preference for rank preservation. The study points to new paths by which inequality might affect health.","DOI":"10.1016/j.socscimed.2015.12.003","ISSN":"0277-9536","shortTitle":"The effects of community income inequality on health","journalAbbreviation":"Social Science &amp; Medicine","language":"en","author":[{"family":"Undurraga","given":"Eduardo A."},{"family":"Behrman","given":"Jere R."},{"family":"Leonard","given":"William R."},{"family":"Godoy","given":"Ricardo A."}],"issued":{"date-parts":[["2016",1,1]]}}},{"id":4469,"uris":["http://zotero.org/users/1650834/items/AL5GMJPU"],"uri":["http://zotero.org/users/1650834/items/AL5GMJPU"],"itemData":{"id":4469,"type":"article-journal","title":"The Government of Kenya's Cash Transfer Program Reduces the Risk of Sexual Debut among Young People Age 15-25","container-title":"PLoS ONE","volume":"9","issue":"1","source":"PubMed Central","abstract":"The aim of this study is to assess whether the Government of Kenya's Cash Transfer for Orphans and Vulnerable Children (Kenya CT-OVC) can reduce the risk of HIV among young people by postponing sexual debut. The program provides an unconditional transfer of US$20 per month directly to the main caregiver in the household. An evaluation of the program was implemented in 2007–2009 in seven districts. Fourteen Locations were randomly assigned to receive the program and fourteen were assigned to a control arm. A sample of households was enrolled in the evaluation in 2007. We revisited these households in 2011 and collected information on sexual activity among individuals between 15–25 years of age. We used logistic regression, adjusted for the respondent's age, sex and relationship to caregiver, the age, sex and schooling of the caregiver and whether or not the household lived in Nairobi at baseline, to compare rates of sexual debut among young people living in program households with those living in control households who had not yet entered the program. Our results, adjusted for these covariates, show that the program reduced the odds of sexual debut by 31 percent. There were no statistically significant effects on secondary outcomes of behavioral risk such as condom use, number of partners and transactional sex. Since the CT-OVC provides cash to the caregiver and not to the child, and there are no explicit conditions associated with receipt, these impacts are indirect, and may have been achieved by keeping young people in school. Our results suggest that large-scale national social cash transfer programs with poverty alleviation objectives may have potential positive spillover benefits in terms of reducing HIV risk among young people in Eastern and Southern Africa.","URL":"https://www.ncbi.nlm.nih.gov/pmc/articles/PMC3893206/","DOI":"10.1371/journal.pone.0085473","ISSN":"1932-6203","note":"PMID: 24454875\nPMCID: PMC3893206","journalAbbreviation":"PLoS One","author":[{"family":"Handa","given":"Sudhanshu"},{"family":"Halpern","given":"Carolyn Tucker"},{"family":"Pettifor","given":"Audrey"},{"family":"Thirumurthy","given":"Harsha"}],"issued":{"date-parts":[["2014",1,15]]},"accessed":{"date-parts":[["2020",10,7]]}}},{"id":4474,"uris":["http://zotero.org/users/1650834/items/N7H68PIF"],"uri":["http://zotero.org/users/1650834/items/N7H68PIF"],"itemData":{"id":4474,"type":"article-journal","title":"The impact of Brazil’s Bolsa Família conditional cash transfer program on children’s health care utilization and health outcomes","container-title":"BMC International Health and Human Rights","page":"10","volume":"14","source":"PubMed Central","abstract":"Background\nConditional cash transfer (CCT) programs provide poor families with cash conditional on investments in health and education. Brazil’s Bolsa Família program began in 2003 and is currently the largest CCT program in the world. This community-based study examines the impact of Bolsa Família on child health in a slum community in a large urban center.\n\nMethods\nIn 2010, detailed household surveys were conducted with randomly selected Bolsa Família beneficiaries and non-beneficiaries in a Brazilian slum community of approximately 14,000 inhabitants in a large urban center. 567 families (with 1,266 children) were interviewed. Propensity score methods were used to control for differences between beneficiary and non-beneficiary children to estimate program impacts on health care utilization and health outcomes.\n\nResults\nBolsa Família has increased the odds of children’s visits to the health post for preventive services. In children under age seven, Bolsa Família was associated with increased odds for growth monitoring (OR = 3.1; 95% CI 1.9-5.1), vaccinations (OR = 2.8; 95% CI 1.4-5.4), and checkups (OR = 1.6; 95% CI 0.98-2.5), and with the number of growth monitoring visits (β = 0.6; p = 0.049) and checkups (β = 0.2; p = 0.068). There were positive spillover effects on older siblings (ages 7-17) no longer required to meet the health conditionalities. Bolsa Família increased their odds for growth monitoring (OR = 2.5; 95% CI 1.3-4.9) and checkups (OR = 1.7; 95% CI 0.9-3.2) and improved psychosocial health (β = 2.6; p = 0.007).\n\nConclusions\nBolsa Família has improved health care utilization, especially for services related to the health conditionalites, and there were positive spillover effects on older siblings. The findings of this study are promising, but they also suggest that further improvements in health may depend on the quality of health care services provided, the scope of services linked to the health conditionalities, and coordination with other social safety net programs.","DOI":"10.1186/1472-698X-14-10","ISSN":"1472-698X","note":"PMID: 24690131\nPMCID: PMC4021270","journalAbbreviation":"BMC Int Health Hum Rights","author":[{"family":"Shei","given":"Amie"},{"family":"Costa","given":"Federico"},{"family":"Reis","given":"Mitermayer G"},{"family":"Ko","given":"Albert I"}],"issued":{"date-parts":[["2014",4,1]]}}},{"id":4836,"uris":["http://zotero.org/users/1650834/items/PQB543V9"],"uri":["http://zotero.org/users/1650834/items/PQB543V9"],"itemData":{"id":4836,"type":"article-journal","title":"Conditional cash transfers, spillovers, and informal health care: Evidence from Peru","container-title":"Health Economics","page":"111-122","volume":"29","issue":"2","source":"Wiley Online Library","abstract":"Conditional cash transfer programs have become instrumental in encouraging the use of formal health services in developing countries, but little is known about their effect on the use of low-quality informal care. Using a large survey of Peruvian rural households and a regression discontinuity design, we find a sizeable reduction in the use of informal health care providers not only by targeted but also by nontargeted members of households that qualify for the program. This indicates the existence of spillover effects within the household. We also provide evidence that beyond the direct increase in income, the availability of better information about institutional services is a potential mechanism that drives these effects.","DOI":"10.1002/hec.3956","ISSN":"1099-1050","shortTitle":"Conditional cash transfers, spillovers, and informal health care","language":"en","author":[{"family":"Guerrero","given":"Natalia"},{"family":"Molina","given":"Oswaldo"},{"family":"Winkelried","given":"Diego"}],"issued":{"date-parts":[["2020"]]}}}],"schema":"https://github.com/citation-style-language/schema/raw/master/csl-citation.json"} </w:instrText>
            </w:r>
            <w:r w:rsidRPr="001334D1">
              <w:rPr>
                <w:rFonts w:ascii="Times New Roman" w:hAnsi="Times New Roman" w:cs="Times New Roman"/>
                <w:sz w:val="22"/>
                <w:szCs w:val="22"/>
                <w:lang w:val="en-US"/>
              </w:rPr>
              <w:fldChar w:fldCharType="separate"/>
            </w:r>
            <w:r w:rsidRPr="001334D1">
              <w:rPr>
                <w:rFonts w:ascii="Times New Roman" w:hAnsi="Times New Roman" w:cs="Times New Roman"/>
                <w:sz w:val="22"/>
                <w:szCs w:val="22"/>
                <w:vertAlign w:val="superscript"/>
              </w:rPr>
              <w:t>27–32</w:t>
            </w:r>
            <w:r w:rsidRPr="001334D1">
              <w:rPr>
                <w:rFonts w:ascii="Times New Roman" w:hAnsi="Times New Roman" w:cs="Times New Roman"/>
                <w:sz w:val="22"/>
                <w:szCs w:val="22"/>
                <w:lang w:val="en-US"/>
              </w:rPr>
              <w:fldChar w:fldCharType="end"/>
            </w:r>
            <w:r w:rsidRPr="001334D1">
              <w:rPr>
                <w:rFonts w:ascii="Times New Roman" w:hAnsi="Times New Roman" w:cs="Times New Roman"/>
                <w:sz w:val="22"/>
                <w:szCs w:val="22"/>
                <w:lang w:val="en-US"/>
              </w:rPr>
              <w:t>, Insurance coverage expansion</w:t>
            </w:r>
            <w:r w:rsidRPr="001334D1">
              <w:rPr>
                <w:rFonts w:ascii="Times New Roman" w:hAnsi="Times New Roman" w:cs="Times New Roman"/>
                <w:sz w:val="22"/>
                <w:szCs w:val="22"/>
                <w:lang w:val="en-US"/>
              </w:rPr>
              <w:fldChar w:fldCharType="begin"/>
            </w:r>
            <w:r w:rsidRPr="001334D1">
              <w:rPr>
                <w:rFonts w:ascii="Times New Roman" w:hAnsi="Times New Roman" w:cs="Times New Roman"/>
                <w:sz w:val="22"/>
                <w:szCs w:val="22"/>
                <w:lang w:val="en-US"/>
              </w:rPr>
              <w:instrText xml:space="preserve"> ADDIN ZOTERO_ITEM CSL_CITATION {"citationID":"XDcoEy4R","properties":{"formattedCitation":"\\super 33\\uc0\\u8211{}53\\nosupersub{}","plainCitation":"33–53","noteIndex":0},"citationItems":[{"id":4359,"uris":["http://zotero.org/users/1650834/items/PBV5CKKW"],"uri":["http://zotero.org/users/1650834/items/PBV5CKKW"],"itemData":{"id":4359,"type":"article-journal","title":"Spillover benefit of improved access to healthcare on reducing worry about housing and meal affordability","container-title":"International Journal for Equity in Health","page":"174","volume":"17","issue":"1","source":"Springer Link","abstract":"The Affordable Care Act Medicaid expansion improved access to health insurance among low-income populations. We sought to examine the spillover benefits of the ACA Medicaid expansion on ability to afford rent/mortgage and purchase of nutritious meals.","DOI":"10.1186/s12939-018-0877-y","ISSN":"1475-9276","journalAbbreviation":"Int J Equity Health","language":"en","author":[{"family":"Kino","given":"Shiho"},{"family":"Sato","given":"Koryu"},{"family":"Kawachi","given":"Ichiro"}],"issued":{"date-parts":[["2018",11,22]]}}},{"id":3223,"uris":["http://zotero.org/users/1650834/items/L3FD2DHM"],"uri":["http://zotero.org/users/1650834/items/L3FD2DHM"],"itemData":{"id":3223,"type":"article-journal","title":"Effects of the Affordable Care Act Medicaid Expansion on Subjective Well-Being in the US Adult Population, 2010-2016","container-title":"Journal of Public Health","page":"1236-1242","volume":"109","issue":"9","source":"Ovid MEDLINE(R)","note":"PMID: 31318591","author":[{"family":"Kobayashi","given":"Lindsay C."},{"family":"Altindag","given":"Onur"},{"family":"Truskinovsky","given":"Yulya"},{"family":"Berkman","given":"Lisa F."}],"issued":{"date-parts":[["1236"]]}}},{"id":3222,"uris":["http://zotero.org/users/1650834/items/CG5J9E6V"],"uri":["http://zotero.org/users/1650834/items/CG5J9E6V"],"itemData":{"id":3222,"type":"article-journal","title":"Effect of the Affordable Care Act's Medicaid Expansions on Food Security, 2010-2016","container-title":"Journal of Public Health","page":"1243-1248","volume":"109","issue":"9","source":"Ovid MEDLINE(R)","note":"PMID: 31318597","author":[{"family":"Himmelstein","given":"Gracie"}],"issued":{"date-parts":[["1243"]]}}},{"id":3324,"uris":["http://zotero.org/users/1650834/items/Z8KI35L4"],"uri":["http://zotero.org/users/1650834/items/Z8KI35L4"],"itemData":{"id":3324,"type":"article-journal","title":"Supply-side effects from public insurance expansions: Evidence from physician labor markets","container-title":"Health Economics","page":"690-708","volume":"27","issue":"4","source":"Ovid MEDLINE(R)","note":"PMID: 29194846","author":[{"family":"Chen","given":"Alice"},{"family":"Lo Sasso","given":"Anthony T."},{"family":"Richards","given":"Michael R."}],"issued":{"date-parts":[["2018"]]}}},{"id":3355,"uris":["http://zotero.org/users/1650834/items/DJ6CK6CU"],"uri":["http://zotero.org/users/1650834/items/DJ6CK6CU"],"itemData":{"id":3355,"type":"article-journal","title":"Spillover Effects of Adult Medicaid Expansions on Children's Use of Preventive Services","container-title":"Pediatrics","volume":"140","issue":"6","source":"Ovid MEDLINE(R)","note":"PMID: 29133576","author":[{"family":"Venkataramani","given":"Maya"},{"family":"Pollack","given":"Craig Evan"},{"family":"Roberts","given":"Eric T."}],"issued":{"date-parts":[["2017",12]]}}},{"id":3367,"uris":["http://zotero.org/users/1650834/items/5KLVSDFM"],"uri":["http://zotero.org/users/1650834/items/5KLVSDFM"],"itemData":{"id":3367,"type":"article-journal","title":"The Impact of the Affordable Care Act's Dependent Coverage Mandate on Use of Dental Treatments and Preventive Services","container-title":"Medical Care","page":"841-847","volume":"55","issue":"9","source":"Ovid MEDLINE(R)","note":"PMID: 28719488","author":[{"family":"Shane","given":"Dan M."},{"family":"Wehby","given":"George L."}],"issued":{"date-parts":[["2017"]]}}},{"id":4393,"uris":["http://zotero.org/users/1650834/items/CUNNBEUM"],"uri":["http://zotero.org/users/1650834/items/CUNNBEUM"],"itemData":{"id":4393,"type":"article-journal","title":"Medicaid Expansion For Adults Had Measurable ‘Welcome Mat’ Effects On Their Children","container-title":"Health Affairs","page":"1643-1651","volume":"36","issue":"9","source":"healthaffairs.org (Atypon)","abstract":"Before the implementation of the Affordable Care Act (ACA), most children in low-income families were already eligible for public insurance through Medicaid or the Children’s Health Insurance Program. Increased coverage observed for these children since the ACA’s implementation suggest that the legislation potentially had important spillover or “welcome mat” effects on the number of eligible children enrolled. This study used data from the 2013–15 American Community Survey to provide the first national-level (analytical) estimates of welcome-mat effects on children’s coverage post ACA. We estimated that 710,000 low-income children gained coverage through these effects. The study was also the first to show a link between parents’ eligibility for Medicaid and welcome-mat effects for their children under the ACA. Welcome-mat effects were largest among children whose parents gained Medicaid eligibility under the ACA expansion to adults. Public coverage for these children increased by 5.7 percentage points—more than double the 2.7-percentage-point increase observed among children whose parents were ineligible for Medicaid both pre and post ACA. Finally, we estimated that if all states had adopted the Medicaid expansion, an additional 200,000 low-income children would have gained coverage.","DOI":"10.1377/hlthaff.2017.0347","ISSN":"0278-2715","author":[{"family":"Hudson","given":"Julie L."},{"family":"Moriya","given":"Asako S."}],"issued":{"date-parts":[["2017",9,1]]}}},{"id":3375,"uris":["http://zotero.org/users/1650834/items/LNYQDJ4S"],"uri":["http://zotero.org/users/1650834/items/LNYQDJ4S"],"itemData":{"id":3375,"type":"article-journal","title":"The spillover effects of health insurance benefit mandates on public insurance coverage: Evidence from veterans","container-title":"Journal of Health Economics","page":"45-60","source":"Ovid MEDLINE(R)","note":"PMID: 28655489","author":[{"family":"Li","given":"Xiaoxue"},{"family":"Ye","given":"Jinqi"}],"issued":{"date-parts":[["2017"]]}}},{"id":4399,"uris":["http://zotero.org/users/1650834/items/F9T2NIAP"],"uri":["http://zotero.org/users/1650834/items/F9T2NIAP"],"itemData":{"id":4399,"type":"article-journal","title":"Parental health shocks and schooling: The impact of mutual health insurance in Rwanda","container-title":"Social Science &amp; Medicine","page":"35-47","volume":"173","source":"ScienceDirect","abstract":"The goal of this study was to look at the educational spill-over effects of health insurance on schooling with a focus on the Rwandan Community Based Health Insurance Programme, the Mutual Health Insurance scheme. Using a two-person general equilibrium overlapping generations model, this paper theoretically analyses the possible effect of health insurance on the relationship between parental health shocks and child schooling. Individuals choose whether or not they want to incur a medical cost by seeking care in order to reduce the effect of health shocks on their labour market availability and productivity. The theoretical results show that, health shocks negatively affect schooling irrespective of insurance status. However, if the health shock is severe (incapacitating) or sudden in nature, there is a discernible mitigating effect of health insurance on the negative impact of parental ill health on child schooling. The results are tested empirically using secondary data from the third Integrated Household Living Conditions Survey (EICV) for Rwanda, collected in 2011. A total of 2401 children between the ages of 13 and 18 are used for the analysis. This age group is selected due to the age of compulsory education in Rwanda. Based on average treatment effect on treated we find a statistically significant difference in attendance between children with MHI affiliated parents and those with uninsured parents of about 0.044. The negative effect of a father being severely ill is significant only for uninsured household. For the case of the mother, this effect is felt by female children with uninsured parents only when the illness is sudden. The observed effects are more pronounced for older children. While the father's ill health (sever or sudden) significantly and negatively affects their working hours, health insurance plays appears to increase their working hours. The effects of health insurance extend beyond health outcomes.","DOI":"10.1016/j.socscimed.2016.11.023","ISSN":"0277-9536","shortTitle":"Parental health shocks and schooling","journalAbbreviation":"Social Science &amp; Medicine","language":"en","author":[{"family":"Woode","given":"Maame Esi"}],"issued":{"date-parts":[["2017"]]}}},{"id":3458,"uris":["http://zotero.org/users/1650834/items/I33D9K72"],"uri":["http://zotero.org/users/1650834/items/I33D9K72"],"itemData":{"id":3458,"type":"article-journal","title":"California's Early Coverage Expansion under the Affordable Care Act: A County-Level Analysis","container-title":"Health Services Research","page":"825-845","volume":"51","issue":"3","source":"Ovid MEDLINE(R)","note":"PMID: 26443883","author":[{"family":"Sommers","given":"Benjamin D."},{"family":"Chua","given":"Kao-Ping"},{"family":"Kenney","given":"Genevieve M."},{"family":"Long","given":"Sharon K."},{"family":"McMorrow","given":"Stacey"}],"issued":{"date-parts":[["2016"]]}}},{"id":4356,"uris":["http://zotero.org/users/1650834/items/3KQXMCQQ"],"uri":["http://zotero.org/users/1650834/items/3KQXMCQQ"],"itemData":{"id":4356,"type":"article-journal","title":"Spillover Effects of the Affordable Care Act? Exploring the Impact on Young Adult Dental Insurance Coverage","container-title":"Health Services Research","page":"1109-1124","volume":"50","issue":"4","source":"Wiley Online Library","abstract":"Objectives To assess whether the Affordable Care Act's (ACA) dependent coverage health insurance mandate had a spillover impact on young adult dental insurance coverage and whether any observed effects varied by household income. Data Medical Expenditure Panel Surveys from 2006 through 2011. Study Design We employed a difference-in-difference regression approach comparing changes in insurance rates for young adults ages 19–25 years to changes in insurance rates for adults ages 27–30 years. Separate regressions were estimated by categories of household income as a percentage of the Federal Poverty Level (FPL) to understand whether the mandate had heterogeneous spillover effects. Results Private dental insurance increased by 6.7 percentage points among young adults compared to a control group of 27–30-year olds. Increases were concentrated at middle-income levels (125–400 percent FPL). Conclusions The dependent coverage mandate provision of the Affordable Care Act has not only increased health insurance rates among young adults but also dental insurance coverage rates.","DOI":"10.1111/1475-6773.12266","ISSN":"1475-6773","shortTitle":"Spillover Effects of the Affordable Care Act?","language":"en","author":[{"family":"Shane","given":"Dan M."},{"family":"Ayyagari","given":"Padmaja"}],"issued":{"date-parts":[["2015"]]}}},{"id":4414,"uris":["http://zotero.org/users/1650834/items/VI8ERU8C"],"uri":["http://zotero.org/users/1650834/items/VI8ERU8C"],"itemData":{"id":4414,"type":"article-journal","title":"Moving For Medicaid? Recent Eligibility Expansions Did Not Induce Migration From Other States","container-title":"Health Affairs","page":"88-94","volume":"33","issue":"1","source":"healthaffairs.org (Atypon)","abstract":"Starting in 2014, many low-income adult residents of states that forgo the Affordable Care Act’s expansion of Medicaid would be eligible for that program if they moved to a state that had chosen to expand its coverage. Some of these people may migrate to receive coverage, thereby increasing costs for states that have expanded the program. This is known as the “welfare magnet” hypothesis, a claim that geographic variation in social programs induces the migration of welfare recipients to places with more generous benefits or eligibility. To investigate whether such spillover effects are likely, we used data from the Current Population Survey to examine the migration patterns of low-income people before and after recent expansions of public insurance in Arizona, Maine, Massachusetts, and New York. Using difference-in-differences analysis of migration in expansion and control states, we found no evidence of significant migration effects. Our preferred estimate was precise enough to rule out net migration effects of larger than 1,600 people per year in an expansion state. These results suggest that migration will not be a common way for people to obtain Medicaid coverage under the current expansion and that interstate migration is not likely to be a significant source of costs for states choosing to expand their programs.","DOI":"10.1377/hlthaff.2013.0910","ISSN":"0278-2715","shortTitle":"Moving For Medicaid?","author":[{"family":"Schwartz","given":"Aaron L."},{"family":"Sommers","given":"Benjamin D."}],"issued":{"date-parts":[["2014",1,1]]}}},{"id":4417,"uris":["http://zotero.org/users/1650834/items/42P5TCFC"],"uri":["http://zotero.org/users/1650834/items/42P5TCFC"],"itemData":{"id":4417,"type":"article-journal","title":"The Effect of the Affordable Care Act’s Expanded Coverage Policy on Access to Dental Care","container-title":"Medical Care","page":"715–719","volume":"52","issue":"8","source":"journals.lww.com","abstract":"Background: \n        The Affordable Care Act included a dependent coverage policy that extends parents’ or guardians’ health insurance to adults aged 19–25. This policy does not apply directly to private dental benefits. However, for various reasons it could still have an indirect “spillover” effect if employers voluntarily expand dental coverage in conjunction with medical coverage.\n        Objective: \n        To assess the effect of the Affordable Care Act’s dependent coverage policy on private dental benefits coverage, utilization, and financial barriers to dental care.\n        Research Design: \n        Difference-in-differences models were used to measure the association between the dependent coverage policy and private dental benefits coverage, utilization, and financial barriers to dental care. We analyze 2008–2012 National Health Interview Survey data, comparing results in 2011 and 2012 with results from 2008 to 2010 (prereform period).\n        Subjects: \n        Adults aged 19–25 were compared with adults aged 26–34.\n        Measures: \n        Private dental benefits coverage, dental care utilization, and financial barriers to obtaining needed dental care.\n        Results: \n        Relative to the prereform period, private dental benefits coverage among adults aged 19–25 increased by 5.6 percentage points in 2011 (P&lt;0.001) and 6.9 percentage points in 2012 (P&lt;0.001) compared with adults aged 26–34. Dental care utilization among adults aged 19–25 increased by 2.8 percentage points in 2011 (P=0.062) and 3.3 percentage points in 2012 (P=0.038) compared with adults aged 26–34. Adults aged 19–25 experienced a 2.1 percentage point decrease in 2011 (P=0.068) and a 2.0 percentage point decrease in 2012 (P=0.087) in financial barriers to dental care compared with adults aged 26–34.\n        Conclusions: \n        The dependent coverage policy was associated with an increase in private dental benefits coverage and dental care utilization, and a decrease in financial barriers to dental care among young adults aged 19–25.","DOI":"10.1097/MLR.0000000000000168","ISSN":"0025-7079","language":"en-US","author":[{"family":"Vujicic","given":"Marko"},{"family":"Yarbrough","given":"Cassandra"},{"family":"Nasseh","given":"Kamyar"}],"issued":{"date-parts":[["2014",8]]}}},{"id":4419,"uris":["http://zotero.org/users/1650834/items/BMTAWTI2"],"uri":["http://zotero.org/users/1650834/items/BMTAWTI2"],"itemData":{"id":4419,"type":"article-journal","title":"New Evidence On The Affordable Care Act: Coverage Impacts Of Early Medicaid Expansions","container-title":"Health Affairs","page":"78-87","volume":"33","issue":"1","source":"healthaffairs.org (Atypon)","abstract":"The Affordable Care Act expands Medicaid in 2014 to millions of low-income adults in states that choose to participate in the expansion. Since 2010 California, Connecticut, Minnesota, and Washington, D.C., have taken advantage of the law’s option to expand coverage earlier to a portion of low-income childless adults. We present new data on these expansions. Using administrative records, we documented that the ramp-up of enrollment was gradual and linear over time in California, Connecticut, and D.C. Enrollment continued to increase steadily for nearly three years in the two states with the earliest expansions. Using survey data on the two earliest expansions, we found strong evidence of increased Medicaid coverage in Connecticut (4.9 percentage points;           p&lt;0.001           ) and positive but weaker evidence of increased coverage in D.C. (3.7 percentage points;           p=0.08           ). Medicaid enrollment rates were highest among people with health-related limitations. We found evidence of some crowd-out of private coverage in Connecticut (30–40 percent of the increase in Medicaid coverage), particularly for healthier and younger adults, and a positive spillover effect on Medicaid enrollment among previously eligible parents.","DOI":"10.1377/hlthaff.2013.1087","ISSN":"0278-2715","shortTitle":"New Evidence On The Affordable Care Act","author":[{"family":"Sommers","given":"Benjamin D."},{"family":"Kenney","given":"Genevieve M."},{"family":"Epstein","given":"Arnold M."}],"issued":{"date-parts":[["2014",1,1]]}}},{"id":3552,"uris":["http://zotero.org/users/1650834/items/3UF4946Q"],"uri":["http://zotero.org/users/1650834/items/3UF4946Q"],"itemData":{"id":3552,"type":"article-journal","title":"The spillover effect of National Health Insurance on household consumption patterns: evidence from a natural experiment in Taiwan","container-title":"Social Science &amp; Medicine","page":"41-49","source":"Ovid MEDLINE(R)","note":"PMID: 24747377","author":[{"family":"Sheu","given":"Ji-Tian"},{"family":"Lu","given":"Jui-Fen Rachel"}],"issued":{"date-parts":[["2014",6]]}}},{"id":3614,"uris":["http://zotero.org/users/1650834/items/9FZGQC2Z"],"uri":["http://zotero.org/users/1650834/items/9FZGQC2Z"],"itemData":{"id":3614,"type":"article-journal","title":"Insurance expansion in Massachusetts did not reduce access among previously insured Medicare patients","container-title":"Health Affairs","page":"571-578","volume":"32","issue":"3","source":"Ovid MEDLINE(R)","note":"PMID: 23459737","author":[{"family":"Joynt","given":"Karen E."},{"family":"Chan","given":"David"},{"family":"Orav","given":"E. John"},{"family":"Jha","given":"Ashish K."}],"issued":{"date-parts":[["2013",3]]}}},{"id":3654,"uris":["http://zotero.org/users/1650834/items/MKQMERJB"],"uri":["http://zotero.org/users/1650834/items/MKQMERJB"],"itemData":{"id":3654,"type":"article-journal","title":"The effect of adult HIFA waiver expansions on insurance coverage of children","container-title":"Medical Care Research &amp; Review","page":"397-413","volume":"69","issue":"4","source":"Ovid MEDLINE(R)","note":"PMID: 22451616","author":[{"family":"Atherly","given":"Adam"},{"family":"Coulam","given":"Robert F."},{"family":"Dowd","given":"Bryan E."},{"family":"Guy","given":"Gery"}],"issued":{"date-parts":[["2012",8]]}}},{"id":3662,"uris":["http://zotero.org/users/1650834/items/VC6UCK45"],"uri":["http://zotero.org/users/1650834/items/VC6UCK45"],"itemData":{"id":3662,"type":"article-journal","title":"A comparison of two approaches to increasing access to care: expanding coverage versus increasing physician fees","container-title":"Health Services Research","page":"963-983","source":"Ovid MEDLINE(R)","note":"PMID: 22299763","author":[{"family":"White","given":"Chapin"}],"issued":{"date-parts":[["2012",6]]}}},{"id":3729,"uris":["http://zotero.org/users/1650834/items/Z6E6FMAR"],"uri":["http://zotero.org/users/1650834/items/Z6E6FMAR"],"itemData":{"id":3729,"type":"article-journal","title":"Spillover effects of state mandated benefit laws: the case of outpatient breast cancer surgery","container-title":"Inquiry","page":"433-447","volume":"46","issue":"4","source":"Ovid MEDLINE(R)","note":"PMID: 20184169","author":[{"family":"Bian","given":"John"},{"family":"Lipscomb","given":"Joseph"},{"family":"Mello","given":"Michelle M."}],"issued":{"date-parts":[["2009"]]}}},{"id":4789,"uris":["http://zotero.org/users/1650834/items/MBXUYXQV"],"uri":["http://zotero.org/users/1650834/items/MBXUYXQV"],"itemData":{"id":4789,"type":"article-journal","title":"Public insurance expansions and mental health care availability","container-title":"Health Services Research","page":"615-625","volume":"55","issue":"4","source":"Wiley Online Library","abstract":"Objective To provide new evidence on the effects of large-scale public health insurance expansions, associated with the Affordable Care Act (ACA), on the availability of specialty mental health care treatment in the United States. We measure availability with the probability that a provider accepts Medicaid. Data Source/Study Setting The National Mental Health Services Survey (N-MHSS) 2010-2018. Study Design A quasi-experimental differences-in-differences design using observational data. Data Collection The N-MHSS provides administrative data on the universe of specialty mental health care providers in the United States. Response rates are above 90 percent in all years. Data cover 85 019 provider/year observations. Principal Findings ACA-Medicaid expansion increases the probability that a provider accepts Medicaid by 1.69 percentage points, 95 percent confidence interval: [0.0017,0.0321], which corresponds to an increase from 87.27 percent pre-expansion to 90.27 percent postexpansion in expansion states or a 1.94 percent increase. We observe spillovers to Medicare, although this finding is sensitive to specification. Conclusions This study provides evidence on the impact of ACA-Medicaid expansion on accepted forms of payment for specialty mental health care treatment. Findings suggest that expansion increases availability of providers who deliver valuable care for enrollees with severe mental illness. These findings may help policy makers reflecting on the future directions of the US health care delivery system.","DOI":"10.1111/1475-6773.13311","ISSN":"1475-6773","language":"en","author":[{"family":"Blunt","given":"Elson Oshman"},{"family":"Maclean","given":"Johanna Catherine"},{"family":"Popovici","given":"Ioana"},{"family":"Marcus","given":"Steven C."}],"issued":{"date-parts":[["2020"]]}}},{"id":4825,"uris":["http://zotero.org/users/1650834/items/U48E36BM"],"uri":["http://zotero.org/users/1650834/items/U48E36BM"],"itemData":{"id":4825,"type":"article-journal","title":"Were Patient Protection and Affordable Care Act spillover gains to private dental coverage for dependents widely shared?: An analysis using Medical Expenditure Panel Survey data","container-title":"The Journal of the American Dental Association","page":"182-189","volume":"151","issue":"3","source":"ScienceDirect","abstract":"Background\nThe dependent coverage mandate policy of the Patient Protection and Affordable Care Act led to spillover increases in private dental coverage among affected young adults. The authors investigate whether such gains were widely shared across racial or ethnic groups and shared across income levels. The authors further explore the relationship between dental coverage and dental services use stratified by race or ethnicity and income using the mandate as a natural experiment.\nMethods\nUsing nationally representative Medical Expenditure Panel Survey data from 2006 through 2015, the authors used a difference-in-difference regression approach comparing changes in private dental coverage and dental services use for 19- through 25-year-olds affected by the policy with those for unaffected 27- through 30-year-olds. The authors stratified the model by race or ethnicity and income to understand potential differences in the effects of the mandate across these groups.\nResults\nThe authors found significant increases in private dental coverage across all racial or ethnic groups as well as across higher- and lower-income young adults. However, despite notable increases in private dental coverage, the authors found little evidence of any overall effects on dental services use. The authors did find evidence suggesting an increased relative likelihood of dental visits for 19- through 25-year-old non-Hispanic blacks compared with slightly older non-Hispanic blacks.\nConclusions\nThe spillover effect of the dependent coverage mandate on private dental coverage was widely shared across racial or ethnic groups and across income levels.\nPractical Implications\nAmong young adults aged 19 through 25 years, increases in private dental coverage may not be enough on its own to increase the use of preventive dental services and ultimately lead to improved oral health.","DOI":"10.1016/j.adaj.2019.11.014","ISSN":"0002-8177","shortTitle":"Were Patient Protection and Affordable Care Act spillover gains to private dental coverage for dependents widely shared?","journalAbbreviation":"The Journal of the American Dental Association","language":"en","author":[{"family":"Shane","given":"Dan M."},{"family":"Wehby","given":"George L."}],"issued":{"date-parts":[["2020",3,1]]}}}],"schema":"https://github.com/citation-style-language/schema/raw/master/csl-citation.json"} </w:instrText>
            </w:r>
            <w:r w:rsidRPr="001334D1">
              <w:rPr>
                <w:rFonts w:ascii="Times New Roman" w:hAnsi="Times New Roman" w:cs="Times New Roman"/>
                <w:sz w:val="22"/>
                <w:szCs w:val="22"/>
                <w:lang w:val="en-US"/>
              </w:rPr>
              <w:fldChar w:fldCharType="separate"/>
            </w:r>
            <w:r w:rsidRPr="001334D1">
              <w:rPr>
                <w:rFonts w:ascii="Times New Roman" w:hAnsi="Times New Roman" w:cs="Times New Roman"/>
                <w:sz w:val="22"/>
                <w:szCs w:val="22"/>
                <w:vertAlign w:val="superscript"/>
              </w:rPr>
              <w:t>33–53</w:t>
            </w:r>
            <w:r w:rsidRPr="001334D1">
              <w:rPr>
                <w:rFonts w:ascii="Times New Roman" w:hAnsi="Times New Roman" w:cs="Times New Roman"/>
                <w:sz w:val="22"/>
                <w:szCs w:val="22"/>
                <w:lang w:val="en-US"/>
              </w:rPr>
              <w:fldChar w:fldCharType="end"/>
            </w:r>
            <w:r w:rsidRPr="001334D1">
              <w:rPr>
                <w:rFonts w:ascii="Times New Roman" w:hAnsi="Times New Roman" w:cs="Times New Roman"/>
                <w:sz w:val="22"/>
                <w:szCs w:val="22"/>
                <w:lang w:val="en-US"/>
              </w:rPr>
              <w:t>, Changes in healthcare prices or coverage for patients</w:t>
            </w:r>
            <w:r w:rsidRPr="001334D1">
              <w:rPr>
                <w:rFonts w:ascii="Times New Roman" w:hAnsi="Times New Roman" w:cs="Times New Roman"/>
                <w:sz w:val="22"/>
                <w:szCs w:val="22"/>
                <w:lang w:val="en-US"/>
              </w:rPr>
              <w:fldChar w:fldCharType="begin"/>
            </w:r>
            <w:r w:rsidRPr="001334D1">
              <w:rPr>
                <w:rFonts w:ascii="Times New Roman" w:hAnsi="Times New Roman" w:cs="Times New Roman"/>
                <w:sz w:val="22"/>
                <w:szCs w:val="22"/>
                <w:lang w:val="en-US"/>
              </w:rPr>
              <w:instrText xml:space="preserve"> ADDIN ZOTERO_ITEM CSL_CITATION {"citationID":"KktYZlDK","properties":{"formattedCitation":"\\super 54\\uc0\\u8211{}57\\nosupersub{}","plainCitation":"54–57","noteIndex":0},"citationItems":[{"id":4376,"uris":["http://zotero.org/users/1650834/items/DE3VJGKW"],"uri":["http://zotero.org/users/1650834/items/DE3VJGKW"],"itemData":{"id":4376,"type":"article-journal","title":"Did the expansion of free GP care impact demand for Emergency Department attendances? A difference-in-differences analysis","container-title":"Social Science &amp; Medicine (1982)","page":"101-111","volume":"222","source":"PubMed","abstract":"The removal of co-payments for General Practitioner (GP) services has been shown to increase utilisation of GP care. The introduction of free GP care may also have spillover effects on utilisation of other healthcare such as Emergency Department (ED) services, which often serve as substitutes for primary care, and where co-payments to attend exist for many. In Ireland, out-of-pocket payments are paid by the majority of the population to access GP care, and these costs are amongst the highest in Europe. However, in July 2015 all children in Ireland aged under 6 became eligible for free GP care. Using a large administrative dataset on 413,562 ED attendances between January 2015 and June 2016 we apply a difference-in-differences method, with treatment and control groups differentiated by age, to examine whether ED utilisation changed amongst younger children following the introduction of universal free GP care. In particular, we examine ED attendances following a GP referral, as referrals from GPs also afford access to the ED free of charge. We find that the expansion of free GP care did not reduce overall ED utilisation for under 6s. Additionally, we find that the proportion of ED attendances occurring through GP referrals increased by over 2 percentage points. This latter finding may be indicative of increased pressure placed on GPs from increased demand. Overall, this study finds that expanding free GP care to all young children did not reduce their ED utilisation.","DOI":"10.1016/j.socscimed.2018.12.029","ISSN":"1873-5347","note":"PMID: 30623795","shortTitle":"Did the expansion of free GP care impact demand for Emergency Department attendances?","language":"eng","author":[{"family":"Walsh","given":"Brendan"},{"family":"Nolan","given":"Anne"},{"family":"Brick","given":"Aoife"},{"family":"Keegan","given":"Conor"}],"issued":{"date-parts":[["2019"]]}}},{"id":4432,"uris":["http://zotero.org/users/1650834/items/9YRZNZDQ"],"uri":["http://zotero.org/users/1650834/items/9YRZNZDQ"],"itemData":{"id":4432,"type":"article-journal","title":"Assessing Potential Enrollment and Budgetary Effects of SCHIP Premiums: Findings from Arizona and Kentucky","container-title":"Health Services Research","page":"2354-2372","volume":"42","issue":"6 Pt 2","source":"PubMed Central","abstract":"Objective\nTo assess whether new premiums in SCHIP affect rates of disenrollment and reenrollment in SCHIP and whether they have spillover enrollment effects on Medicaid.\n\nData Source\nWe used SCHIP administrative enrollment data from Arizona and Kentucky. The enrollment data covered July 2001 to December 2005 in Arizona and November 2001 to August 2004 in Kentucky.\n\nStudy Design\nWe used administrative data from two states, Arizona and Kentucky, which introduced new premiums for certain income categories in their SCHIP programs in 2004 and 2003, respectively. We used multivariate hazard models to study rates of disenrollment and re-enrollment for the recipients who had been enrolled in the categories of SCHIP in which the new premiums were implemented. Competing hazard models were used to determine if recipients leaving SCHIP following the introduction of the premium were obtaining other public coverage or exiting public insurance entirely at higher rates. We also used time-series models to measure the effect of premiums on changes in caseloads in premium-paying SCHIP and other categories of public coverage and we assessed the budgetary implications of imposing premiums.\n\nPrincipal Findings\nIn both states, the new premiums increased the rate of disenrollment and decreased the rate of re-enrollment in premium-paying SCHIP among the children who were enrolled in those categories before the premiums were implemented. The competing hazard models indicated that almost all of the increased disenrollment is caused by recipients leaving public insurance entirely. The time-series models indicated that the new premium reduced caseloads in premium-paying SCHIP, but that it might have increased caseloads for other types of public coverage. The amount of premiums collected net of the costs associated with administering premiums is small in both states. Estimating the full budgetary effects with certainty was not possible given the imprecision of the key time-series estimates.\n\nConclusion\nThese results suggest that the new premium reduced enrollment in the premium-paying group by 18 percent (over 3,000 children) in Kentucky and by 5 percent (over 1,000 children) in Arizona, with some of these children apparently leaving public coverage altogether. While most children enrolled in these categories did not appear to be directly affected by the imposition of $10–$20 monthly premiums, the premiums may have caused some children to go without health insurance coverage, which in turn could have adverse effects on their access to care. Imposing nominal premiums may reduce state spending, but projected savings appear to be small relative to total state SCHIP spending and resulting increases in enrollment in other public programs and in uninsurance rates could offset those savings.","DOI":"10.1111/j.1475-6773.2007.00772.x","ISSN":"0017-9124","note":"PMID: 17995547\nPMCID: PMC2151316","shortTitle":"Assessing Potential Enrollment and Budgetary Effects of SCHIP Premiums","journalAbbreviation":"Health Serv Res","author":[{"family":"Kenney","given":"Genevieve"},{"family":"Marton","given":"James"},{"family":"McFeeters","given":"Joshua"},{"family":"Costich","given":"Julia"}],"issued":{"date-parts":[["2007",12]]}}},{"id":4590,"uris":["http://zotero.org/users/1650834/items/IAW4S32L"],"uri":["http://zotero.org/users/1650834/items/IAW4S32L"],"itemData":{"id":4590,"type":"article-journal","title":"Assessing the Effects of Removing User Fees in Zambia and Niger","container-title":"Journal of Health Services Research &amp; Policy","page":"30-36","volume":"17","issue":"1","source":"SAGE Journals","abstract":"ObjectivesThis study aims to overcome some of the limitations of previous studies investigating the effects of fee removal, by looking at heterogeneity of effects within countries and over time, as well as the existence of spillover effects on groups not targeted by the policy change.MethodsUsing routine district health services data before and after recent abolitions of user charges in Zambia and Niger, we examine the effects of the policy change on the use of health services by different groups and over time, using an interrupted timeseries design.ResultsRemoving user fees for primary health care services in rural districts in Zambia and for children over five years old in Niger increased use of services by the targeted groups. The impact of the policy change differed widely across districts, ranging from 112% and 1194% in Niger to 239% and 1108% in Zambia. Eighteen months after the policy change, some of these effects had been eroded. There was evidence that abolishing user fees can both have positive and negative spillover effects.ConclusionThese results highlight the importance of paying attention to implementation challenges and monitoring the effects of policy reforms which are often more mixed and complicated that they appear. The comparison of these reforms in two countries also sheds light on the potentially different ways in which free care can be used as a tool to improve access.","DOI":"10.1258/jhsrp.2011.010166","ISSN":"1355-8196","journalAbbreviation":"J Health Serv Res Policy","language":"en","author":[{"family":"Lagarde","given":"Mylene"},{"family":"Barroy","given":"Helene"},{"family":"Palmer","given":"Natasha"}],"issued":{"date-parts":[["2012",1,1]]}}},{"id":4810,"uris":["http://zotero.org/users/1650834/items/AY773V6J"],"uri":["http://zotero.org/users/1650834/items/AY773V6J"],"itemData":{"id":4810,"type":"article-journal","title":"Delisting eye examinations from public health insurance: Empirical evidence from Canada regarding impacts on patients and providers","container-title":"Health Policy","page":"540-548","volume":"124","issue":"5","source":"ScienceDirect","abstract":"This paper examines the impacts of delisting routine eye exam services on patient eye care utilization and on providers’ labour market outcomes in a public healthcare system. Provincial governments in Canada started to de-insure routine eye examinations from the basket of publicly insured healthcare services in the early 1990s. We explore these policy changes across Canadian provinces to estimate the impacts of delisting from the supply- and demand-sides. Demand side analysis suggests that, on average, for the working age population delisting decreased the probability of using eye care. However, the number of visits among those who continued to use eye care services did not change. Additionally, the delisting may have had unintended consequences by causing a large negative impact among low-income individuals, and there is suggestive evidence of a positive spillover on utilization by publicly-funded patients over age 64. On the supply side, using Canadian census data we find that delisting eye exams decreased optometrists’ weekly work hours, raised their annual work weeks and had little effect on their income.","DOI":"10.1016/j.healthpol.2020.03.006","ISSN":"0168-8510","shortTitle":"Delisting eye examinations from public health insurance","journalAbbreviation":"Health Policy","language":"en","author":[{"family":"Wang","given":"Chao"},{"family":"Sweetman","given":"Arthur"}],"issued":{"date-parts":[["2020",5,1]]}}}],"schema":"https://github.com/citation-style-language/schema/raw/master/csl-citation.json"} </w:instrText>
            </w:r>
            <w:r w:rsidRPr="001334D1">
              <w:rPr>
                <w:rFonts w:ascii="Times New Roman" w:hAnsi="Times New Roman" w:cs="Times New Roman"/>
                <w:sz w:val="22"/>
                <w:szCs w:val="22"/>
                <w:lang w:val="en-US"/>
              </w:rPr>
              <w:fldChar w:fldCharType="separate"/>
            </w:r>
            <w:r w:rsidRPr="001334D1">
              <w:rPr>
                <w:rFonts w:ascii="Times New Roman" w:hAnsi="Times New Roman" w:cs="Times New Roman"/>
                <w:sz w:val="22"/>
                <w:szCs w:val="22"/>
                <w:vertAlign w:val="superscript"/>
                <w:lang w:val="en-GB"/>
              </w:rPr>
              <w:t>54–57</w:t>
            </w:r>
            <w:r w:rsidRPr="001334D1">
              <w:rPr>
                <w:rFonts w:ascii="Times New Roman" w:hAnsi="Times New Roman" w:cs="Times New Roman"/>
                <w:sz w:val="22"/>
                <w:szCs w:val="22"/>
                <w:lang w:val="en-US"/>
              </w:rPr>
              <w:fldChar w:fldCharType="end"/>
            </w:r>
          </w:p>
        </w:tc>
      </w:tr>
      <w:tr w:rsidR="00856527" w:rsidRPr="001334D1" w:rsidTr="00856527">
        <w:tc>
          <w:tcPr>
            <w:tcW w:w="4531" w:type="dxa"/>
            <w:vAlign w:val="center"/>
          </w:tcPr>
          <w:p w:rsidR="00856527" w:rsidRPr="001334D1" w:rsidRDefault="00856527" w:rsidP="001D604D">
            <w:pPr>
              <w:spacing w:after="240"/>
              <w:rPr>
                <w:rFonts w:ascii="Times New Roman" w:hAnsi="Times New Roman" w:cs="Times New Roman"/>
                <w:bCs/>
                <w:sz w:val="22"/>
                <w:szCs w:val="22"/>
                <w:lang w:val="en-GB"/>
              </w:rPr>
            </w:pPr>
            <w:r w:rsidRPr="001334D1">
              <w:rPr>
                <w:rFonts w:ascii="Times New Roman" w:hAnsi="Times New Roman" w:cs="Times New Roman"/>
                <w:bCs/>
                <w:sz w:val="22"/>
                <w:szCs w:val="22"/>
                <w:lang w:val="en-GB"/>
              </w:rPr>
              <w:t>Implementation Strategies</w:t>
            </w:r>
          </w:p>
          <w:p w:rsidR="00856527" w:rsidRPr="001334D1" w:rsidRDefault="00856527" w:rsidP="001D604D">
            <w:pPr>
              <w:spacing w:after="240"/>
              <w:rPr>
                <w:rFonts w:ascii="Times New Roman" w:hAnsi="Times New Roman" w:cs="Times New Roman"/>
                <w:bCs/>
                <w:sz w:val="22"/>
                <w:szCs w:val="22"/>
                <w:lang w:val="en-GB"/>
              </w:rPr>
            </w:pPr>
            <w:r w:rsidRPr="001334D1">
              <w:rPr>
                <w:rFonts w:ascii="Times New Roman" w:hAnsi="Times New Roman" w:cs="Times New Roman"/>
                <w:bCs/>
                <w:sz w:val="22"/>
                <w:szCs w:val="22"/>
                <w:lang w:val="en-GB"/>
              </w:rPr>
              <w:t>Interventions designed to bring about changes in healthcare organizations, the behaviour of healthcare professionals or the use of health services by healthcare recipients</w:t>
            </w:r>
          </w:p>
        </w:tc>
        <w:tc>
          <w:tcPr>
            <w:tcW w:w="567" w:type="dxa"/>
            <w:vAlign w:val="center"/>
          </w:tcPr>
          <w:p w:rsidR="00856527" w:rsidRPr="001334D1" w:rsidRDefault="00856527" w:rsidP="00856527">
            <w:pPr>
              <w:spacing w:after="240"/>
              <w:jc w:val="center"/>
              <w:rPr>
                <w:rFonts w:ascii="Times New Roman" w:hAnsi="Times New Roman" w:cs="Times New Roman"/>
                <w:bCs/>
                <w:sz w:val="22"/>
                <w:szCs w:val="22"/>
                <w:lang w:val="en-GB"/>
              </w:rPr>
            </w:pPr>
            <w:r w:rsidRPr="001334D1">
              <w:rPr>
                <w:rFonts w:ascii="Times New Roman" w:hAnsi="Times New Roman" w:cs="Times New Roman"/>
                <w:bCs/>
                <w:sz w:val="22"/>
                <w:szCs w:val="22"/>
                <w:lang w:val="en-GB"/>
              </w:rPr>
              <w:t>27</w:t>
            </w:r>
          </w:p>
        </w:tc>
        <w:tc>
          <w:tcPr>
            <w:tcW w:w="4395" w:type="dxa"/>
            <w:vAlign w:val="center"/>
          </w:tcPr>
          <w:p w:rsidR="00856527" w:rsidRPr="001334D1" w:rsidRDefault="00856527" w:rsidP="001D604D">
            <w:pPr>
              <w:spacing w:after="240"/>
              <w:rPr>
                <w:rFonts w:ascii="Times New Roman" w:hAnsi="Times New Roman" w:cs="Times New Roman"/>
                <w:bCs/>
                <w:sz w:val="22"/>
                <w:szCs w:val="22"/>
                <w:lang w:val="en-GB"/>
              </w:rPr>
            </w:pPr>
            <w:r w:rsidRPr="001334D1">
              <w:rPr>
                <w:rFonts w:ascii="Times New Roman" w:hAnsi="Times New Roman" w:cs="Times New Roman"/>
                <w:sz w:val="22"/>
                <w:szCs w:val="22"/>
                <w:lang w:val="en-US"/>
              </w:rPr>
              <w:t>Capability-enhancing interventions (training, health promotion, health communication)</w:t>
            </w:r>
            <w:r w:rsidRPr="001334D1">
              <w:rPr>
                <w:rFonts w:ascii="Times New Roman" w:hAnsi="Times New Roman" w:cs="Times New Roman"/>
                <w:sz w:val="22"/>
                <w:szCs w:val="22"/>
                <w:lang w:val="en-US"/>
              </w:rPr>
              <w:fldChar w:fldCharType="begin"/>
            </w:r>
            <w:r w:rsidRPr="001334D1">
              <w:rPr>
                <w:rFonts w:ascii="Times New Roman" w:hAnsi="Times New Roman" w:cs="Times New Roman"/>
                <w:sz w:val="22"/>
                <w:szCs w:val="22"/>
                <w:lang w:val="en-US"/>
              </w:rPr>
              <w:instrText xml:space="preserve"> ADDIN ZOTERO_ITEM CSL_CITATION {"citationID":"w68rnvDR","properties":{"formattedCitation":"\\super 58\\uc0\\u8211{}79\\nosupersub{}","plainCitation":"58–79","noteIndex":0},"citationItems":[{"id":3322,"uris":["http://zotero.org/users/1650834/items/8TFQYGIU"],"uri":["http://zotero.org/users/1650834/items/8TFQYGIU"],"itemData":{"id":3322,"type":"article-journal","title":"A Mixed-Methods Evaluation of a Community-Based Behavior Change Program to Improve Maternal Health Outcomes in the Upper West Region of Ghana","container-title":"Journal of Health Communication","page":"80-90","volume":"23","issue":"1","source":"Ovid MEDLINE(R)","note":"PMID: 29265915","author":[{"family":"Dougherty","given":"Leanne"},{"family":"Stammer","given":"Emily"},{"family":"Derbile","given":"Emmanuel"},{"family":"Dery","given":"Martin"},{"family":"Yahaya","given":"Wahid"},{"family":"Gle","given":"Dela Bright"},{"family":"Otieno","given":"Jahera"},{"family":"Fotso","given":"Jean Christophe"}],"issued":{"date-parts":[["2018"]]}}},{"id":4264,"uris":["http://zotero.org/users/1650834/items/MA3A2FKS"],"uri":["http://zotero.org/users/1650834/items/MA3A2FKS"],"itemData":{"id":4264,"type":"article-journal","title":"Impact and spill-over effects of an asset transfer program on child undernutrition: Evidence from a randomized control trial in Bangladesh","container-title":"Journal of Health Economics","page":"105-120","volume":"62","source":"ScienceDirect","abstract":"Targeting the Ultra-poor (TUP) is an integrated programme that combines the transfer of income-generating assets and multifaceted training on entrepreneurship, health-nutrition, and social awareness over a two-year period to graduate ultra-poor with mainstream poverty. While positive socioeconomic effects and spill-over effects are well-documented, this is the first paper to evaluate the effects of the programme on nutritional outcomes of under-5 children using data from a randomized control trial over a four-year period. We find notable improvements in nutritional outcomes of children in participating households. TUP is further seen to improve food-security, sanitation and duration of exclusive-breastfeeding. Nutrition status of children living in poor non-participant households are also positively affected though no effects were found on children from non-poor households. We conclude that programmes that combine asset transfer with multifaceted training such as TUP can have significant long-term positive health effects.","DOI":"10.1016/j.jhealeco.2018.09.011","ISSN":"0167-6296","shortTitle":"Impact and spill-over effects of an asset transfer program on child undernutrition","journalAbbreviation":"Journal of Health Economics","language":"en","author":[{"family":"Raza","given":"Wameq A."},{"family":"Van de Poel","given":"Ellen"},{"family":"Van Ourti","given":"Tom"}],"issued":{"date-parts":[["2018",11,1]]}}},{"id":4447,"uris":["http://zotero.org/users/1650834/items/7GWRPNET"],"uri":["http://zotero.org/users/1650834/items/7GWRPNET"],"itemData":{"id":4447,"type":"article-journal","title":"Spillover Effects From A Consumer-Based Intervention To Increase High-Value Preventive Care","container-title":"Health Affairs","page":"448-455","volume":"38","issue":"3","source":"healthaffairs.org (Atypon)","abstract":"Increasing the use of high-value medical services and reducing the use of services with little or no clinical value are key goals for efficient health systems. Yet encouraging the use of high-value services may unintentionally affect the use of low-value services. We examined the likelihood of high- and low-value service use in the first two years after an insurance benefit change in 2011 for one state’s employees that promoted use of high-value preventive services. In the intervention group, compared to a control sample with stable benefit plans, in year 1 the likelihood of high-value service use increased 11.0 percentage points, and the likelihood of low-value service use increased 7.9 percentage points. For that year we associated 74 percent of the increase in high-value services and 57 percent of the increase in low-value services with greater use of preventive visits. Our results imply that interventions aimed at increasing receipt of high-value preventive services can cause spillovers to low-value services and should include deterrents to low-value care as implemented in later years of this program.","DOI":"10.1377/hlthaff.2018.05015","ISSN":"0278-2715","author":[{"family":"Cliff","given":"Betsy Q."},{"family":"Hirth","given":"Richard A."},{"family":"Mark Fendrick","given":"A."}],"issued":{"date-parts":[["2019",3,1]]}}},{"id":4449,"uris":["http://zotero.org/users/1650834/items/MB663CTJ"],"uri":["http://zotero.org/users/1650834/items/MB663CTJ"],"itemData":{"id":4449,"type":"article-journal","title":"Incorporating Household Spillovers in Cost Utility Analysis: A Case Study Using Behavior Change in COPD","container-title":"International Journal of Technology Assessment in Health Care","page":"212-220","volume":"35","issue":"3","source":"PubMed","abstract":"OBJECTIVES: It is important to capture all health effects of interventions in cost-utility analyses conducted under a societal or healthcare perspective. However, this is rarely done. Household spillovers (health effects on patients' other household members) may be particularly likely in the context of technologies and interventions to change behaviors that are interdependent in the household. Our objective was to prospectively collect outcome data from household members and illustrate how these can be included in a cost-utility analysis of a behavior change intervention in chronic obstructive pulmonary disease (COPD).\nMETHODS: Data were collected from patients' household members (n = 153) alongside a randomized controlled trial of a COPD self-management intervention. The impact of the intervention on household members' EQ-5D-5L scores (primary outcome), was evaluated. Analyses were then carried out to estimate household members' quality-adjusted life-years (QALYs) and assess the impact of including these QALYs on cost-effectiveness.\nRESULTS: The intervention had a negligible spillover on household members' EQ-5D-5L scores (-0.007; p = .75). There were also no statistically significant spillovers at the 5 percent level in household member secondary outcomes. In the base-case model, the inclusion of household member QALYs in the incremental cost-effectiveness ratio (ICER) denominator marginally increased the ICER from GBP 10,271 (EUR 13,146) to GBP 10,991 (EUR 14,068) per QALY gained.\nCONCLUSIONS: This study demonstrates it is feasible to prospectively collect and include household members' outcome data in cost utility analysis, although the study highlighted several methodological issues. In this case, the intervention did not impact significantly on household members' health or health behaviors, but inclusion of household spillovers may make a difference in other contexts.","DOI":"10.1017/S026646231900028X","ISSN":"1471-6348","note":"PMID: 31064563","shortTitle":"Incorporating Household Spillovers in Cost Utility Analysis","language":"eng","author":[{"family":"Bhadhuri","given":"Arjun"},{"family":"Al-Janabi","given":"Hareth"},{"family":"Jowett","given":"Sue"},{"family":"Jolly","given":"Kate"}],"issued":{"date-parts":[["2019",1]]}}},{"id":4454,"uris":["http://zotero.org/users/1650834/items/64A77QLL"],"uri":["http://zotero.org/users/1650834/items/64A77QLL"],"itemData":{"id":4454,"type":"article-journal","title":"Behavior change communication activities improve infant and young child nutrition knowledge and practice of neighboring non-participants in a cluster-randomized trial in rural Bangladesh","container-title":"PLOS ONE","page":"e0179866","volume":"12","issue":"6","source":"PLoS Journals","abstract":"Objective To examine the impact on infant and young child nutrition knowledge and practice of mothers who were neighbors of mothers participating in a nutrition Behavior Change Communication (BCC) intervention in rural Bangladesh. Methods We analyzed data from 300 mothers whose neighbor participated in a nutrition BCC intervention and 600 mothers whose neighbor participated in an intervention that did not include BCC. We constructed measures capturing mothers’ knowledge of infant and young child nutrition (IYCN) and measures of food consumption by children 6-24m. The effect on these outcomes of exposure to a neighbor receiving a nutrition BCC intervention was estimated using ordinary least squares and probit regressions. The study was registered with ClinicalTrials.gov (Study ID: NCT02237144). Results Having a neighboring mother participate in a nutrition BCC intervention increased non-participant mothers’ IYCN knowledge by 0.17 SD (translating to 0.3 more correct answers). They were 14.1 percentage points more likely to feed their 6-24m children legumes and nuts; 11.6 percentage points more likely to feed these children vitamin A rich fruits and vegetables; and 10.0 percentage points more likely to feed these children eggs. Children of non-participant mothers who had a neighboring mother participate in a nutrition BCC intervention were 13.8 percentage points more likely to meet World Health Organization (WHO) guidelines for minimum diet diversity, 11.9 percentage points more likely to meet WHO guidelines for minimum acceptable diet, and 10.3 percentage points more likely to meet WHO guidelines for minimum meal frequency for children who continue to be breastfed after age 6m. Children aged 0-6m of non-participant mothers who are neighbors of mothers receiving BCC were 7.1 percentage points less likely to have ever consumed water-based liquids. Conclusions Studies of nutrition BCC that do not account for information spillovers to non-participants may underestimate its benefits in terms of IYCN knowledge and practice.","DOI":"10.1371/journal.pone.0179866","ISSN":"1932-6203","journalAbbreviation":"PLOS ONE","language":"en","author":[{"family":"Hoddinott","given":"John"},{"family":"Ahmed","given":"Ishita"},{"family":"Ahmed","given":"Akhter"},{"family":"Roy","given":"Shalini"}],"issued":{"date-parts":[["2017"]],"season":"giu"}}},{"id":4460,"uris":["http://zotero.org/users/1650834/items/GEKEZPG4"],"uri":["http://zotero.org/users/1650834/items/GEKEZPG4"],"itemData":{"id":4460,"type":"article-journal","title":"Are There Spillover Effects from the GI Bill? The Mental Health of Wives of Korean War Veterans","container-title":"PLOS ONE","page":"e0154203","volume":"11","issue":"5","source":"PLoS Journals","abstract":"Background The Korean War GI Bill provided economic benefits for veterans, thereby potentially improving their health outcomes. However potential spillover effects on veteran wives have not been evaluated. Methods Data from wives of veterans eligible for the Korean War GI Bill (N = 128) and wives of non-veterans (N = 224) from the Health and Retirement Study were matched on race and coarsened birth year and childhood health using coarsened exact matching. Number of depressive symptoms in 2010 (average age = 78) were assessed using a modified, validated Center for Epidemiologic Studies-Depression Scale. Regression analyses were stratified into low (mother &lt; 8 years schooling / missing data, N = 95) or high (mother ≥ 8 years schooling, N = 257) childhood socio-economic status (cSES) groups, and were adjusted for birth year and childhood health, as well as respondent’s educational attainment in a subset of analyses. Results Husband’s Korean War GI Bill eligibility did not predict depressive symptoms among veteran wives in pooled analysis or cSES stratified analyses; analyses in the low cSES subgroup were underpowered (N = 95, β = -0.50, 95% Confidence Interval: (-1.35, 0.35), p = 0.248, power = 0.28). Conclusions We found no evidence of a relationship between husband’s Korean War GI Bill eligibility and wives’ mental health in these data, however there may be a true effect that our analysis was underpowered to detect.","DOI":"10.1371/journal.pone.0154203","ISSN":"1932-6203","shortTitle":"Are There Spillover Effects from the GI Bill?","journalAbbreviation":"PLOS ONE","language":"en","author":[{"family":"Vable","given":"Anusha M."},{"family":"Kawachi","given":"Ichiro"},{"family":"Canning","given":"David"},{"family":"Glymour","given":"M. Maria"},{"family":"Jimenez","given":"Marcia P."},{"family":"Subramanian","given":"S. V."}],"issued":{"date-parts":[["2016"]],"season":"mag"}}},{"id":4463,"uris":["http://zotero.org/users/1650834/items/2Y8N6WDP"],"uri":["http://zotero.org/users/1650834/items/2Y8N6WDP"],"itemData":{"id":4463,"type":"article-journal","title":"Shape Up Somerville: change in parent body mass indexes during a child-targeted, community-based environmental change intervention","container-title":"American Journal of Public Health","page":"e83-89","volume":"105","issue":"2","source":"PubMed","abstract":"OBJECTIVES: We investigated the body mass index (BMI; weight in pounds/[height in inches](2) × 703) of parents whose children participated in Shape Up Somerville (SUS), a community-based participatory research study that altered household, school, and community environments to prevent and reduce childhood obesity.\nMETHODS: SUS was a nonrandomized controlled trial with 30 participating elementary schools in 3 Massachusetts communities that occurred from 2002 to 2005. It included first-, second-, and third-grade children. We used an inverse probability weighting estimator adjusted for clustering effects to isolate the influence of SUS on parent (n=478) BMI. The model's dependent variable was the change in pre- and postintervention parent BMI.\nRESULTS: SUS was significantly associated with decreases in parent BMIs. SUS decreased treatment parents' BMIs by 0.411 points (95% confidence interval=-0.725, -0.097) relative to control parents.\nCONCLUSIONS: The benefits of a community-based environmental change childhood obesity intervention can spill over to parents, resulting in decreased parental BMI. Further research is warranted to examine the effects of this type of intervention on parental health behaviors and health outcomes.","DOI":"10.2105/AJPH.2014.302361","ISSN":"1541-0048","note":"PMID: 25521882\nPMCID: PMC4318303","shortTitle":"Shape Up Somerville","language":"eng","author":[{"family":"Coffield","given":"Edward"},{"family":"Nihiser","given":"Allison J."},{"family":"Sherry","given":"Bettylou"},{"family":"Economos","given":"Christina D."}],"issued":{"date-parts":[["2015",2]]}}},{"id":3576,"uris":["http://zotero.org/users/1650834/items/S5VX68FD"],"uri":["http://zotero.org/users/1650834/items/S5VX68FD"],"itemData":{"id":3576,"type":"article-journal","title":"Large reductions in child overweight and obesity in intervention and comparison communities 3 years after a community project","container-title":"Pediatric Obesity","page":"455-462","volume":"9","issue":"6","source":"Ovid MEDLINE(R)","note":"PMID: 24203373","author":[{"family":"Swinburn","given":"B."},{"family":"Malakellis","given":"M."},{"family":"Moodie","given":"M."},{"family":"Waters","given":"E."},{"family":"Gibbs","given":"L."},{"family":"Millar","given":"L."},{"family":"Herbert","given":"J."},{"family":"Virgo-Milton","given":"M."},{"family":"Mavoa","given":"H."},{"family":"Kremer","given":"P."},{"family":"Silva-Sanigorski","given":"A.","non-dropping-particle":"de"}],"issued":{"date-parts":[["2014",12]]}}},{"id":3575,"uris":["http://zotero.org/users/1650834/items/QMFW5HPV"],"uri":["http://zotero.org/users/1650834/items/QMFW5HPV"],"itemData":{"id":3575,"type":"article-journal","title":"Potential spillover educational effects of cancer-related direct-to-consumer advertising on cancer patients' increased information seeking behaviors: results from a cohort study","container-title":"Journal of Cancer Education","page":"258-265","volume":"29","issue":"2","source":"Ovid MEDLINE(R)","note":"PMID: 24254248","author":[{"family":"Tan","given":"Andy S. L."}],"issued":{"date-parts":[["2014",6]]}}},{"id":3648,"uris":["http://zotero.org/users/1650834/items/6NLU7RAH"],"uri":["http://zotero.org/users/1650834/items/6NLU7RAH"],"itemData":{"id":3648,"type":"article-journal","title":"Exploring non-health outcomes of health promotion: the perspective of participants in a lifestyle behaviour change intervention","container-title":"Health Policy","page":"177-186","volume":"106","issue":"2","source":"Ovid MEDLINE(R)","note":"PMID: 22575768","author":[{"family":"Goebbels","given":"Adrienne F. G."},{"family":"Lakerveld","given":"Jeroen"},{"family":"Ament","given":"Andre J. H. A."},{"family":"Bot","given":"Sandra D. M."},{"family":"Severens","given":"Johan L."}],"issued":{"date-parts":[["2012",7]]}}},{"id":4491,"uris":["http://zotero.org/users/1650834/items/K682L7NX"],"uri":["http://zotero.org/users/1650834/items/K682L7NX"],"itemData":{"id":4491,"type":"article-journal","title":"Effectiveness and spillover of an after-school health promotion program for hispanic elementary school Children","container-title":"American journal of public health","page":"1907-1913","volume":"101","issue":"10","source":"nau.pure.elsevier.com","DOI":"10.2105/AJPH.2011.300177","ISSN":"0090-0036","note":"PMID: 21852659","journalAbbreviation":"American journal of public health","language":"English (US)","author":[{"family":"Heer","given":"Hendrik D.","non-dropping-particle":"de"},{"family":"Koehly","given":"Laura"},{"family":"Pederson","given":"Rockie"},{"family":"Morera","given":"Osvaldo"}],"issued":{"date-parts":[["2011",10,1]]}}},{"id":3741,"uris":["http://zotero.org/users/1650834/items/V6FI5WBF"],"uri":["http://zotero.org/users/1650834/items/V6FI5WBF"],"itemData":{"id":3741,"type":"article-journal","title":"Motivational \"spill-over\" during weight control: increased self-determination and exercise intrinsic motivation predict eating self-regulation","container-title":"Health Psychology","page":"709-716","volume":"28","issue":"6","source":"Ovid MEDLINE(R)","note":"PMID: 19916639","author":[{"family":"Mata","given":"Jutta"},{"family":"Silva","given":"Marlene N."},{"family":"Vieira","given":"Paulo N."},{"family":"Carraca","given":"Eliana V."},{"family":"Andrade","given":"Ana M."},{"family":"Coutinho","given":"Silvia R."},{"family":"Sardinha","given":"Luis B."},{"family":"Teixeira","given":"Pedro J."}],"issued":{"date-parts":[["2009",11]]}}},{"id":4501,"uris":["http://zotero.org/users/1650834/items/6N9H38ZR"],"uri":["http://zotero.org/users/1650834/items/6N9H38ZR"],"itemData":{"id":4501,"type":"article-journal","title":"Cluster-Randomized Controlled Trial of An Athletic Trainer-Directed Spit (Smokeless) Tobacco Intervention for Collegiate Baseball Athletes: Results After 1 Year","container-title":"Journal of Athletic Training","page":"76-87","volume":"40","issue":"2","source":"PubMed Central","abstract":"Context: Athletes in the United States are at high risk for using spit (smokeless) tobacco (ST) and incurring its associated adverse health effects., Objective: To examine whether an athletic trainer-directed ST intervention could decrease initiation and promote cessation of ST use among male collegiate baseball athletes., Design: Stratified, cluster-randomized controlled trial., Setting: Fifty-two California colleges., Patients or Other Participant(s): A total of 883 subjects in 27 intervention colleges and 702 subjects in 25 control colleges participated, as did 48 certified athletic trainers., Intervention(s): For college athletic trainers and associated dental professionals, a 3-hour video conference, and for collegiate athletes, an oral cancer screening with feedback and brief counseling during the preseason health screenings, athletic trainer support for cessation, and a peer-led educational baseball team meeting., Main Outcome Measure(s): The subjects' ST use over 1 year was assessed by self-report. At the end of the study, the certified athletic trainers were mailed a survey assessing their tobacco use and perceptions and behavior related to tobacco control in the athletic environment. We used multivariable logistic regression models for clustered responses (generalized estimating equations) to test the difference between groups in ST-use initiation and cessation and to identify significant overall predictors of noninitiation and cessation of ST use., Results: Of the 1585 athletes recruited, 1248 (78.7%) were followed up at 12 months. In addition, 48 of the 52 athletic trainers (92%) responded to the 1-year follow-up survey. The ST-use initiation (incidence) was 5.1% in intervention colleges and 8.4% in control colleges (generalized estimating equation odds ratio = 0.58, 95% confidence interval = 0.35–0.99). Predictors of ST noninitiation were low lifetime tobacco and monthly alcohol use (odds ratio = 1.98, 95% confidence interval = 1.40– 2.82) and athletic trainers' report that the baseball coach supported ST-use prevention activities (odds ratio = 1.43, 95% confidence interval = 1.11–1.83). Although at 1 year, cessation of ST use was relatively high in both groups (36%), we noted no significant difference between the groups (odd ratio = 0.94, 95% confidence interval = 0.70–1.27)., Conclusions: The intervention was significantly effective in preventing incident ST use but did not significantly increase cessation beyond that seen in the control group. The latter finding is inconsistent with previous studies and may be explained by spillover of the intervention to control colleges, other anti-tobacco activity in control colleges, and/or the small sample of dependent ST users enrolled in the study.","ISSN":"1062-6050","note":"PMID: 15970953\nPMCID: PMC1150230","shortTitle":"Cluster-Randomized Controlled Trial of An Athletic Trainer-Directed Spit (Smokeless) Tobacco Intervention for Collegiate Baseball Athletes","journalAbbreviation":"J Athl Train","author":[{"family":"Gansky","given":"Stuart A"},{"family":"Ellison","given":"James A"},{"family":"Rudy","given":"Diane"},{"family":"Bergert","given":"Ned"},{"family":"Letendre","given":"Mark A"},{"family":"Nelson","given":"Lisa"},{"family":"Kavanagh","given":"Catherine"},{"family":"Walsh","given":"Margaret M"}],"issued":{"date-parts":[["2005"]]}}},{"id":4781,"uris":["http://zotero.org/users/1650834/items/2LIWGAI9"],"uri":["http://zotero.org/users/1650834/items/2LIWGAI9"],"itemData":{"id":4781,"type":"article-journal","title":"Is There a Spillover Effect of Targeted Dietary Change on Untargeted Health Behaviors? Evidence From a Dietary Modification Trial","container-title":"Health Education &amp; Behavior","page":"569-581","volume":"46","issue":"4","source":"SAGE Journals","abstract":"Background. The gateway behavior hypothesis posits that change in a health behavior targeted for modification may promote positive changes in other untargeted health behaviors; however, previous studies have shown inconsistent results. Aims. To examine the patterns and predictors of change in untargeted health behaviors in a large health behavior change trial. Method. Using repeated-measures latent class analysis, this study explored patterns of change in untargeted physical activity, alcohol consumption, and smoking behavior during the first year of the Women’s Health Initiative dietary modification trial that targeted total fat reduction to 20% kcal and targeted increased fruit and vegetable intake. Participants were healthy postmenopausal women who were randomly assigned to either the low-fat dietary change intervention (n = 8,193) or a control (n = 12,187) arm. Results. Although there were increases in untargeted physical activity and decreases in alcohol consumption and smoking in the first year, these changes were not consistently associated with study arm. Moreover, although the results of the repeated-measures latent class analysis identified three unique subgroups of participants with similar patterns of untargeted health behaviors, none of the subgroups showed substantial change in the probability of engagement in any of the behaviors over 1 year, and the study arms had nearly identical latent class solutions. Discussion and Conclusion. These findings suggest that the dietary intervention did not act as a gateway behavior for change in the untargeted behaviors and that researchers interested in changing multiple health behaviors may need to deliberately target additional behaviors.","DOI":"10.1177/1090198119831756","ISSN":"1090-1981","shortTitle":"Is There a Spillover Effect of Targeted Dietary Change on Untargeted Health Behaviors?","journalAbbreviation":"Health Educ Behav","language":"en","author":[{"family":"Sarma","given":"Elizabeth A."},{"family":"Moyer","given":"Anne"},{"family":"Messina","given":"Catherine R."},{"family":"Laroche","given":"Helena H."},{"family":"Snetselaar","given":"Linda"},{"family":"Van Horn","given":"Linda"},{"family":"Lane","given":"Dorothy S."}],"issued":{"date-parts":[["2019",8,1]]}}},{"id":4783,"uris":["http://zotero.org/users/1650834/items/ERISXUUJ"],"uri":["http://zotero.org/users/1650834/items/ERISXUUJ"],"itemData":{"id":4783,"type":"article-journal","title":"Neighbour home gardening predicts dietary diversity among rural Tanzanian women","container-title":"Public Health Nutrition","page":"1646-1653","volume":"22","issue":"9","source":"Cambridge University Press","abstract":"ObjectiveThe present study’s aim was to assess the impact of a nutrition-sensitive intervention on dietary diversity and home gardening among non-participants residing within intervention communities.DesignThe study was a cross-sectional risk factor analysis using linear and logistic multivariate models.SettingIn Tanzania, women and children often consume monotonous diets of poor nutritional value primarily because of physical or financial inaccessibility or low awareness of healthy foods.ParticipantsParticipants were women of reproductive age (18–49 years) in rural Tanzania.ResultsMean dietary diversity was low with women consuming three out of ten possible food groups. Only 23·4 % of respondents achieved the recommended minimum dietary diversity of five or more food groups out of ten per day. Compared with those who did not, respondents who had a neighbour who grew crops in their home garden were 2·71 times more likely to achieve minimum dietary diversity (95 % CI 1·60, 4·59; P=0·0004) and 1·91 times more likely to grow a home garden themselves (95 % CI 1·10, 3·33; P=0·02). Other significant predictors of higher dietary diversity were respondent age, education and wealth, and number of crops grown.ConclusionsThese results suggest that there are substantial positive externalities of home garden interventions beyond those attained by the people who own and grow the vegetables. Cost-effectiveness assessments of nutrition-sensitive agriculture, including home garden interventions, should factor in the effects on the community, and not just on the individual households receiving the intervention.","DOI":"10.1017/S1368980018003798","ISSN":"1368-9800, 1475-2727","language":"en","author":[{"family":"Blakstad","given":"Mia M."},{"family":"Bellows","given":"Alexandra L."},{"family":"Mosha","given":"Dominic"},{"family":"Canavan","given":"Chelsey R."},{"family":"Mlalama","given":"Killian"},{"family":"Kinabo","given":"Joyce"},{"family":"Kruk","given":"Margaret E."},{"family":"Masanja","given":"Honorati"},{"family":"Fawzi","given":"Wafaie W."}],"issued":{"date-parts":[["2019",6]]}}},{"id":4786,"uris":["http://zotero.org/users/1650834/items/LRWNVJCF"],"uri":["http://zotero.org/users/1650834/items/LRWNVJCF"],"itemData":{"id":4786,"type":"article-journal","title":"Peer effects in smoking cessation: An instrumental variables analysis of a worksite intervention in Thailand","container-title":"SSM - Population Health","page":"100659","volume":"12","source":"ScienceDirect","abstract":"While smoking is widely acknowledged to be a social activity, limited evidence exists on the extent to which friends influence each other during worksite-based tobacco cessation interventions. Drawing on data from adult smokers (N = 1823) in a large, cluster randomized controlled trial in worksites in Thailand, this study examines the presence of social spillovers in the decision to abstain from smoking. We leverage a unique aspect of social network structure in these data—the existence of non-overlapping friendship networks—to address the challenge of isolating the effects of peers on smoking behavior from the confounding effects of endogenous friend selection and bidirectional peer influence. We find that individuals with workplace friends who have abstained from smoking during the trial are significantly more likely to abstain themselves. Instrumental variables estimates suggest that abstinence after 3 and 12 months increases 26 and 32 percentage points, respectively, for each additional workplace friend who abstains. These findings highlight the potential for workplace interventions to use existing social networks to magnify the effect of individual-level behavior change, particularly in low- and middle-income countries where tobacco cessation support tends to be limited.","DOI":"10.1016/j.ssmph.2020.100659","ISSN":"2352-8273","shortTitle":"Peer effects in smoking cessation","journalAbbreviation":"SSM - Population Health","language":"en","author":[{"family":"Lowenstein","given":"Christopher"},{"family":"Dow","given":"William H."},{"family":"White","given":"Justin S."}],"issued":{"date-parts":[["2020",12,1]]}}},{"id":4795,"uris":["http://zotero.org/users/1650834/items/5WBW55AU"],"uri":["http://zotero.org/users/1650834/items/5WBW55AU"],"itemData":{"id":4795,"type":"article-journal","title":"The Effect of a General Healthy Lifestyle Intervention Delivered Around Pregnancy on Gestational Weight Gain and Infant Growth","container-title":"Maternal and Child Health Journal","page":"1404-1411","volume":"24","issue":"11","source":"Crossref","DOI":"10.1007/s10995-020-02998-0","ISSN":"1092-7875, 1573-6628","language":"en","author":[{"family":"Heerman","given":"William J."},{"family":"Samuels","given":"Lauren R."},{"family":"Barr","given":"Lauren"},{"family":"Burgess","given":"Laura E."},{"family":"Hartmann","given":"Katherine E."},{"family":"Barkin","given":"Shari L."}],"issued":{"date-parts":[["2020",11]]}}},{"id":4796,"uris":["http://zotero.org/users/1650834/items/P7ZJM9K7"],"uri":["http://zotero.org/users/1650834/items/P7ZJM9K7"],"itemData":{"id":4796,"type":"article-journal","title":"The Special Supplemental Nutrition Program for Women, Infants, and Children Spillover Effect: Do Siblings Reap the Benefits?","container-title":"Journal of the Academy of Nutrition and Dietetics","page":"1288-1294","volume":"120","issue":"8","source":"ScienceDirect","abstract":"Background\nParticipation in the Special Supplemental Nutrition Assistance Program for Women, Infants, and Children (WIC) among 0- to 5-year-old children is associated with healthier diets. Extension of dietary benefits to older, age-ineligible children (5-18 years old) residing in WIC households has not been fully investigated.\nObjective\nExamine the association between household WIC participation and dietary behaviors of age-ineligible children.\nDesign\nCross-sectional secondary analysis of data collected from 2 independent panels (2009-2010 and 2014) of the New Jersey Child Health Study, using household surveys. Questions derived from national surveys assessed consumption frequency of specific foods among 5- to 18-year-old children.\nParticipants/setting\nThe analytic sample included 616 age-ineligible children from households with incomes below 200% of the federal poverty level, 398 of whom were from WIC-participating households.\nMain outcome measures\nEating behaviors were measured as frequency of daily consumption of fruit, vegetables, 100% juice, sugar-sweetened beverages, and sweet and salty snacks.\nStatistical analysis\nMultivariable negative binomial models examined the association between eating behaviors and household WIC participation status adjusting for child’s age, sex, and race; mother’s education; city of residence; household size; and panel. Results are expressed as incidence rate ratios (IRRs).\nResults\nHousehold WIC participation was not associated with dietary behaviors among age-ineligible children (5-18 years old) in the overall sample. However, healthier dietary patterns were observed for specific demographic groups. Compared with age-ineligible children in non-WIC households, age-ineligible children in WIC households had (1) a higher frequency of vegetable consumption among 12- to 18-year-old children (IRR = 1.29; 95% confidence interval [CI] 1.05-1.58; P = .015); (2) a marginally significant higher frequency of 100% juice consumption among females (IRR = 1.27; 95% CI 1.00-1.62; P = .053); and (3) a lower frequency of sugar-sweetened beverages consumption among Hispanic children (IRR = 0.61; 95% CI 0.43-0.86; P = .004).\nConclusions\nHousehold WIC participation may positively influence dietary behaviors of age-ineligible children, suggesting a possible WIC spillover effect. Revisions to WIC package composition should consider the possible dietary implications for all children in the household.","DOI":"10.1016/j.jand.2020.02.013","ISSN":"2212-2672","shortTitle":"The Special Supplemental Nutrition Program for Women, Infants, and Children Spillover Effect","journalAbbreviation":"Journal of the Academy of Nutrition and Dietetics","language":"en","author":[{"family":"Steeves","given":"Stephanie"},{"family":"Acciai","given":"Francesco"},{"family":"Tasevska","given":"Natasha"},{"family":"DeWeese","given":"Robin S."},{"family":"Yedidia","given":"Michael J."},{"family":"Ohri-Vachaspati","given":"Punam"}],"issued":{"date-parts":[["2020",8,1]]}}},{"id":4798,"uris":["http://zotero.org/users/1650834/items/E7XCQPZ7"],"uri":["http://zotero.org/users/1650834/items/E7XCQPZ7"],"itemData":{"id":4798,"type":"article-journal","title":"Effects of a Parent-Administered Exercise Program in the Neonatal Intensive Care Unit: Dose Does Matter—A Randomized Controlled Trial","container-title":"Physical Therapy","page":"860-869","volume":"100","issue":"5","source":"academic.oup.com","abstract":"AbstractBackground.  Despite the risk of delayed motor development in infants born preterm, knowledge about interventions in the neonatal intensive care unitt (","DOI":"10.1093/ptj/pzaa014","shortTitle":"Effects of a Parent-Administered Exercise Program in the Neonatal Intensive Care Unit","journalAbbreviation":"Phys Ther","language":"en","author":[{"family":"Øberg","given":"Gunn Kristin"},{"family":"Girolami","given":"Gay L."},{"family":"Campbell","given":"Suzann K."},{"family":"Ustad","given":"Tordis"},{"family":"Heuch","given":"Ivar"},{"family":"Jacobsen","given":"Bjarne K."},{"family":"Kaaresen","given":"Per Ivar"},{"family":"Aulie","given":"Vibeke Smith"},{"family":"Jørgensen","given":"Lone"}],"issued":{"date-parts":[["2020",5,18]]}}},{"id":4812,"uris":["http://zotero.org/users/1650834/items/CHYTYJ8H"],"uri":["http://zotero.org/users/1650834/items/CHYTYJ8H"],"itemData":{"id":4812,"type":"article-journal","title":"The short- and long-term impact of an incentive intervention on healthier eating: a quasi-experiment in primary- and secondary-school cafeterias in Brazil","container-title":"Public Health Nutrition","page":"1675-1685","volume":"22","issue":"9","source":"Cambridge University Press","abstract":"ObjectiveTo assess the short- and long-term effectiveness of a lottery incentive intervention to promote the purchase of healthy products in school cafeterias.DesignA quasi-experiment in which students’ purchases in intervention schools were analysed in a pre–post analysis and also compared with a control school in a difference-in-differences model. A hierarchical linear model assessed the mean number of promoted healthy products purchased daily per participant before (twenty-six weekdays), during (nine weekdays) and after (twenty-eight weekdays) the intervention period. Sex, age and prior purchasing behaviour served as covariates.SettingConvenience sample of school cafeterias using a debit-card payment method that allowed for the assessment of students’ purchasing behaviour.ParticipantsStudents who used the pre-paid card to buy snacks at the school cafeteria. A total of 352 students (208 in intervention schools and 144 in control school) were included in the final analyses.ResultsThe incentives programme significantly increased the purchase of promoted healthy products during (v. before) the intervention period in intervention schools (P&lt;0·001), especially among younger children (P=0·036). Among the students who purchased the promoted healthier products during the intervention, there was an increase in total number of purchased products (healthy non-promoted, but also of less healthy products). Sex and past consumption behaviour did not influence the response to incentives in the short term. On average, no long-term effect was observed.ConclusionsLong-term and negative spillover effects must be taken into consideration for a complete understanding of the effects of incentives on healthier eating.","DOI":"10.1017/S1368980019000223","ISSN":"1368-9800, 1475-2727","shortTitle":"The short- and long-term impact of an incentive intervention on healthier eating","language":"en","author":[{"family":"Ferreira","given":"Claudio M."},{"family":"Goldszmidt","given":"Rafael"},{"family":"Andrade","given":"Eduardo B."}],"issued":{"date-parts":[["2019",6]]}}},{"id":4822,"uris":["http://zotero.org/users/1650834/items/UC5MCX8G"],"uri":["http://zotero.org/users/1650834/items/UC5MCX8G"],"itemData":{"id":4822,"type":"article-journal","title":"The Intervention Nurses Start Infants Growing on Healthy Trajectories (INSIGHT) responsive parenting intervention for firstborns impacts feeding of secondborns","container-title":"The American Journal of Clinical Nutrition","page":"21-27","volume":"111","issue":"1","source":"academic.oup.com","abstract":"ABSTRACTBackground.  The Intervention Nurses Start Infant Growing on Healthy Trajectories (INSIGHT) study's responsive parenting (RP) intervention, initiated in","DOI":"10.1093/ajcn/nqz277","ISSN":"0002-9165","journalAbbreviation":"Am J Clin Nutr","language":"en","author":[{"family":"Ruggiero","given":"Cara F."},{"family":"Hohman","given":"Emily E."},{"family":"Birch","given":"Leann L."},{"family":"Paul","given":"Ian M."},{"family":"Savage","given":"Jennifer S."}],"issued":{"date-parts":[["2020",1,1]]}}},{"id":4828,"uris":["http://zotero.org/users/1650834/items/2DD5LAT5"],"uri":["http://zotero.org/users/1650834/items/2DD5LAT5"],"itemData":{"id":4828,"type":"article-journal","title":"Experimental evidence on post-program effects and spillovers from an agriculture-nutrition program","container-title":"Economics &amp; Human Biology","page":"100820","volume":"36","source":"ScienceDirect","abstract":"Integrated agricultural-nutrition programs are often implemented under the premise that program effects are durable and spillover. This paper estimates one year post-program effects, three-year aggregate program effects and spillover effects using treated and untreated household cohorts. Two treatment interventions implemented agricultural interventions with behavior change communication strategies varying implementers using either village health committees or older female leaders. In the post-program period, program effects deteriorated relative to program period impacts documented in Olney et al. (2015), but the three-year agricultural, nutrition knowledge, health care practices and severe anemia impacts remained statistically significant. Despite the non-rival nature of nutrition education and promoted production techniques, there is little evidence of agricultural technology or health knowledge spillovers to non-treated households within treatment communities. Spillover effects measured for appropriate treatment of diarrhea (10 pp increase in giving rehydration salts rather than traditional medicine), wasting (20 pp lower probability of wasting) and children’s anemia status (7 pp reduction in severe anemia) significantly improve in later cohorts. The aggregate program effects and spillovers are generally robust to multiple hypothesis testing.","DOI":"10.1016/j.ehb.2019.100820","ISSN":"1570-677X","journalAbbreviation":"Economics &amp; Human Biology","language":"en","author":[{"family":"Dillon","given":"Andrew"},{"family":"Bliznashka","given":"Lilia"},{"family":"Olney","given":"Deanna"}],"issued":{"date-parts":[["2020",1,1]]}}}],"schema":"https://github.com/citation-style-language/schema/raw/master/csl-citation.json"} </w:instrText>
            </w:r>
            <w:r w:rsidRPr="001334D1">
              <w:rPr>
                <w:rFonts w:ascii="Times New Roman" w:hAnsi="Times New Roman" w:cs="Times New Roman"/>
                <w:sz w:val="22"/>
                <w:szCs w:val="22"/>
                <w:lang w:val="en-US"/>
              </w:rPr>
              <w:fldChar w:fldCharType="separate"/>
            </w:r>
            <w:r w:rsidRPr="001334D1">
              <w:rPr>
                <w:rFonts w:ascii="Times New Roman" w:hAnsi="Times New Roman" w:cs="Times New Roman"/>
                <w:sz w:val="22"/>
                <w:szCs w:val="22"/>
                <w:vertAlign w:val="superscript"/>
              </w:rPr>
              <w:t>58–79</w:t>
            </w:r>
            <w:r w:rsidRPr="001334D1">
              <w:rPr>
                <w:rFonts w:ascii="Times New Roman" w:hAnsi="Times New Roman" w:cs="Times New Roman"/>
                <w:sz w:val="22"/>
                <w:szCs w:val="22"/>
                <w:lang w:val="en-US"/>
              </w:rPr>
              <w:fldChar w:fldCharType="end"/>
            </w:r>
            <w:r w:rsidRPr="001334D1">
              <w:rPr>
                <w:rFonts w:ascii="Times New Roman" w:hAnsi="Times New Roman" w:cs="Times New Roman"/>
                <w:sz w:val="22"/>
                <w:szCs w:val="22"/>
                <w:lang w:val="en-US"/>
              </w:rPr>
              <w:t>, Provider/Caregiver training</w:t>
            </w:r>
            <w:r w:rsidRPr="001334D1">
              <w:rPr>
                <w:rFonts w:ascii="Times New Roman" w:hAnsi="Times New Roman" w:cs="Times New Roman"/>
                <w:sz w:val="22"/>
                <w:szCs w:val="22"/>
                <w:lang w:val="en-US"/>
              </w:rPr>
              <w:fldChar w:fldCharType="begin"/>
            </w:r>
            <w:r w:rsidRPr="001334D1">
              <w:rPr>
                <w:rFonts w:ascii="Times New Roman" w:hAnsi="Times New Roman" w:cs="Times New Roman"/>
                <w:sz w:val="22"/>
                <w:szCs w:val="22"/>
                <w:lang w:val="en-US"/>
              </w:rPr>
              <w:instrText xml:space="preserve"> ADDIN ZOTERO_ITEM CSL_CITATION {"citationID":"VuvFLrMc","properties":{"formattedCitation":"\\super 80\\uc0\\u8211{}82\\nosupersub{}","plainCitation":"80–82","noteIndex":0},"citationItems":[{"id":4607,"uris":["http://zotero.org/users/1650834/items/7B25IF6M"],"uri":["http://zotero.org/users/1650834/items/7B25IF6M"],"itemData":{"id":4607,"type":"article-journal","title":"The impact of caregiver-mediated JASPER on child restricted and repetitive behaviors and caregiver responses","container-title":"Autism Research","page":"983-992","volume":"10","issue":"5","source":"Wiley Online Library","abstract":"Restricted and repetitive behaviors (RRBs) are a core feature of autism spectrum disorder (ASD). Compared to the social-communication impairments, we know considerably less about why children engage in RRBs and if and how to intervene with these behaviors. As a result, early intervention has typically focused on social-communication. In this study, we were interested in understanding how child RRBs changed following an intervention targeting social-communication behaviors and if caregiver training changed how they responded to their child's RRBs. Eighty-six toddlers with ASD and their caregivers received one of two interventions: caregivers were either actively coached while playing with their child (JASPER) or attended information sessions about ASD. On three different occasions (when they entered the study, following 10 weeks of intervention and 6-months after) caregivers were filmed playing with their child. From these recordings, we coded child RRBs and caregiver responses to these behaviors. Child RRBs remained relatively stable following intervention in both groups, but increased when the children returned at 6-months. Caregivers who received one-on-one coaching (JASPER) responded to a greater number of their child's RRBs and their responses were rated as more successful. Our study showed that a short-term social-communication intervention delivered through caregivers had “spillover effects” on how they also responded to their child's RRBs. Interventions targeting social-communication behaviors should also examine how these treatments affect child RRBs and how caregiver responses to these behaviors may change following training. Autism Res 2017, 10: 983–992. © 2016 International Society for Autism Research, Wiley Periodicals, Inc.","DOI":"10.1002/aur.1732","ISSN":"1939-3806","language":"en","author":[{"family":"Harrop","given":"Clare"},{"family":"Gulsrud","given":"Amanda"},{"family":"Shih","given":"Wendy"},{"family":"Hovsepyan","given":"Lilit"},{"family":"Kasari","given":"Connie"}],"issued":{"date-parts":[["2017"]]}}},{"id":3391,"uris":["http://zotero.org/users/1650834/items/DFAM6KY5"],"uri":["http://zotero.org/users/1650834/items/DFAM6KY5"],"itemData":{"id":3391,"type":"article-journal","title":"Does training of general practitioners for intensive treatment of people with screen-detected diabetes have a spillover effect on mortality and cardiovascular morbidity in 'at risk' individuals with normoglycaemia? Results from the ADDITION-Denmark cluster-randomised controlled trial","container-title":"Diabetologia","page":"1016-1021","volume":"60","issue":"6","source":"Ovid MEDLINE(R)","note":"PMID: 28280901","author":[{"family":"Simmons","given":"Rebecca K."},{"family":"Bruun","given":"Niels H."},{"family":"Witte","given":"Daniel R."},{"family":"Borch-Johnsen","given":"Knut"},{"family":"Jorgensen","given":"Marit E."},{"family":"Sandbaek","given":"Annelli"},{"family":"Lauritzen","given":"Torsten"}],"issued":{"date-parts":[["1016"]]}}},{"id":4612,"uris":["http://zotero.org/users/1650834/items/YL36J6Z9"],"uri":["http://zotero.org/users/1650834/items/YL36J6Z9"],"itemData":{"id":4612,"type":"article-journal","title":"Does Training and Support of General Practitioners in Intensive Treatment of People with Screen-Detected Diabetes Improve Medication, Morbidity and Mortality in People with Clinically-Diagnosed Diabetes? Investigation of a Spill-Over Effect in a Cluster RCT","container-title":"PLOS ONE","page":"e0170697","volume":"12","issue":"2","source":"PLoS Journals","abstract":"Introduction Very few studies have examined the potential spill-over effect of a trial intervention in general practice. We investigated whether training and support of general practitioners in the intensive treatment of people with screen-detected diabetes improved rates of redeemed medication, morbidity and mortality in people with clinically-diagnosed diabetes. Methods This is a secondary, post-hoc, register-based analysis linked to a cluster randomised trial. In the ADDITION-Denmark trial, 175 general practices were cluster randomised (i) to routine care, or (ii) to receive training and support in intensive multifactorial treatment of individuals with screen-detected diabetes (2001 to 2009). Using national registers we identified all individuals who were diagnosed with clinically incident diabetes in the same practices over the same time period. (Patients participating in the ADDITION trial were excluded). We compared rates of redeemed medication, a cardiovascular composite endpoint, and all-cause mortality between the routine care and intensive treatment groups. Results In total, 4,107 individuals were diagnosed with clinically incident diabetes in ADDITION-Denmark practices between 2001 and 2009 (2,051 in the routine care group and 2,056 in the intensive treatment group). There were large and significant increases in the proportion of patients redeeming cardio-protective medication in both treatment groups during follow-up. After a median of seven years of follow-up, there was no difference in the incidence of a composite cardiovascular endpoint (HR 1.15, 95% CI 0.95 to 1.38) or all-cause mortality between the two groups (HR 1.08, 95% CI 0.94 to 1.23). Discussion There was no evidence of a spill-over effect from an intervention promoting intensive treatment of people with screen-detected diabetes to those with clinically-diagnosed diabetes. Overall, the proportion of patients redeeming cardio-protective medication during follow-up was similar in both groups. Trial Registration ClinicalTrials.gov NCT00237549","DOI":"10.1371/journal.pone.0170697","ISSN":"1932-6203","shortTitle":"Does Training and Support of General Practitioners in Intensive Treatment of People with Screen-Detected Diabetes Improve Medication, Morbidity and Mortality in People with Clinically-Diagnosed Diabetes?","journalAbbreviation":"PLOS ONE","language":"en","author":[{"family":"Charles","given":"Morten"},{"family":"Skriver","given":"Mette V."},{"family":"Griffin","given":"Simon J."},{"family":"Simmons","given":"Rebecca K."},{"family":"Witte","given":"Daniel R."},{"family":"Dalsgaard","given":"Else-Marie"},{"family":"Lauritzen","given":"Torsten"},{"family":"Sandbæk","given":"Annelli"}],"issued":{"date-parts":[["2017",2,2]]}}}],"schema":"https://github.com/citation-style-language/schema/raw/master/csl-citation.json"} </w:instrText>
            </w:r>
            <w:r w:rsidRPr="001334D1">
              <w:rPr>
                <w:rFonts w:ascii="Times New Roman" w:hAnsi="Times New Roman" w:cs="Times New Roman"/>
                <w:sz w:val="22"/>
                <w:szCs w:val="22"/>
                <w:lang w:val="en-US"/>
              </w:rPr>
              <w:fldChar w:fldCharType="separate"/>
            </w:r>
            <w:r w:rsidRPr="001334D1">
              <w:rPr>
                <w:rFonts w:ascii="Times New Roman" w:hAnsi="Times New Roman" w:cs="Times New Roman"/>
                <w:sz w:val="22"/>
                <w:szCs w:val="22"/>
                <w:vertAlign w:val="superscript"/>
              </w:rPr>
              <w:t>80–82</w:t>
            </w:r>
            <w:r w:rsidRPr="001334D1">
              <w:rPr>
                <w:rFonts w:ascii="Times New Roman" w:hAnsi="Times New Roman" w:cs="Times New Roman"/>
                <w:sz w:val="22"/>
                <w:szCs w:val="22"/>
                <w:lang w:val="en-US"/>
              </w:rPr>
              <w:fldChar w:fldCharType="end"/>
            </w:r>
            <w:r w:rsidRPr="001334D1">
              <w:rPr>
                <w:rFonts w:ascii="Times New Roman" w:hAnsi="Times New Roman" w:cs="Times New Roman"/>
                <w:sz w:val="22"/>
                <w:szCs w:val="22"/>
                <w:lang w:val="en-US"/>
              </w:rPr>
              <w:t>, Treatment guidelines</w:t>
            </w:r>
            <w:r w:rsidRPr="001334D1">
              <w:rPr>
                <w:rFonts w:ascii="Times New Roman" w:hAnsi="Times New Roman" w:cs="Times New Roman"/>
                <w:sz w:val="22"/>
                <w:szCs w:val="22"/>
                <w:lang w:val="en-US"/>
              </w:rPr>
              <w:fldChar w:fldCharType="begin"/>
            </w:r>
            <w:r w:rsidRPr="001334D1">
              <w:rPr>
                <w:rFonts w:ascii="Times New Roman" w:hAnsi="Times New Roman" w:cs="Times New Roman"/>
                <w:sz w:val="22"/>
                <w:szCs w:val="22"/>
                <w:lang w:val="en-US"/>
              </w:rPr>
              <w:instrText xml:space="preserve"> ADDIN ZOTERO_ITEM CSL_CITATION {"citationID":"hWZ2C9t1","properties":{"formattedCitation":"\\super 83,84\\nosupersub{}","plainCitation":"83,84","noteIndex":0},"citationItems":[{"id":4592,"uris":["http://zotero.org/users/1650834/items/KPGSX5WN"],"uri":["http://zotero.org/users/1650834/items/KPGSX5WN"],"itemData":{"id":4592,"type":"article-journal","title":"Spillover Effects on Treatment of Adult Depression in Primary Care After FDA Advisory on Risk of Pediatric Suicidality With SSRIs","container-title":"American Journal of Psychiatry","page":"1198-1205","volume":"164","issue":"8","source":"ajp.psychiatryonline.org (Atypon)","abstract":"Objective:           In 2003, the U.S. Food and Drug Administration (FDA) issued a public health advisory about the risk of suicidality in pediatric patients taking selective serotonin reuptake inhibitors (SSRIs) for depression, and in 2005, the agency mandated a black box warning and medication guide indicating that pediatric and adult patients may be at risk. The authors examine the effects of this pediatric policy on treatment of adult depression in the community.           Method:           An adult cohort with newly diagnosed episodes of depression was created from a large national integrated claims database of managed care plans from October 1998 to September 2005 (N=475,838 unique episodes). Time-series analyses were used to compare the post-FDA advisory trends to the trends during the 5 years preceding the advisory.           Results:           The rate of diagnosed depression was significantly lower after the advisory than would have been expected on the basis of the preadvisory historical trend. The average percentage of adults with new (versus recurrent) depressive episodes was 88.6% in the preadvisory period (declining at an annual rate of 1.69%), and it decreased significantly to 77.5% (declining more rapidly, at an annual rate of 7.70%). The percentage of adults with depression who did not receive an antidepressant increased from an average of 20% (declining at 0.45% annually) before the policy action to an average of 30% (increasing at an annual rate of 20.6%). The data did not show any compensatory increases in psychotherapy or prescription of atypical antipsychotics or anxiolytics.           Conclusions:           The FDA advisory had a significant spillover effect into community treatment for adults with depression, despite the focus of the policy on pediatric patients.","DOI":"10.1176/appi.ajp.2007.07010007","ISSN":"0002-953X","journalAbbreviation":"AJP","author":[{"family":"Valuck","given":"Robert J."},{"family":"Libby","given":"Anne M."},{"family":"Orton","given":"Heather D."},{"family":"Morrato","given":"Elaine H."},{"family":"Allen","given":"Richard"},{"family":"Baldessarini","given":"Ross J."}],"issued":{"date-parts":[["2007",8,1]]}}},{"id":4816,"uris":["http://zotero.org/users/1650834/items/KBE3TVWD"],"uri":["http://zotero.org/users/1650834/items/KBE3TVWD"],"itemData":{"id":4816,"type":"article-journal","title":"Shifting medical guidelines: Compliance and spillover effects for revised antibiotic recommendations","container-title":"Social Science &amp; Medicine","page":"112943","volume":"255","source":"ScienceDirect","abstract":"Rationale\nExperts have recently argued that guidelines to take the full course of antibiotics are due for revision, instead recommending that patients stop when they feel better. It is unknown how communicating revised guidelines from medical experts about how long to take a course of antibiotics will affect beliefs, behavior, and trust in guidelines more generally. Objective. This study seeks to understand how revisions to long standing advice impacts the beliefs, behavior, and trust toward such guidelines from medical experts.\nMethod\nIn a pre-registered experiment, we use a national sample of UK participants (N = 1,263) to test the effects of a message that reverses the prior full-course guideline (versus a status quo message to take the full course). We also test a secondary intervention that emphasizes that medical guidance and evidence may change over time.\nResults\nEarly stoppage messages significantly shifted personal beliefs and perceived expert consensus about early stoppage (a shift of 16%, 95% CI: 13.8% to 17.9%, p &lt;.001) and behavioral intent (a shift of 19%, 95% CI: 15.3 to 21.8%, p &lt; .001) in the intended direction. Yet, the new guideline also slightly decreased acceptance of uncertainty about future guidelines (a decrease of 2%, 95% CI: 0.2% to 3.1%, p = .022) and general intention to comply with other guidelines in the future (a decrease of 6%, 95% CI: 2.6% to 8.4%, p &lt; .001); it did not affect perceptions of medical researchers’ or doctors’ credibility or respondents’ epistemic efficacy. Prior belief about early stoppage did not moderate receptivity to messages. Notably, though, we also find receptivity to early stoppage messages was contingent on deference to experts. We find no effect of a secondary intervention that emphasizes that medical guidance and evidence may change over time. Conclusions. Overall, our findings suggest the (U.K.) public is likely to accept new guidelines that change long standing advice to take a full course of antibiotics. While respondents show wariness about further future revisions, these data do not show that changing guidelines undermines trust in the experts that produce them.","DOI":"10.1016/j.socscimed.2020.112943","ISSN":"0277-9536","shortTitle":"Shifting medical guidelines","journalAbbreviation":"Social Science &amp; Medicine","language":"en","author":[{"family":"Lyons","given":"Benjamin A."},{"family":"Merola","given":"Vittorio"},{"family":"Reifler","given":"Jason"}],"issued":{"date-parts":[["2020",6,1]]}}}],"schema":"https://github.com/citation-style-language/schema/raw/master/csl-citation.json"} </w:instrText>
            </w:r>
            <w:r w:rsidRPr="001334D1">
              <w:rPr>
                <w:rFonts w:ascii="Times New Roman" w:hAnsi="Times New Roman" w:cs="Times New Roman"/>
                <w:sz w:val="22"/>
                <w:szCs w:val="22"/>
                <w:lang w:val="en-US"/>
              </w:rPr>
              <w:fldChar w:fldCharType="separate"/>
            </w:r>
            <w:r w:rsidRPr="001334D1">
              <w:rPr>
                <w:rFonts w:ascii="Times New Roman" w:hAnsi="Times New Roman" w:cs="Times New Roman"/>
                <w:sz w:val="22"/>
                <w:szCs w:val="22"/>
                <w:vertAlign w:val="superscript"/>
                <w:lang w:val="en-GB"/>
              </w:rPr>
              <w:t>83,84</w:t>
            </w:r>
            <w:r w:rsidRPr="001334D1">
              <w:rPr>
                <w:rFonts w:ascii="Times New Roman" w:hAnsi="Times New Roman" w:cs="Times New Roman"/>
                <w:sz w:val="22"/>
                <w:szCs w:val="22"/>
                <w:lang w:val="en-US"/>
              </w:rPr>
              <w:fldChar w:fldCharType="end"/>
            </w:r>
          </w:p>
        </w:tc>
      </w:tr>
      <w:tr w:rsidR="00856527" w:rsidRPr="001334D1" w:rsidTr="00856527">
        <w:tc>
          <w:tcPr>
            <w:tcW w:w="4531" w:type="dxa"/>
            <w:vAlign w:val="center"/>
          </w:tcPr>
          <w:p w:rsidR="00856527" w:rsidRPr="001334D1" w:rsidRDefault="00856527" w:rsidP="001D604D">
            <w:pPr>
              <w:spacing w:after="240"/>
              <w:rPr>
                <w:rFonts w:ascii="Times New Roman" w:hAnsi="Times New Roman" w:cs="Times New Roman"/>
                <w:bCs/>
                <w:sz w:val="22"/>
                <w:szCs w:val="22"/>
                <w:lang w:val="en-GB"/>
              </w:rPr>
            </w:pPr>
            <w:r w:rsidRPr="001334D1">
              <w:rPr>
                <w:rFonts w:ascii="Times New Roman" w:hAnsi="Times New Roman" w:cs="Times New Roman"/>
                <w:bCs/>
                <w:sz w:val="22"/>
                <w:szCs w:val="22"/>
                <w:lang w:val="en-GB"/>
              </w:rPr>
              <w:t>Governance Arrangements</w:t>
            </w:r>
          </w:p>
          <w:p w:rsidR="00856527" w:rsidRPr="001334D1" w:rsidRDefault="00856527" w:rsidP="001D604D">
            <w:pPr>
              <w:spacing w:after="240"/>
              <w:rPr>
                <w:rFonts w:ascii="Times New Roman" w:hAnsi="Times New Roman" w:cs="Times New Roman"/>
                <w:bCs/>
                <w:sz w:val="22"/>
                <w:szCs w:val="22"/>
                <w:lang w:val="en-GB"/>
              </w:rPr>
            </w:pPr>
            <w:r w:rsidRPr="001334D1">
              <w:rPr>
                <w:rFonts w:ascii="Times New Roman" w:hAnsi="Times New Roman" w:cs="Times New Roman"/>
                <w:bCs/>
                <w:sz w:val="22"/>
                <w:szCs w:val="22"/>
                <w:lang w:val="en-GB"/>
              </w:rPr>
              <w:t>Rules or processes that affect the way in which powers are exercised, particularly with regard to authority, accountability, openness, participation, and coherence</w:t>
            </w:r>
          </w:p>
        </w:tc>
        <w:tc>
          <w:tcPr>
            <w:tcW w:w="567" w:type="dxa"/>
            <w:vAlign w:val="center"/>
          </w:tcPr>
          <w:p w:rsidR="00856527" w:rsidRPr="001334D1" w:rsidRDefault="00856527" w:rsidP="00856527">
            <w:pPr>
              <w:spacing w:after="240"/>
              <w:jc w:val="center"/>
              <w:rPr>
                <w:rFonts w:ascii="Times New Roman" w:hAnsi="Times New Roman" w:cs="Times New Roman"/>
                <w:bCs/>
                <w:sz w:val="22"/>
                <w:szCs w:val="22"/>
                <w:lang w:val="en-GB"/>
              </w:rPr>
            </w:pPr>
            <w:r w:rsidRPr="001334D1">
              <w:rPr>
                <w:rFonts w:ascii="Times New Roman" w:hAnsi="Times New Roman" w:cs="Times New Roman"/>
                <w:bCs/>
                <w:sz w:val="22"/>
                <w:szCs w:val="22"/>
                <w:lang w:val="en-GB"/>
              </w:rPr>
              <w:t>21</w:t>
            </w:r>
          </w:p>
        </w:tc>
        <w:tc>
          <w:tcPr>
            <w:tcW w:w="4395" w:type="dxa"/>
            <w:vAlign w:val="center"/>
          </w:tcPr>
          <w:p w:rsidR="00856527" w:rsidRPr="001334D1" w:rsidRDefault="00856527" w:rsidP="001D604D">
            <w:pPr>
              <w:spacing w:after="240"/>
              <w:rPr>
                <w:rFonts w:ascii="Times New Roman" w:hAnsi="Times New Roman" w:cs="Times New Roman"/>
                <w:bCs/>
                <w:sz w:val="22"/>
                <w:szCs w:val="22"/>
                <w:lang w:val="en-GB"/>
              </w:rPr>
            </w:pPr>
            <w:r w:rsidRPr="001334D1">
              <w:rPr>
                <w:rFonts w:ascii="Times New Roman" w:hAnsi="Times New Roman" w:cs="Times New Roman"/>
                <w:sz w:val="22"/>
                <w:szCs w:val="22"/>
                <w:lang w:val="en-US"/>
              </w:rPr>
              <w:t>Prescribing recommendations/guidelines or changes to prescription drugs lists</w:t>
            </w:r>
            <w:r w:rsidRPr="001334D1">
              <w:rPr>
                <w:rFonts w:ascii="Times New Roman" w:hAnsi="Times New Roman" w:cs="Times New Roman"/>
                <w:sz w:val="22"/>
                <w:szCs w:val="22"/>
                <w:lang w:val="en-US"/>
              </w:rPr>
              <w:fldChar w:fldCharType="begin"/>
            </w:r>
            <w:r w:rsidRPr="001334D1">
              <w:rPr>
                <w:rFonts w:ascii="Times New Roman" w:hAnsi="Times New Roman" w:cs="Times New Roman"/>
                <w:sz w:val="22"/>
                <w:szCs w:val="22"/>
                <w:lang w:val="en-US"/>
              </w:rPr>
              <w:instrText xml:space="preserve"> ADDIN ZOTERO_ITEM CSL_CITATION {"citationID":"Kw8HD5Gn","properties":{"formattedCitation":"\\super 85\\uc0\\u8211{}93\\nosupersub{}","plainCitation":"85–93","noteIndex":0},"citationItems":[{"id":4569,"uris":["http://zotero.org/users/1650834/items/USG2WH9F"],"uri":["http://zotero.org/users/1650834/items/USG2WH9F"],"itemData":{"id":4569,"type":"article-journal","title":"Spillover Effect of Evidence-Based Postoperative Opioid Prescribing","container-title":"Journal of the American College of Surgeons","page":"374-381","volume":"227","issue":"3","source":"PubMed","abstract":"BACKGROUND: Opioid prescribing after operations is often excessive, resulting in leftover pills in the community available for diversion. Procedure-specific postoperative prescribing guidelines can reduce excessive prescribing, however, it is unclear whether such guidelines are associated with reductions in opioid prescribing for other procedures.\nSTUDY DESIGN: A retrospective chart review was conducted for patients undergoing laparoscopic appendectomy, laparoscopic inguinal hernia repair, laparoscopic sleeve gastrectomy, and thyroidectomy/parathyroidectomy between January 1, 2016 and August 31, 2017. Postoperative opioid prescription size (in oral morphine equivalents [OME]) was compared before and after November 1, 2016, when prescribing guidelines were introduced for laparoscopic cholecystectomy. An interrupted time series analysis was conducted to evaluate changes in opioid prescribing after this intervention.\nRESULTS: A total of 1,158 patients were included in the cohort (558 pre-intervention, 600 post-intervention). Opioid prescription size was significantly reduced for laparoscopic sleeve gastrectomy (447.6 ± 74.3 OME vs 291.9 ± 104.3 OME; p &lt; 0.001), laparoscopic appendectomy (173.7 ± 101.6 OME vs 85.8 ± 52.7 OME; p &lt; 0.001), laparoscopic inguinal hernia repair (185.0 ± 101.8 OME vs 107.9 ± 57.9 OME; p &lt; 0.001), and thyroidectomy/parathyroidectomy (81.5 ± 52.8 OME vs 42.6 ± 22.5 OME; p &lt; 0.001). Interrupted time series analysis revealed that this reduction was attributable to intervention for laparoscopic sleeve gastrectomy (-24.5 ± 5.3 OME; p = 0.001), laparoscopic appendectomy (-50.2 ± 28.7 OME; p = 0.04), and thyroidectomy/parathyroidectomy (-28.8 ± 9.4 OME; p = 0.001). For laparoscopic inguinal hernia repair, the immediate decrease in prescription size was not statistically significant (-38.8 ± 33.1 OME; p = 0.24). There was a significant increase in requests for refills after laparoscopic appendectomy (0.8% vs 6.6%; p = 0.01) but not for other procedures.\nCONCLUSIONS: After implementing evidence-based opioid prescribing recommendations for a single surgical procedure, opioid prescribing decreased for 4 other surgical procedures. Requests for refills did not increase substantially. This spillover effect demonstrates the potential impact of raising awareness about safe and appropriate opioid prescribing after operations.","DOI":"10.1016/j.jamcollsurg.2018.06.007","ISSN":"1879-1190","note":"PMID: 30056059\nPMCID: PMC7092645","language":"eng","author":[{"family":"Howard","given":"Ryan"},{"family":"Alameddine","given":"Mitchell"},{"family":"Klueh","given":"Michael"},{"family":"Englesbe","given":"Michael"},{"family":"Brummett","given":"Chad"},{"family":"Waljee","given":"Jennifer"},{"family":"Lee","given":"Jay"}],"issued":{"date-parts":[["2018"]]}}},{"id":4575,"uris":["http://zotero.org/users/1650834/items/Y533G6JD"],"uri":["http://zotero.org/users/1650834/items/Y533G6JD"],"itemData":{"id":4575,"type":"article-journal","title":"Mandatory Access Prescription Drug Monitoring Programs and Prescription Drug Abuse","container-title":"Journal of Policy Analysis and Management","page":"181-209","volume":"38","issue":"1","source":"Wiley Online Library","abstract":"Despite the significant cost of prescription (Rx) drug abuse and calls from policymakers for effective interventions, there is limited research on the effects of policies intended to limit such abuse. This study estimates the effects of prescription drug monitoring (PDMP) programs, which constitute a key policy targeting access to non-medical use of Rx drugs. Based on objective indicators of abuse as measured by substance abuse treatment admissions and mortality related to Rx drugs, estimates do not suggest any substantial effects of instituting an operational PDMP. We find, however, that mandatory-access provisions, which raised PDMP utilization rates by actually requiring providers to query the PDMP prior to prescribing a controlled drug, are significantly associated with a reduction in Rx drug abuse. The effects are driven primarily by a reduction in opioid abuse, generally strongest among young adults (ages 18 to 24), and underscore important dynamics in the policy response. Robustness checks are consistent with a causal interpretation of these effects. We also assess potential spillovers of mandatory PDMPs on the use of other illicit drugs and find a complementary reduction in admissions related to cocaine and marijuana abuse.","DOI":"10.1002/pam.22098","ISSN":"1520-6688","language":"en","author":[{"family":"Grecu","given":"Anca M."},{"family":"Dave","given":"Dhaval M."},{"family":"Saffer","given":"Henry"}],"issued":{"date-parts":[["2019"]]}}},{"id":4583,"uris":["http://zotero.org/users/1650834/items/Z5D93VQU"],"uri":["http://zotero.org/users/1650834/items/Z5D93VQU"],"itemData":{"id":4583,"type":"article-journal","title":"Analyses of direct and indirect impacts of a positive list system on pharmaceutical R&amp;D investments","container-title":"Clinical Therapeutics","page":"941-949","volume":"35","issue":"7","source":"PubMed","abstract":"BACKGROUND: The South Korean government recently enacted a Positive List System (PLS) as a major change of the national formulary listing system and reimbursed prices for pharmaceutical products. Regardless of the primary goal of the PLS, its implementation might have spillover effects by influencing the pharmaceutical industry's research and development (R&amp;D), potentially leading to a variety of responses by firms in relation to their R&amp;D activities.\nOBJECTIVE: We investigated the spillover effect of the PLS on R&amp;D investments of the pharmaceutical industry in Korea through both direct and indirect channels, examining the influence of the PLS on sales profit and cash flow.\nMETHODS: Data from 9 years (5 before and 4 after PLS implementation) were drawn from the financial statements of firms whose stocks were exchanged in 2 official stock markets in Korea (526 firms) and additional pharmaceutical firms whose financial performance was officially audited by external reviewers (263 firms). Longitudinal analyses were conducted, using the panel nature of the data to control for permanent unobserved firm heterogeneity.\nRESULTS: Our results showed that the PLS was directly associated with R&amp;D investments. In contrast, its indirect impacts stemming from the influence on sales profit and cash flow were minimal and statistically nonsignificant. The gross impact of the PLS on R&amp;D investments increased moving further from the enactment year; R&amp;D investments were reduced by 18.3% to 25.8% in 2009-2010 (compared with before PLS implementation) in the firm fixed-effects model. We also found that such negative direct and gross impacts of the PLS on R&amp;D investments were significant only in firms without newly developed chemical entities.\nCONCLUSION: Considering the gross negative impact of the PLS on R&amp;D investments of pharmaceutical firms and the heterogeneous response of these firms by the R&amp;D activities, governmental efforts of cost-containment may need to consider the spillover impact of the PLS on pharmaceutical innovation.","DOI":"10.1016/j.clinthera.2013.05.002","ISSN":"1879-114X","note":"PMID: 23806327","language":"eng","author":[{"family":"Han","given":"Euna"},{"family":"Kim","given":"Tae Hyun"},{"family":"Jeung","given":"Myung Jin"},{"family":"Lee","given":"Eui-Kyung"}],"issued":{"date-parts":[["2013",7]]}}},{"id":4585,"uris":["http://zotero.org/users/1650834/items/ECMAV8Q9"],"uri":["http://zotero.org/users/1650834/items/ECMAV8Q9"],"itemData":{"id":4585,"type":"article-journal","title":"Pharmaceutical advertising and Medicare Part D","container-title":"Journal of Health Economics","page":"1356-1367","volume":"32","issue":"6","source":"PubMed","abstract":"We explore how and to what extent prescription drug insurance expansions affect incentives for pharmaceutical advertising. When insurance expansions make markets more profitable, firms respond by boosting advertising. Theory suggests this effect will be magnified in the least competitive drug classes, where firms internalize a larger share of the benefits from advertising. Empirically, we find that the implementation of Part D coincides with a 14-19% increase in total advertising expenditures. This effect is indeed concentrated in the least competitive drug classes. The additional advertising raised utilization among non-elderly patients outside the Part D program by about 3.6%. This is roughly half of the direct utilization effect of Part D on elderly beneficiaries. The results suggest the presence of considerable spillover effects from publicly subsidized prescription drug insurance on the utilization and welfare of consumers outside the program.","DOI":"10.1016/j.jhealeco.2013.01.001","ISSN":"1879-1646","note":"PMID: 24308884\nPMCID: PMC3855652","language":"eng","author":[{"family":"Lakdawalla","given":"Darius"},{"family":"Sood","given":"Neeraj"},{"family":"Gu","given":"Qian"}],"issued":{"date-parts":[["2013",12]]}}},{"id":4588,"uris":["http://zotero.org/users/1650834/items/WM5K278I"],"uri":["http://zotero.org/users/1650834/items/WM5K278I"],"itemData":{"id":4588,"type":"article-journal","title":"Positive spillover effects of prescribing requirements: increased cardiac testing in patients treated with trastuzumab for HER2+ metastatic breast cancer","container-title":"Internal Medicine Journal","page":"1229-1235","volume":"42","issue":"11","source":"Wiley Online Library","abstract":"Background Cardiotoxicity is a concern in patients on trastuzumab therapy, and cardiac function assessment is a recommended practice. In 2006, trastuzumab was publically subsidised for human epidermal growth factor receptor-2 early stage breast cancer with a requirement for cardiac testing prior to and during treatment. Aim To investigate the spillover effects of this requirement on testing rates in metastatic patients treated with trastuzumab where no monitoring requirements are applied. Methods We examined cardiac testing (echocardiography or multiple-gated acquisition scan) in 3779 women with metastatic breast cancer receiving trastuzumab between December 2001 and February 2010 and used interrupted time-series analyses to estimate changes in testing rates. The main outcome measures were the proportion of eligible patients, by quarter, receiving a cardiac function test pretreatment and during trastuzumab therapy. Results Only 21% of women had a cardiac function test pretreatment, and 47% were tested at some point during the first year of trastuzumab therapy. The introduction of mandatory cardiac testing for early breast cancer was associated with an immediate 8% increase (95% confidence interval, 2–14%) in pretreatment cardiac testing and an immediate 7% increase (95% confidence interval, 4–10%) in testing during therapy in metastatic patients. Testing rates during therapy increased steadily from early 2005, coinciding with the release of interim results from several trastuzumab trials reporting cardiac-safety outcomes. Conclusion The introduction of mandatory cardiac testing for early stage disease spilled over to the metastatic setting. While deviation from guidelines may be warranted in some cases, this study suggests underutilisation of cardiac testing among patients treated with trastuzumab in the metastatic setting.","DOI":"10.1111/j.1445-5994.2011.02604.x","ISSN":"1445-5994","shortTitle":"Positive spillover effects of prescribing requirements","language":"en","author":[{"family":"Lu","given":"C. Y."},{"family":"Srasuebkul","given":"P."},{"family":"Drew","given":"A. K."},{"family":"Ward","given":"R. L."},{"family":"Pearson","given":"S.-A."}],"issued":{"date-parts":[["2012"]]}}},{"id":4595,"uris":["http://zotero.org/users/1650834/items/BYJ78D77"],"uri":["http://zotero.org/users/1650834/items/BYJ78D77"],"itemData":{"id":4595,"type":"article-journal","title":"Physicians' prescribing responses to a restricted formulary: the impact of Medicaid preferred drug lists in Illinois and Louisiana","container-title":"The American Journal of Managed Care","page":"SP14-20","volume":"11 Spec No","source":"PubMed","abstract":"OBJECTIVE: To determine the extent to which the strictness of the criteria used to control utilization of drugs not on a Medicaid preferred drug list (PDL) changes physician prescribing habits for non-Medicaid patients.\nSTUDY DESIGN: Quasi-experimental design based on different timing of states' enactment of PDLs for cardiovascular medications.\nMETHODS: A regression model was developed to analyze the effect that PDL implementation had on off-PDL product market share across 3 patient types (Medicaid, third-party insurance, and cash paying). The models included data from 2 states (Illinois and Louisiana) with different PDL prior-authorization criteria. The data allowed examination of different physician responses according to the proportion of Medicaid patients treated by the physician. The analysis also followed prescribing patterns longitudinally to determine whether the PDL-induced prescribing behaviors changed over time.\nRESULTS: There was a decrease of 9 percentage points (67.7%) and 6.2 percentage points (40.5%) in the Medicaid prescription share of restricted cardiovascular drugs post-PDL for Illinois and Louisiana, respectively. In the third-party insurance market, prescription shares of off-PDL drugs decreased 0.9 percentage points (6.8%) in Illinois and 1.3 percentage points (8.6%) in Louisiana. For physicians with a high percentage of prescriptions paid for by Medicaid, the share loss for off-PDL drugs was estimated to be more than 37% for the non-Medicaid portion of the practice.\nCONCLUSION: The effects of a Medicaid PDL on prescribing behavior extend beyond the Medicaid population. The health outcomes and economic consequences of these \"spillover\" effects are poorly understood and warrant further research.","ISSN":"1088-0224","note":"PMID: 15700905","shortTitle":"Physicians' prescribing responses to a restricted formulary","language":"eng","author":[{"family":"Virabhak","given":"Suchin"},{"family":"Shinogle","given":"Judith A."}],"issued":{"date-parts":[["2005",1]]}}},{"id":4599,"uris":["http://zotero.org/users/1650834/items/I9IMGNIP"],"uri":["http://zotero.org/users/1650834/items/I9IMGNIP"],"itemData":{"id":4599,"type":"article-journal","title":"Impact of Maine's Medicaid drug formulary change on non-Medicaid markets: spillover effects of a restrictive drug formulary","container-title":"The American Journal of Managed Care","page":"686-696","volume":"9","issue":"10","source":"PubMed","abstract":"BACKGROUND: Market penetration of HMOs affect physician practice styles for non-HMO patients.\nOBJECTIVE: To study the impact of a restrictive Medicaid drug formulary on prescribing patterns for other patients, ie, so-called spillover effects.\nDESIGN: A before-and-after, 3-state comparison study.\nEVENT: On January 1, 2001, Maine's Medicaid program implemented a restrictive drug formulary for the proton pump inhibitor class, with pantoprazole as the only preferred drug.\nMAIN OUTCOME MEASURE: The Medicaid and non-Medicaid market shares of pantoprazole in Maine (vs New Hampshire and Vermont and among Maine physicians with different Medicaid share of practice.\nRESULTS: After 3 months, the market share of pantoprazole in Maine (vs 2 control states) increased 79% among Medicaid prescriptions (vs 1%-2%), 10% among cash prescriptions (vs 3%), and 7% among other third-party payer prescriptions (vs 1%). The market shares increased more among Maine physicians with a higher Medicaid share of practice (high vs middle vs low [market]: 16% vs 8% vs 5% [cash]; 11% vs 5% vs 4% [other third-party payers]). Linear regression results indicate that practicing medicine in Maine leads to a 72% increase in pantoprazole share among Medicaid prescriptions (P &lt; .001). In addition, for each 10% Medicaid share of practice in Maine, the share of pantoprazole increases 1.8% among cash prescriptions (P = .01) and 1.4% among other third-party payer prescriptions (P &lt; .001).\nCONCLUSIONS: Maine's Medicaid drug formulary generated spillover effects in cash and other third-party payer markets, with somewhat stronger effects in the cash market.","ISSN":"1088-0224","note":"PMID: 14572179","shortTitle":"Impact of Maine's Medicaid drug formulary change on non-Medicaid markets","language":"eng","author":[{"family":"Wang","given":"Y. Richard"},{"family":"Pauly","given":"Mark V."},{"family":"Lin","given":"Y. Aileen"}],"issued":{"date-parts":[["2003",10]]}}},{"id":4625,"uris":["http://zotero.org/users/1650834/items/T2X29WKH"],"uri":["http://zotero.org/users/1650834/items/T2X29WKH"],"itemData":{"id":4625,"type":"article-journal","title":"Spillover effects of restrictive drug formularies: a case study of PacifiCare in California","container-title":"The American Journal of Managed Care","page":"24-26","volume":"11","issue":"1","source":"PubMed","abstract":"BACKGROUND: A restrictive drug formulary may influence how physicians treat other, unaffiliated patients, a phenomenon known as the \"spillover effect.\" In a previous study we found significant spillover effects from Maine's Medicaid formulary.\nOBJECTIVE: To determine whether similar spillover effects exist for private insurers with less restrictive formularies and less dominant market presence.\nSTUDY DESIGN: We treated PacifiCare's formulary changes for proton pump inhibitors (PPIs) as a natural experiment and studied whether these changes spilled onto non-PacifiCare patients in California. Rabeprazole and pantoprazole are the newly preferred PPI products.\nMETHODS: We analyzed the physician-level before-and-after changes in prescribing of rabeprazole and pantoprazole for PacifiCare and non-PacifiCare patients. We also estimated the effect of PacifiCare share of practice on spillover effects using linear regressions.\nRESULTS: The number of rabeprazole and pantoprazole prescriptions increased simultaneously for non-PacifiCare patients and the increase was positively associated with PacifiCare share of practice. For non-PacifiCare prescriptions, a 10% increase in PacifiCare share of practice led to a 3.3% share increase for rabeprazole and a 1.6% share increase for pantoprazole, respectively (both P &lt; .001).\nCONCLUSIONS: PacifiCare's PPI formulary changes generated significant spillover effects onto non-PacifiCare patients in California.","ISSN":"1088-0224","note":"PMID: 15697097","shortTitle":"Spillover effects of restrictive drug formularies","language":"eng","author":[{"family":"Wang","given":"Y. Richard"},{"family":"Pauly","given":"Mark V."}],"issued":{"date-parts":[["2005",1]]}}},{"id":4839,"uris":["http://zotero.org/users/1650834/items/JMWR5ELM"],"uri":["http://zotero.org/users/1650834/items/JMWR5ELM"],"itemData":{"id":4839,"type":"article-journal","title":"Spillover Effect of Opioid Reduction Interventions From Adult to Pediatric Surgery","container-title":"Journal of Surgical Research","page":"18-24","volume":"249","source":"ScienceDirect","abstract":"Background\nProcedure-specific prescribing guidelines and trainee education have reduced opioid overprescribing in adult surgical patients, but tailored interventions do not yet exist for children. It is unknown what effect these adult interventions have had on postoperative opioid prescribing in children at the same institution, where trainees rotate across both adult and pediatric services.\nMaterials and methods\nThis retrospective study of patients (&lt;18 y) undergoing pediatric surgery (PS), pediatric otolaryngology (ENT), or pediatric urology (URO) procedures at a single tertiary academic center assessed opioid doses per patient before (January 01, 2015 to September 30, 2016) and after (January 01, 2017 to March 31, 2018) opioid prescribing guidelines and trainee education were instituted for adult laparoscopic cholecystectomy. Patient demographics, postoperative opioid prescribing, opioid refills, and emergency department (ED) visits &lt;21 d after surgery were compared using chi-squared analyses and t-tests. Interrupted time-series analyses (ITSA) assessed changes in the rate of opioid prescribing pre- and postintervention for each subspecialty.\nResults\nThere were 3371 patients preintervention and 2439 patients postintervention. After the intervention, fewer patients were prescribed opioids (ENT: 97% versus 93%, P &lt; 0.001; URO: 98% versus 94%, P &lt; 0.001; PS: 61% versus 25%, P &lt; 0.001) and fewer opioid doses were prescribed in each prescription (ENT: 63.8 ± 26.1 versus 50.8 ± 22.0 doses, P &lt; 0.001; URO: 33.5 ± 23.4 versus 22.1 ± 11.3, P &lt; 0.001; PS: 20.4 ± 12.8 versus 13.8 ± 11.4 doses, P &lt; 0.001). There were no changes in opioid refill or ED visit rates postintervention. A decreasing rate in ENT prescribing was seen preintervention, with no significant change postintervention (−2.3 ± 1.1 versus −3.3 ± 0.7; P = 0.24). Whereas, the rate of decrease in PS and URO prescribing significantly slowed postintervention (PS: −2.0 ± 0.1 versus −0.9 ± 0.1, P &lt; 0.001; URO: −4.2 ± 0.2 versus −2.3 ± 0.5, P = 0.005).\nConclusions\nOpioid prescribing rates are decreasing, but adult interventions did not achieve reductions in pediatric opioid prescribing at the same institution. There was no concomitant rise in postoperative ED visits or opioid refills as prescribing declined, indicating that the risks of reducing opioid prescriptions may be minimal. Development of evidence-based, procedure-specific prescribing guidelines that specifically address pediatric patients are needed to effectively minimize opioid overprescribing in this population.","DOI":"10.1016/j.jss.2019.11.021","ISSN":"0022-4804","journalAbbreviation":"Journal of Surgical Research","language":"en","author":[{"family":"McGee","given":"Lauren M."},{"family":"Kolli","given":"Ajay"},{"family":"Harbaugh","given":"Calista M."},{"family":"Howard","given":"Ryan A."},{"family":"Englesbe","given":"Michael J."},{"family":"Brummett","given":"Chad M."},{"family":"Waljee","given":"Jennifer F."},{"family":"Gadepalli","given":"Samir K."}],"issued":{"date-parts":[["2020",5,1]]}}}],"schema":"https://github.com/citation-style-language/schema/raw/master/csl-citation.json"} </w:instrText>
            </w:r>
            <w:r w:rsidRPr="001334D1">
              <w:rPr>
                <w:rFonts w:ascii="Times New Roman" w:hAnsi="Times New Roman" w:cs="Times New Roman"/>
                <w:sz w:val="22"/>
                <w:szCs w:val="22"/>
                <w:lang w:val="en-US"/>
              </w:rPr>
              <w:fldChar w:fldCharType="separate"/>
            </w:r>
            <w:r w:rsidRPr="001334D1">
              <w:rPr>
                <w:rFonts w:ascii="Times New Roman" w:hAnsi="Times New Roman" w:cs="Times New Roman"/>
                <w:sz w:val="22"/>
                <w:szCs w:val="22"/>
                <w:vertAlign w:val="superscript"/>
              </w:rPr>
              <w:t>85–93</w:t>
            </w:r>
            <w:r w:rsidRPr="001334D1">
              <w:rPr>
                <w:rFonts w:ascii="Times New Roman" w:hAnsi="Times New Roman" w:cs="Times New Roman"/>
                <w:sz w:val="22"/>
                <w:szCs w:val="22"/>
                <w:lang w:val="en-US"/>
              </w:rPr>
              <w:fldChar w:fldCharType="end"/>
            </w:r>
            <w:r w:rsidRPr="001334D1">
              <w:rPr>
                <w:rFonts w:ascii="Times New Roman" w:hAnsi="Times New Roman" w:cs="Times New Roman"/>
                <w:sz w:val="22"/>
                <w:szCs w:val="22"/>
                <w:lang w:val="en-US"/>
              </w:rPr>
              <w:t>, Extended access to treatment</w:t>
            </w:r>
            <w:r w:rsidRPr="001334D1">
              <w:rPr>
                <w:rFonts w:ascii="Times New Roman" w:hAnsi="Times New Roman" w:cs="Times New Roman"/>
                <w:sz w:val="22"/>
                <w:szCs w:val="22"/>
                <w:lang w:val="en-US"/>
              </w:rPr>
              <w:fldChar w:fldCharType="begin"/>
            </w:r>
            <w:r w:rsidRPr="001334D1">
              <w:rPr>
                <w:rFonts w:ascii="Times New Roman" w:hAnsi="Times New Roman" w:cs="Times New Roman"/>
                <w:sz w:val="22"/>
                <w:szCs w:val="22"/>
                <w:lang w:val="en-US"/>
              </w:rPr>
              <w:instrText xml:space="preserve"> ADDIN ZOTERO_ITEM CSL_CITATION {"citationID":"VwjlFLGC","properties":{"formattedCitation":"\\super 94\\uc0\\u8211{}96\\nosupersub{}","plainCitation":"94–96","noteIndex":0},"citationItems":[{"id":4572,"uris":["http://zotero.org/users/1650834/items/VGMG2DVY"],"uri":["http://zotero.org/users/1650834/items/VGMG2DVY"],"itemData":{"id":4572,"type":"article-journal","title":"Impacts of a Brazilian pharmaceutical program on the health of chronic patients","container-title":"Revista de Saúde Pública","volume":"53","source":"SciELO","URL":"http://www.scielo.br/scielo.php?script=sci_abstract&amp;pid=S0034-89102019000100217&amp;lng=en&amp;nrm=iso&amp;tlng=en","DOI":"10.11606/s1518-8787.2019053000733","ISSN":"0034-8910","language":"en","author":[{"family":"Almeida","given":"Aléssio Tony Cavalcanti","dropping-particle":"de"},{"family":"Sá","given":"Edvaldo Batista","dropping-particle":"de"},{"family":"Vieira","given":"Fabiola Sulpino"},{"family":"Benevides","given":"Rodrigo Pucci de Sá","dropping-particle":"e"},{"family":"Almeida","given":"Aléssio Tony Cavalcanti","dropping-particle":"de"},{"family":"Sá","given":"Edvaldo Batista","dropping-particle":"de"},{"family":"Vieira","given":"Fabiola Sulpino"},{"family":"Benevides","given":"Rodrigo Pucci de Sá","dropping-particle":"e"}],"issued":{"date-parts":[["2019"]]},"accessed":{"date-parts":[["2020",10,8]]}}},{"id":4580,"uris":["http://zotero.org/users/1650834/items/YQX86TNW"],"uri":["http://zotero.org/users/1650834/items/YQX86TNW"],"itemData":{"id":4580,"type":"article-journal","title":"Suicide and Organ Donors: Spillover Effects of Mental Health Insurance Mandates","container-title":"Health Economics","page":"491-497","volume":"24","issue":"4","source":"Wiley Online Library","abstract":"This paper considers the effect of mental health insurance mandates on the supply of cadaveric donors. We find that enacting a mental health mandate decreases the count of organ donors from suicides and results are driven by female donors. Using a number of empirical specifications, we calculate that the mental health parity laws are responsible for an approximately 0.52% decrease in cadaveric donors. Additional regression results show that the mandates are not related to other types of organ donations, ruling out the possibility that the mandates are related to an overall trend in the supply of organ donations. The findings suggest that future policies aimed at reducing suicide in a large and significant way can potentially increase the inefficiency that currently exists in the organ donor market. Copyright © 2014 John Wiley &amp; Sons, Ltd.","DOI":"10.1002/hec.3037","ISSN":"1099-1050","shortTitle":"Suicide and Organ Donors","language":"en","author":[{"family":"Fernandez","given":"Jose"},{"family":"Lang","given":"Matthew"}],"issued":{"date-parts":[["2015"]]}}},{"id":3832,"uris":["http://zotero.org/users/1650834/items/8LKN53US"],"uri":["http://zotero.org/users/1650834/items/8LKN53US"],"itemData":{"id":3832,"type":"article-journal","title":"Spillover effects of benefit expansions and carve-outs on psychotropic medication use and costs","container-title":"Inquiry","page":"86-97","volume":"42","issue":"1","source":"Ovid MEDLINE(R)","note":"PMID: 16013588","author":[{"family":"Zuvekas","given":"Samuel H."},{"family":"Rupp","given":"Agnes E."},{"family":"Norquist","given":"Grayson S."}],"issued":{"date-parts":[["2005"]]}}}],"schema":"https://github.com/citation-style-language/schema/raw/master/csl-citation.json"} </w:instrText>
            </w:r>
            <w:r w:rsidRPr="001334D1">
              <w:rPr>
                <w:rFonts w:ascii="Times New Roman" w:hAnsi="Times New Roman" w:cs="Times New Roman"/>
                <w:sz w:val="22"/>
                <w:szCs w:val="22"/>
                <w:lang w:val="en-US"/>
              </w:rPr>
              <w:fldChar w:fldCharType="separate"/>
            </w:r>
            <w:r w:rsidRPr="001334D1">
              <w:rPr>
                <w:rFonts w:ascii="Times New Roman" w:hAnsi="Times New Roman" w:cs="Times New Roman"/>
                <w:sz w:val="22"/>
                <w:szCs w:val="22"/>
                <w:vertAlign w:val="superscript"/>
              </w:rPr>
              <w:t>94–96</w:t>
            </w:r>
            <w:r w:rsidRPr="001334D1">
              <w:rPr>
                <w:rFonts w:ascii="Times New Roman" w:hAnsi="Times New Roman" w:cs="Times New Roman"/>
                <w:sz w:val="22"/>
                <w:szCs w:val="22"/>
                <w:lang w:val="en-US"/>
              </w:rPr>
              <w:fldChar w:fldCharType="end"/>
            </w:r>
            <w:r w:rsidRPr="001334D1">
              <w:rPr>
                <w:rFonts w:ascii="Times New Roman" w:hAnsi="Times New Roman" w:cs="Times New Roman"/>
                <w:sz w:val="22"/>
                <w:szCs w:val="22"/>
                <w:lang w:val="en-US"/>
              </w:rPr>
              <w:t>, Gatekeeping/Managed care</w:t>
            </w:r>
            <w:r w:rsidRPr="001334D1">
              <w:rPr>
                <w:rFonts w:ascii="Times New Roman" w:hAnsi="Times New Roman" w:cs="Times New Roman"/>
                <w:sz w:val="22"/>
                <w:szCs w:val="22"/>
                <w:lang w:val="en-US"/>
              </w:rPr>
              <w:fldChar w:fldCharType="begin"/>
            </w:r>
            <w:r w:rsidRPr="001334D1">
              <w:rPr>
                <w:rFonts w:ascii="Times New Roman" w:hAnsi="Times New Roman" w:cs="Times New Roman"/>
                <w:sz w:val="22"/>
                <w:szCs w:val="22"/>
                <w:lang w:val="en-US"/>
              </w:rPr>
              <w:instrText xml:space="preserve"> ADDIN ZOTERO_ITEM CSL_CITATION {"citationID":"1MtFloW3","properties":{"formattedCitation":"\\super 97,98\\nosupersub{}","plainCitation":"97,98","noteIndex":0},"citationItems":[{"id":4603,"uris":["http://zotero.org/users/1650834/items/V9YD5CBJ"],"uri":["http://zotero.org/users/1650834/items/V9YD5CBJ"],"itemData":{"id":4603,"type":"article-journal","title":"Effects of Tennessee Medicaid Managed Care on Obstetrical Care and Birth Outcomes","container-title":"Journal of Health Politics, Policy and Law","page":"1291-1324","volume":"26","issue":"6","source":"Project MUSE","abstract":", \nA comparative study was conducted in two neighboring states, \nTennessee and North Carolina, to determine whether Medicaid managed care\n(implemented in Tennessee as TennCare) affected prenatal care, care\npatterns at labor-delivery, and birth outcomes. A pre- and post-design\ncoupled with a difference-in-\ndifference approach--using North Carolina as a control--was used to\nassess TennCare's effects for all births and for three categories of\nhigh-risk mothers (under age eighteen, unwed, or living in high poverty\nareas). Data from 328,296 singleton births in birth files and matched\nbirth-death files for 1993 and 1995 in both states were used to analyze\na number of variables related to maternal behavior during pregnancy,\nutilization of care before and after labor-delivery, patterns of\nobstetrical care at delivery, and birth outcomes.\n, \nUnder TennCare, Tennessee mothers were relatively more likely to\nobtain no prenatal care or to wait and initiate third trimester care as\ncompared to those in North Carolina. Relative utilization of specific\nprenatal procedures declined, Apgar scores fell very slightly, and\nbirth abnormalities increased in the poverty subsample. TennCare had\nno significant effect on infant mortality. Utilization reductions\nin obstetrical services were achieved with apparent spillovers to\nnon-TennCare births, but without adverse effects overall. TennCare\nwas neither a panacea nor an unmitigated disaster. It is a model worth\nexamining, but not uncritically.","ISSN":"1527-1927","language":"en","author":[{"family":"Conover","given":"Christopher J."},{"family":"Rankin","given":"Peter J."},{"family":"Sloan","given":"Frank A."}],"issued":{"date-parts":[["2001",12,1]]}}},{"id":4577,"uris":["http://zotero.org/users/1650834/items/83F84FP7"],"uri":["http://zotero.org/users/1650834/items/83F84FP7"],"itemData":{"id":4577,"type":"article-journal","title":"Gatekeeping and the utilization of physician services in France: Evidence on the Médecin traitant reform","container-title":"Health Policy","page":"675-682","volume":"121","issue":"6","source":"ScienceDirect","abstract":"In 2005, France implemented a gatekeeping reform designed to improve care coordination and to reduce utilization of specialists’ services. Under this policy, patients designate a médecin traitant, typically a general practitioner, who will be their first point of contact during an episode of care and who will provide referrals to specialists. A key element of the policy is that patients who self-refer to a specialist face higher cost sharing than if they received a referral from their médecin traitant. We consider the effect of this policy on the utilization of physician services. Our analysis of administrative claims data spanning the years 2000–2008 indicates that visits to specialists, which were increasing in the years prior to the implementation of the reform, fell after the policy was in place. Additional evidence from the administrative claims as well as survey data suggest that this decline arose from a reduction in self-referrals, which is consistent with the objectives of the policy. Visits fell significantly both for specialties targeted by the policy and specialties for which self-referrals are still allowed for certain treatments. This apparent spillover effect may suggest that, at least initially, patients did not understand the subtleties of the policy.","DOI":"10.1016/j.healthpol.2017.04.006","ISSN":"0168-8510","shortTitle":"Gatekeeping and the utilization of physician services in France","journalAbbreviation":"Health Policy","language":"en","author":[{"family":"Dumontet","given":"Magali"},{"family":"Buchmueller","given":"Thomas"},{"family":"Dourgnon","given":"Paul"},{"family":"Jusot","given":"Florence"},{"family":"Wittwer","given":"Jérôme"}],"issued":{"date-parts":[["2017",6,1]]}}}],"schema":"https://github.com/citation-style-language/schema/raw/master/csl-citation.json"} </w:instrText>
            </w:r>
            <w:r w:rsidRPr="001334D1">
              <w:rPr>
                <w:rFonts w:ascii="Times New Roman" w:hAnsi="Times New Roman" w:cs="Times New Roman"/>
                <w:sz w:val="22"/>
                <w:szCs w:val="22"/>
                <w:lang w:val="en-US"/>
              </w:rPr>
              <w:fldChar w:fldCharType="separate"/>
            </w:r>
            <w:r w:rsidRPr="001334D1">
              <w:rPr>
                <w:rFonts w:ascii="Times New Roman" w:hAnsi="Times New Roman" w:cs="Times New Roman"/>
                <w:sz w:val="22"/>
                <w:szCs w:val="22"/>
                <w:vertAlign w:val="superscript"/>
              </w:rPr>
              <w:t>97,98</w:t>
            </w:r>
            <w:r w:rsidRPr="001334D1">
              <w:rPr>
                <w:rFonts w:ascii="Times New Roman" w:hAnsi="Times New Roman" w:cs="Times New Roman"/>
                <w:sz w:val="22"/>
                <w:szCs w:val="22"/>
                <w:lang w:val="en-US"/>
              </w:rPr>
              <w:fldChar w:fldCharType="end"/>
            </w:r>
            <w:r w:rsidRPr="001334D1">
              <w:rPr>
                <w:rFonts w:ascii="Times New Roman" w:hAnsi="Times New Roman" w:cs="Times New Roman"/>
                <w:sz w:val="22"/>
                <w:szCs w:val="22"/>
                <w:lang w:val="en-US"/>
              </w:rPr>
              <w:t>, Public reporting of hospital output/quality information</w:t>
            </w:r>
            <w:r w:rsidRPr="001334D1">
              <w:rPr>
                <w:rFonts w:ascii="Times New Roman" w:hAnsi="Times New Roman" w:cs="Times New Roman"/>
                <w:sz w:val="22"/>
                <w:szCs w:val="22"/>
                <w:lang w:val="en-US"/>
              </w:rPr>
              <w:fldChar w:fldCharType="begin"/>
            </w:r>
            <w:r w:rsidRPr="001334D1">
              <w:rPr>
                <w:rFonts w:ascii="Times New Roman" w:hAnsi="Times New Roman" w:cs="Times New Roman"/>
                <w:sz w:val="22"/>
                <w:szCs w:val="22"/>
                <w:lang w:val="en-US"/>
              </w:rPr>
              <w:instrText xml:space="preserve"> ADDIN ZOTERO_ITEM CSL_CITATION {"citationID":"cx1eIFsk","properties":{"formattedCitation":"\\super 99,100\\nosupersub{}","plainCitation":"99,100","noteIndex":0},"citationItems":[{"id":4361,"uris":["http://zotero.org/users/1650834/items/CLJ86M5I"],"uri":["http://zotero.org/users/1650834/items/CLJ86M5I"],"itemData":{"id":4361,"type":"article-journal","title":"Effect of Public Reporting on the Utilization of Coronary Angiography After Out-of-Hospital Cardiac Arrest","container-title":"Circulation: Cardiovascular Interventions","page":"e007564","volume":"12","issue":"4","source":"ahajournals.org (Atypon)","abstract":"Background:Public reporting of cardiovascular outcomes has been associated with risk aversion for potentially lifesaving procedures and may have spillover effects on nonreported but related procedures.Methods and Results:A cross-sectional analysis of the utilization of coronary angiography among patients presenting with out-of-hospital cardiac arrest between 2005 and 2011 in states with public reporting of percutaneous coronary intervention outcomes (New York and Massachusetts) versus neighboring states without public reporting of percutaneous coronary intervention outcomes (Delaware, Connecticut, Maine, Vermont, Maryland, and Rhode Island) was performed using the Nationwide Inpatient Sample. We analyzed 50 125 admission records with out-of-hospital cardiac arrest between 2005 and 2011. The unadjusted rate of coronary angiography for patients presenting with out-of-hospital cardiac arrest in states with public reporting versus without public reporting was not different (20.8% versus 22.8%, P=0.35). We found no statistically significant difference in the adjusted likelihood of coronary angiography in states with public reporting, though the point estimate suggested decreased utilization (odds ratio, 0.84; 95% CI, 0.66–1.06; P=0.14). There was no difference in the adjusted likelihood of in-hospital mortality for patients presenting with out-of-hospital cardiac arrest in states with public reporting compared to states without public reporting (odds ratio, 0.98; 95% CI, 0.78–1.23; P=0.88).Conclusions:Public reporting of percutaneous coronary intervention outcomes was associated with a nonstatistically significant reduction in the utilization of diagnostic coronary angiography, a nonreported but related procedure, for patients with out-of-hospital cardiac arrest.","DOI":"10.1161/CIRCINTERVENTIONS.118.007564","journalAbbreviation":"Circulation: Cardiovascular Interventions","author":[{"literal":"Nathan Ashwin S."},{"literal":"Shah Rohan M."},{"literal":"Khatana Sameed A."},{"literal":"Dayoub Elias"},{"literal":"Chatterjee Paula"},{"literal":"Desai Nimesh D."},{"literal":"Waldo Stephen W."},{"literal":"Yeh Robert W."},{"literal":"Groeneveld Peter W."},{"literal":"Giri Jay"}],"issued":{"date-parts":[["2019",4,1]]}}},{"id":4364,"uris":["http://zotero.org/users/1650834/items/AZGHDQSW"],"uri":["http://zotero.org/users/1650834/items/AZGHDQSW"],"itemData":{"id":4364,"type":"article-journal","title":"Quality information disclosure and health insurance demand: evidence from VA hospital report cards","container-title":"International Journal of Health Economics and Management","page":"177-199","volume":"20","issue":"2","source":"Springer Link","abstract":"This study examines the effect of public reporting of quality information on the demand for public insurance. In particular, we examine the effect of the introduction of Veterans Affairs (VA) hospital quality report cards in 2008. Using data from the Current Population Survey in 2005–2015, we find that new information about the quality of a VA hospital had a significant effect on VA coverage among veterans living in the same Metropolitan Statistical Area (MSA). Despite the significant effect on VA coverage, the quality report did not have a spillover effect on veterans’ labor supply. Moreover, updated quality information released in later years, which was presented in a less straightforward form, led to no additional changes in VA coverage. These findings suggest that quality reports for public insurance programs can be used as a policy lever to facilitate take up decision among potential beneficiaries.","DOI":"10.1007/s10754-019-09276-9","ISSN":"2199-9031","shortTitle":"Quality information disclosure and health insurance demand","journalAbbreviation":"Int J Health Econ Manag.","language":"en","author":[{"family":"Li","given":"Xiaoxue"}],"issued":{"date-parts":[["2020",6,1]]}}}],"schema":"https://github.com/citation-style-language/schema/raw/master/csl-citation.json"} </w:instrText>
            </w:r>
            <w:r w:rsidRPr="001334D1">
              <w:rPr>
                <w:rFonts w:ascii="Times New Roman" w:hAnsi="Times New Roman" w:cs="Times New Roman"/>
                <w:sz w:val="22"/>
                <w:szCs w:val="22"/>
                <w:lang w:val="en-US"/>
              </w:rPr>
              <w:fldChar w:fldCharType="separate"/>
            </w:r>
            <w:r w:rsidRPr="001334D1">
              <w:rPr>
                <w:rFonts w:ascii="Times New Roman" w:hAnsi="Times New Roman" w:cs="Times New Roman"/>
                <w:sz w:val="22"/>
                <w:szCs w:val="22"/>
                <w:vertAlign w:val="superscript"/>
              </w:rPr>
              <w:t>99,100</w:t>
            </w:r>
            <w:r w:rsidRPr="001334D1">
              <w:rPr>
                <w:rFonts w:ascii="Times New Roman" w:hAnsi="Times New Roman" w:cs="Times New Roman"/>
                <w:sz w:val="22"/>
                <w:szCs w:val="22"/>
                <w:lang w:val="en-US"/>
              </w:rPr>
              <w:fldChar w:fldCharType="end"/>
            </w:r>
            <w:r w:rsidRPr="001334D1">
              <w:rPr>
                <w:rFonts w:ascii="Times New Roman" w:hAnsi="Times New Roman" w:cs="Times New Roman"/>
                <w:sz w:val="22"/>
                <w:szCs w:val="22"/>
                <w:lang w:val="en-US"/>
              </w:rPr>
              <w:t>, Extended healthcare benefits for specific populations (</w:t>
            </w:r>
            <w:proofErr w:type="spellStart"/>
            <w:r w:rsidRPr="001334D1">
              <w:rPr>
                <w:rFonts w:ascii="Times New Roman" w:hAnsi="Times New Roman" w:cs="Times New Roman"/>
                <w:sz w:val="22"/>
                <w:szCs w:val="22"/>
                <w:lang w:val="en-US"/>
              </w:rPr>
              <w:t>eg</w:t>
            </w:r>
            <w:proofErr w:type="spellEnd"/>
            <w:r w:rsidRPr="001334D1">
              <w:rPr>
                <w:rFonts w:ascii="Times New Roman" w:hAnsi="Times New Roman" w:cs="Times New Roman"/>
                <w:sz w:val="22"/>
                <w:szCs w:val="22"/>
                <w:lang w:val="en-US"/>
              </w:rPr>
              <w:t>. minorities, veterans)</w:t>
            </w:r>
            <w:r w:rsidRPr="001334D1">
              <w:rPr>
                <w:rFonts w:ascii="Times New Roman" w:hAnsi="Times New Roman" w:cs="Times New Roman"/>
                <w:sz w:val="22"/>
                <w:szCs w:val="22"/>
                <w:lang w:val="en-US"/>
              </w:rPr>
              <w:fldChar w:fldCharType="begin"/>
            </w:r>
            <w:r w:rsidRPr="001334D1">
              <w:rPr>
                <w:rFonts w:ascii="Times New Roman" w:hAnsi="Times New Roman" w:cs="Times New Roman"/>
                <w:sz w:val="22"/>
                <w:szCs w:val="22"/>
                <w:lang w:val="en-US"/>
              </w:rPr>
              <w:instrText xml:space="preserve"> ADDIN ZOTERO_ITEM CSL_CITATION {"citationID":"FD2gOikm","properties":{"formattedCitation":"\\super 101\\uc0\\u8211{}105\\nosupersub{}","plainCitation":"101–105","noteIndex":0},"citationItems":[{"id":4378,"uris":["http://zotero.org/users/1650834/items/LTQ3FA2Y"],"uri":["http://zotero.org/users/1650834/items/LTQ3FA2Y"],"itemData":{"id":4378,"type":"article-journal","title":"Spillover Effects of Massachusetts Health Reform on Mental Health Use by VA and Medicare Dual Enrollees","container-title":"Administration and Policy in Mental Health and Mental Health Services Research","page":"145-153","volume":"46","issue":"2","source":"Springer Link","abstract":"Older veterans can obtain care from the Veterans Affairs Health System (VA), Medicare or both. We examined whether their use of mental health care was impacted by capacity effects stemming from younger, uninsured veterans’ enrolling in VA to satisfy the individual mandate within Massachusetts Health Reform (MHR). Using administrative data, we applied a difference-in-difference approach to compare pre-post changes in mental health use following MHR implementation. Findings indicated MHR was associated with increases in use through Medicare and the probability of dual VA-Medicare use. These results provide support for the possibility that limited capacity led to care seeking outside VA.","DOI":"10.1007/s10488-018-0900-z","ISSN":"1573-3289","journalAbbreviation":"Adm Policy Ment Health","language":"en","author":[{"family":"Wong","given":"Edwin S."},{"family":"Maciejewski","given":"Matthew L."},{"family":"Hebert","given":"Paul L."},{"family":"Fortney","given":"John C."},{"family":"Liu","given":"Chuan-Fen"}],"issued":{"date-parts":[["2019"]]}}},{"id":3279,"uris":["http://zotero.org/users/1650834/items/UTC56F9Q"],"uri":["http://zotero.org/users/1650834/items/UTC56F9Q"],"itemData":{"id":3279,"type":"article-journal","title":"Who loses public health insurance when states pass restrictive omnibus immigration-related laws? The moderating role of county Latino density","container-title":"Health &amp; Place","page":"20-28","source":"Ovid MEDLINE(R)","note":"PMID: 30223135","author":[{"family":"Allen","given":"Chenoa D."}],"issued":{"date-parts":[["2018"]]}}},{"id":3356,"uris":["http://zotero.org/users/1650834/items/BS39TIHC"],"uri":["http://zotero.org/users/1650834/items/BS39TIHC"],"itemData":{"id":3356,"type":"article-journal","title":"Spillover effect of Japanese long-term care insurance as an employment promotion policy for family caregivers","container-title":"Journal of Health Economics","page":"103-112","source":"Ovid MEDLINE(R)","note":"PMID: 29040896","author":[{"family":"Fu","given":"Rong"},{"family":"Noguchi","given":"Haruko"},{"family":"Kawamura","given":"Akira"},{"family":"Takahashi","given":"Hideto"},{"family":"Tamiya","given":"Nanako"}],"issued":{"date-parts":[["2017"]]}}},{"id":4402,"uris":["http://zotero.org/users/1650834/items/QZYWFET3"],"uri":["http://zotero.org/users/1650834/items/QZYWFET3"],"itemData":{"id":4402,"type":"article-journal","title":"Spousal labor market effects from government health insurance: Evidence from a veterans affairs expansion","container-title":"Journal of Health Economics","page":"63-76","volume":"45","source":"ScienceDirect","abstract":"Measuring the total impact of health insurance receipt on household labor supply is important in an era of increased access to publicly provided and subsidized insurance. Although government expansion of health insurance to older workers leads to direct labor supply reductions for recipients, there may be spillover effects on the labor supply of uncovered spouses. While the most basic model predicts a decrease in overall household work hours, financial incentives such as credit constraints, target income levels, and the need for own health insurance suggest that spousal labor supply might increase. In contrast, complementarities of spousal leisure would predict a decrease in labor supply for both spouses. Utilizing a mid-1990s expansion of health insurance for U.S. veterans, we provide evidence on the effects of public insurance availability on the labor supply of spouses. Using data from the Current Population Survey and Health and Retirement Study, we employ a difference-in-differences strategy to compare the labor market behavior of the wives of older male veterans and non-veterans before and after the VA health benefits expansion. Although husbands’ labor supply decreases, wives’ labor supply increases, suggesting that financial incentives dominate complementarities of spousal leisure. This effect is strongest for wives with lower education levels and lower levels of household wealth and those who were not previously employed full-time. These findings have implications for government programs such as Medicare and Social Security and the Affordable Care Act.","DOI":"10.1016/j.jhealeco.2015.11.005","ISSN":"0167-6296","shortTitle":"Spousal labor market effects from government health insurance","journalAbbreviation":"Journal of Health Economics","language":"en","author":[{"family":"Boyle","given":"Melissa A."},{"family":"Lahey","given":"Joanna N."}],"issued":{"date-parts":[["2016",1,1]]}}},{"id":3443,"uris":["http://zotero.org/users/1650834/items/FFPJ6EHV"],"uri":["http://zotero.org/users/1650834/items/FFPJ6EHV"],"itemData":{"id":3443,"type":"article-journal","title":"Expedited Medicaid Enrollment, Mental Health Service Use, and Criminal Recidivism Among Released Prisoners With Severe Mental Illness","container-title":"Psychiatric Services","page":"842-849","volume":"67","issue":"8","source":"Ovid MEDLINE(R)","note":"PMID: 26975522","author":[{"family":"Morrissey","given":"Joseph P."},{"family":"Domino","given":"Marisa E."},{"family":"Cuddeback","given":"Gary S."}],"issued":{"date-parts":[["2016"]]}}}],"schema":"https://github.com/citation-style-language/schema/raw/master/csl-citation.json"} </w:instrText>
            </w:r>
            <w:r w:rsidRPr="001334D1">
              <w:rPr>
                <w:rFonts w:ascii="Times New Roman" w:hAnsi="Times New Roman" w:cs="Times New Roman"/>
                <w:sz w:val="22"/>
                <w:szCs w:val="22"/>
                <w:lang w:val="en-US"/>
              </w:rPr>
              <w:fldChar w:fldCharType="separate"/>
            </w:r>
            <w:r w:rsidRPr="001334D1">
              <w:rPr>
                <w:rFonts w:ascii="Times New Roman" w:hAnsi="Times New Roman" w:cs="Times New Roman"/>
                <w:sz w:val="22"/>
                <w:szCs w:val="22"/>
                <w:vertAlign w:val="superscript"/>
                <w:lang w:val="en-GB"/>
              </w:rPr>
              <w:t>101–105</w:t>
            </w:r>
            <w:r w:rsidRPr="001334D1">
              <w:rPr>
                <w:rFonts w:ascii="Times New Roman" w:hAnsi="Times New Roman" w:cs="Times New Roman"/>
                <w:sz w:val="22"/>
                <w:szCs w:val="22"/>
                <w:lang w:val="en-US"/>
              </w:rPr>
              <w:fldChar w:fldCharType="end"/>
            </w:r>
          </w:p>
        </w:tc>
      </w:tr>
      <w:tr w:rsidR="00856527" w:rsidRPr="001334D1" w:rsidTr="00856527">
        <w:tc>
          <w:tcPr>
            <w:tcW w:w="4531" w:type="dxa"/>
            <w:vAlign w:val="center"/>
          </w:tcPr>
          <w:p w:rsidR="00856527" w:rsidRPr="001334D1" w:rsidRDefault="00856527" w:rsidP="001D604D">
            <w:pPr>
              <w:spacing w:after="240"/>
              <w:rPr>
                <w:rFonts w:ascii="Times New Roman" w:hAnsi="Times New Roman" w:cs="Times New Roman"/>
                <w:bCs/>
                <w:sz w:val="22"/>
                <w:szCs w:val="22"/>
                <w:lang w:val="en-GB"/>
              </w:rPr>
            </w:pPr>
            <w:r w:rsidRPr="001334D1">
              <w:rPr>
                <w:rFonts w:ascii="Times New Roman" w:hAnsi="Times New Roman" w:cs="Times New Roman"/>
                <w:bCs/>
                <w:sz w:val="22"/>
                <w:szCs w:val="22"/>
                <w:lang w:val="en-GB"/>
              </w:rPr>
              <w:t>Delivery Arrangements</w:t>
            </w:r>
          </w:p>
          <w:p w:rsidR="00856527" w:rsidRPr="001334D1" w:rsidRDefault="00856527" w:rsidP="001D604D">
            <w:pPr>
              <w:spacing w:after="240"/>
              <w:rPr>
                <w:rFonts w:ascii="Times New Roman" w:hAnsi="Times New Roman" w:cs="Times New Roman"/>
                <w:bCs/>
                <w:sz w:val="22"/>
                <w:szCs w:val="22"/>
                <w:lang w:val="en-GB"/>
              </w:rPr>
            </w:pPr>
            <w:r w:rsidRPr="001334D1">
              <w:rPr>
                <w:rFonts w:ascii="Times New Roman" w:hAnsi="Times New Roman" w:cs="Times New Roman"/>
                <w:bCs/>
                <w:sz w:val="22"/>
                <w:szCs w:val="22"/>
                <w:lang w:val="en-GB"/>
              </w:rPr>
              <w:t>Changes in how, when and where healthcare is organized and delivered, and who delivers healthcare.</w:t>
            </w:r>
          </w:p>
        </w:tc>
        <w:tc>
          <w:tcPr>
            <w:tcW w:w="567" w:type="dxa"/>
            <w:vAlign w:val="center"/>
          </w:tcPr>
          <w:p w:rsidR="00856527" w:rsidRPr="001334D1" w:rsidRDefault="00856527" w:rsidP="00856527">
            <w:pPr>
              <w:jc w:val="center"/>
              <w:rPr>
                <w:rFonts w:ascii="Times New Roman" w:hAnsi="Times New Roman" w:cs="Times New Roman"/>
                <w:sz w:val="22"/>
                <w:szCs w:val="22"/>
                <w:lang w:val="en-GB"/>
              </w:rPr>
            </w:pPr>
            <w:r w:rsidRPr="001334D1">
              <w:rPr>
                <w:rFonts w:ascii="Times New Roman" w:hAnsi="Times New Roman" w:cs="Times New Roman"/>
                <w:sz w:val="22"/>
                <w:szCs w:val="22"/>
                <w:lang w:val="en-GB"/>
              </w:rPr>
              <w:t>17</w:t>
            </w:r>
          </w:p>
        </w:tc>
        <w:tc>
          <w:tcPr>
            <w:tcW w:w="4395" w:type="dxa"/>
          </w:tcPr>
          <w:p w:rsidR="00856527" w:rsidRPr="001334D1" w:rsidRDefault="00856527" w:rsidP="001D604D">
            <w:pPr>
              <w:pStyle w:val="Contenutotabella"/>
              <w:jc w:val="both"/>
              <w:rPr>
                <w:rFonts w:ascii="Times New Roman" w:hAnsi="Times New Roman" w:cs="Times New Roman"/>
                <w:sz w:val="22"/>
                <w:szCs w:val="22"/>
                <w:lang w:val="en-US"/>
              </w:rPr>
            </w:pPr>
            <w:r w:rsidRPr="001334D1">
              <w:rPr>
                <w:rFonts w:ascii="Times New Roman" w:hAnsi="Times New Roman" w:cs="Times New Roman"/>
                <w:sz w:val="22"/>
                <w:szCs w:val="22"/>
                <w:lang w:val="en-US"/>
              </w:rPr>
              <w:t>Closure/opening of hospitals/wards or drug stores</w:t>
            </w:r>
            <w:r w:rsidRPr="001334D1">
              <w:rPr>
                <w:rFonts w:ascii="Times New Roman" w:hAnsi="Times New Roman" w:cs="Times New Roman"/>
                <w:sz w:val="22"/>
                <w:szCs w:val="22"/>
                <w:lang w:val="en-US"/>
              </w:rPr>
              <w:fldChar w:fldCharType="begin"/>
            </w:r>
            <w:r w:rsidRPr="001334D1">
              <w:rPr>
                <w:rFonts w:ascii="Times New Roman" w:hAnsi="Times New Roman" w:cs="Times New Roman"/>
                <w:sz w:val="22"/>
                <w:szCs w:val="22"/>
                <w:lang w:val="en-US"/>
              </w:rPr>
              <w:instrText xml:space="preserve"> ADDIN ZOTERO_ITEM CSL_CITATION {"citationID":"4zOlgVGo","properties":{"formattedCitation":"\\super 106,107\\nosupersub{}","plainCitation":"106,107","noteIndex":0},"citationItems":[{"id":4604,"uris":["http://zotero.org/users/1650834/items/WP7N34CE"],"uri":["http://zotero.org/users/1650834/items/WP7N34CE"],"itemData":{"id":4604,"type":"article-journal","title":"Emergency Department Closures And Openings: Spillover Effects On Patient Outcomes In Bystander Hospitals","container-title":"Health Affairs","page":"1496-1504","volume":"38","issue":"9","source":"healthaffairs.org (Atypon)","abstract":"High-occupancy hospitals may be sensitive to neighboring emergency department (ED) closures and openings, as they already operate at or near capacity. We conducted a retrospective analysis using data for the period 2001–13 to examine outcomes of and treatment received by patients with acute myocardial infarction at so-called bystander EDs that had been exposed to nearby ED closures or openings. We used changes in driving time between an ED and the next-closest one as a proxy for a closure or opening: If driving time increased, for instance, it meant that a nearby ED had closed. When a high-occupancy ED was exposed to a closure that resulted in increased driving time of thirty minutes or more to the next-closest ED, one-year mortality and thirty-day readmission rates increased by 2.39 and 2.00 percentage points, respectively, while the likelihood of receiving percutaneous coronary intervention (PCI) declined by 2.06 percentage points. Exposure to ED openings that resulted in decreased driving times of thirty minutes or more was associated with reductions in thirty-day mortality at bystander hospitals and an increased likelihood of receiving PCI. Our findings suggest that limited resources at high-occupancy bystander hospitals make them sensitive to changes in the availability of emergency care in neighboring communities.","DOI":"10.1377/hlthaff.2019.00125","ISSN":"0278-2715","shortTitle":"Emergency Department Closures And Openings","author":[{"family":"Hsia","given":"Renee Y."},{"family":"Shen","given":"Yu-Chu"}],"issued":{"date-parts":[["2019",9,1]]}}},{"id":4805,"uris":["http://zotero.org/users/1650834/items/YKDM968Z"],"uri":["http://zotero.org/users/1650834/items/YKDM968Z"],"itemData":{"id":4805,"type":"article-journal","title":"A lottery test of the effect of dispensaries on emergency room visits in Arizona","container-title":"Health Economics","page":"854-864","volume":"29","issue":"8","source":"Wiley Online Library","abstract":"In August 2012, the Arizona Department of Health Services conducted a lottery to allocate licenses for the state's first medical marijuana dispensaries. The lottery randomly selected an applicant within each of 69 contested Community Health Analysis Areas to open a dispensary. By comparing 36 zip codes with winning applications to 48 zip codes with losing applications and weighting using propensity scores based on the true probability of winning, we estimate the causal effect of the allocation of a dispensary on the emergency room visits of residents of that zip code. Outcomes of interest are emergency room visits for acute symptoms caused by cannabis, opioids, alcohol, and cocaine. Using emergency room discharge data from 2010 to 2016, we find evidence of an increase in visits for acute cannabis-related causes for the winning set of zip codes and weak evidence of an increase in visits for opioid-related causes. The results indicate that in the four years following the lottery, emergency room visits for acute cannabis causes rose by approximately 45% in allocated zip codes relative to non-allocated zip codes. Because of the high likelihood of spillovers to neighboring zip codes, these effects are likely underestimates.","DOI":"10.1002/hec.4013","ISSN":"1099-1050","language":"en","author":[{"family":"Conyers","given":"Gregory"},{"family":"Ayres","given":"Ian"}],"issued":{"date-parts":[["2020"]]}}}],"schema":"https://github.com/citation-style-language/schema/raw/master/csl-citation.json"} </w:instrText>
            </w:r>
            <w:r w:rsidRPr="001334D1">
              <w:rPr>
                <w:rFonts w:ascii="Times New Roman" w:hAnsi="Times New Roman" w:cs="Times New Roman"/>
                <w:sz w:val="22"/>
                <w:szCs w:val="22"/>
                <w:lang w:val="en-US"/>
              </w:rPr>
              <w:fldChar w:fldCharType="separate"/>
            </w:r>
            <w:r w:rsidRPr="001334D1">
              <w:rPr>
                <w:rFonts w:ascii="Times New Roman" w:hAnsi="Times New Roman" w:cs="Times New Roman"/>
                <w:sz w:val="22"/>
                <w:szCs w:val="22"/>
                <w:vertAlign w:val="superscript"/>
              </w:rPr>
              <w:t>106,107</w:t>
            </w:r>
            <w:r w:rsidRPr="001334D1">
              <w:rPr>
                <w:rFonts w:ascii="Times New Roman" w:hAnsi="Times New Roman" w:cs="Times New Roman"/>
                <w:sz w:val="22"/>
                <w:szCs w:val="22"/>
                <w:lang w:val="en-US"/>
              </w:rPr>
              <w:fldChar w:fldCharType="end"/>
            </w:r>
            <w:r w:rsidRPr="001334D1">
              <w:rPr>
                <w:rFonts w:ascii="Times New Roman" w:hAnsi="Times New Roman" w:cs="Times New Roman"/>
                <w:sz w:val="22"/>
                <w:szCs w:val="22"/>
                <w:lang w:val="en-US"/>
              </w:rPr>
              <w:t>, E-health technology</w:t>
            </w:r>
            <w:r w:rsidRPr="001334D1">
              <w:rPr>
                <w:rFonts w:ascii="Times New Roman" w:hAnsi="Times New Roman" w:cs="Times New Roman"/>
                <w:sz w:val="22"/>
                <w:szCs w:val="22"/>
                <w:lang w:val="en-US"/>
              </w:rPr>
              <w:fldChar w:fldCharType="begin"/>
            </w:r>
            <w:r w:rsidRPr="001334D1">
              <w:rPr>
                <w:rFonts w:ascii="Times New Roman" w:hAnsi="Times New Roman" w:cs="Times New Roman"/>
                <w:sz w:val="22"/>
                <w:szCs w:val="22"/>
                <w:lang w:val="en-US"/>
              </w:rPr>
              <w:instrText xml:space="preserve"> ADDIN ZOTERO_ITEM CSL_CITATION {"citationID":"AktzjL2d","properties":{"formattedCitation":"\\super 108,109\\nosupersub{}","plainCitation":"108,109","noteIndex":0},"citationItems":[{"id":4566,"uris":["http://zotero.org/users/1650834/items/SHNMRAAK"],"uri":["http://zotero.org/users/1650834/items/SHNMRAAK"],"itemData":{"id":4566,"type":"article-journal","title":"Exploring the Impact of the Rational Antibiotic Use System on Hospital Performance: The Direct Effect and the Spillover Effect","container-title":"International Journal of Environmental Research and Public Health","volume":"16","issue":"18","source":"PubMed","abstract":"Irrational antibiotic usage not only causes an increase in antibiotic-borne diseases, but also inflicts pain on patients, as a result of inappropriate treatment. In order to resolve the hazards caused by irrational antibiotic usage, a kind of e-health service, the Rational Antibiotic Use System (RAUS), has been incorporated into the hospital information system. The RAUS provides doctors and patients with the functions of antibiotic usage monitoring, antibiotic information consultation and antibiotic prescription support. Though existing literature has already proved the usefulness of the RAUS on monitoring doctors' behavior, the effects on hospital performance from an organizational perspective has rarely been measured by empirical data. Therefore, our study has explored the effects of the RAUS on the performance of a large Chinese hospital, which has implemented the RAUS since March 2014. Through empirical research, we quantified the effects of the implementation of the RAUS on a hospital's performance from both the direct effects on the \"drug income\" and the spillover effect on the \"treatment income\". The results indicate a significant positive spillover effect on the treatment incomes of a hospital in its inpatient activities (seen as significant in the long term) and in its outpatient activities (seen as significant in both the short and long terms). In addition, this research provides certain theoretical and practical implications for the dilemma of e-health services application in irrational antibiotic usage.","DOI":"10.3390/ijerph16183463","ISSN":"1660-4601","note":"PMID: 31540354\nPMCID: PMC6766021","shortTitle":"Exploring the Impact of the Rational Antibiotic Use System on Hospital Performance","language":"eng","author":[{"family":"Guo","given":"Shanshan"},{"family":"Du","given":"Wenchao"},{"family":"Chen","given":"Shuqing"},{"family":"Guo","given":"Xitong"},{"family":"Ju","given":"Xiaofeng"}],"issued":{"date-parts":[["2019"]],"season":"18"}}},{"id":4617,"uris":["http://zotero.org/users/1650834/items/F94WPBHS"],"uri":["http://zotero.org/users/1650834/items/F94WPBHS"],"itemData":{"id":4617,"type":"article-journal","title":"Impact of laboratory cost display on resident attitudes and knowledge about costs","container-title":"Postgraduate Medical Journal","page":"592-596","volume":"92","issue":"1092","source":"PubMed","abstract":"AIM: Cost awareness has been proposed as a strategy for curbing the continued rise of healthcare costs. However, most physicians are unaware of the cost of diagnostic tests, and interventions have had mixed results. We sought to assess resident physician cost awareness following sustained visual display of costs into electronic health record (EHR) order entry screens.\nSTUDY DESIGN: We completed a preintervention and postintervention web-based survey. Participants were physicians in internal medicine, paediatrics, combined medicine and paediatrics, obstetrics and gynaecology, emergency medicine, and orthopaedic surgery at one tertiary co are academic medical centre. Costs were displayed in the EHR for 1032 unique laboratory orders. We measured attitudes towards costs and estimates of Medicare reimbursement rates for 11 common laboratory and imaging tests.\nRESULTS: We received 209 survey responses during the preintervention period (response rate 71.1%) and 194 responses during the postintervention period (response rate 66.0%). The proportion of residents that agreed/strongly agreed that they knew the costs of tests they ordered increased after the cost display (8.6% vs 38.2%; p&lt;0.001). Cost estimation accuracy among residents increased after the cost display from 24.0% to 52.4% for laboratory orders (p&lt;0.001) and from 37.7% to 49.6% for imaging orders (p&lt;0.001).\nCONCLUSIONS: Resident cost awareness and ability to accurately estimate laboratory order costs improved significantly after implementation of a comprehensive EHR cost display for all laboratory orders. The improvement in cost estimation accuracy for imaging orders, which did not have costs displayed, suggested a possible spillover effect generated by providing a cost context for residents.","DOI":"10.1136/postgradmedj-2015-133851","ISSN":"1469-0756","note":"PMID: 27033861","language":"eng","author":[{"family":"Long","given":"Theodore"},{"family":"Bongiovanni","given":"Tasce"},{"family":"Dashevsky","given":"Meir"},{"family":"Halim","given":"Andrea"},{"family":"Ross","given":"Joseph S."},{"family":"Fogerty","given":"Robert L."},{"family":"Silvestri","given":"Mark T."}],"issued":{"date-parts":[["2016",10]]}}}],"schema":"https://github.com/citation-style-language/schema/raw/master/csl-citation.json"} </w:instrText>
            </w:r>
            <w:r w:rsidRPr="001334D1">
              <w:rPr>
                <w:rFonts w:ascii="Times New Roman" w:hAnsi="Times New Roman" w:cs="Times New Roman"/>
                <w:sz w:val="22"/>
                <w:szCs w:val="22"/>
                <w:lang w:val="en-US"/>
              </w:rPr>
              <w:fldChar w:fldCharType="separate"/>
            </w:r>
            <w:r w:rsidRPr="001334D1">
              <w:rPr>
                <w:rFonts w:ascii="Times New Roman" w:hAnsi="Times New Roman" w:cs="Times New Roman"/>
                <w:sz w:val="22"/>
                <w:szCs w:val="22"/>
                <w:vertAlign w:val="superscript"/>
              </w:rPr>
              <w:t>108,109</w:t>
            </w:r>
            <w:r w:rsidRPr="001334D1">
              <w:rPr>
                <w:rFonts w:ascii="Times New Roman" w:hAnsi="Times New Roman" w:cs="Times New Roman"/>
                <w:sz w:val="22"/>
                <w:szCs w:val="22"/>
                <w:lang w:val="en-US"/>
              </w:rPr>
              <w:fldChar w:fldCharType="end"/>
            </w:r>
            <w:r w:rsidRPr="001334D1">
              <w:rPr>
                <w:rFonts w:ascii="Times New Roman" w:hAnsi="Times New Roman" w:cs="Times New Roman"/>
                <w:sz w:val="22"/>
                <w:szCs w:val="22"/>
                <w:lang w:val="en-US"/>
              </w:rPr>
              <w:t>, Changes in care process (group treatment, outreach programs, etc.)</w:t>
            </w:r>
            <w:r w:rsidRPr="001334D1">
              <w:rPr>
                <w:rFonts w:ascii="Times New Roman" w:hAnsi="Times New Roman" w:cs="Times New Roman"/>
                <w:sz w:val="22"/>
                <w:szCs w:val="22"/>
                <w:lang w:val="en-US"/>
              </w:rPr>
              <w:fldChar w:fldCharType="begin"/>
            </w:r>
            <w:r w:rsidRPr="001334D1">
              <w:rPr>
                <w:rFonts w:ascii="Times New Roman" w:hAnsi="Times New Roman" w:cs="Times New Roman"/>
                <w:sz w:val="22"/>
                <w:szCs w:val="22"/>
                <w:lang w:val="en-US"/>
              </w:rPr>
              <w:instrText xml:space="preserve"> ADDIN ZOTERO_ITEM CSL_CITATION {"citationID":"dbGWnzcu","properties":{"formattedCitation":"\\super 110\\uc0\\u8211{}112\\nosupersub{}","plainCitation":"110–112","noteIndex":0},"citationItems":[{"id":3433,"uris":["http://zotero.org/users/1650834/items/PF6KA36F"],"uri":["http://zotero.org/users/1650834/items/PF6KA36F"],"itemData":{"id":3433,"type":"article-journal","title":"Hospital utilization outcome of an assertive outreach model for schizophrenic patients - results of a quasi-experimental study","container-title":"Psychiatry Research","page":"249-255","source":"Ovid MEDLINE(R)","note":"PMID: 27208511","author":[{"family":"Buchtemann","given":"Dorothea"},{"family":"Kastner","given":"Denise"},{"family":"Warnke","given":"Ingeborg"},{"family":"Radisch","given":"Jeanett"},{"family":"Baumgardt","given":"Johanna"},{"family":"Giersberg","given":"Steffi"},{"family":"Kleine-Budde","given":"Katja"},{"family":"Moock","given":"Jorn"},{"family":"Kawohl","given":"Wolfram"},{"family":"Rossler","given":"Wulf"}],"issued":{"date-parts":[["2016",7]]}}},{"id":4633,"uris":["http://zotero.org/users/1650834/items/Y5N9CPXD"],"uri":["http://zotero.org/users/1650834/items/Y5N9CPXD"],"itemData":{"id":4633,"type":"article-journal","title":"Reduction of Hospital Physicians' Workflow Interruptions: A Controlled Unit-Based Intervention Study","container-title":"Journal of Healthcare Engineering","page":"605-620","volume":"3","issue":"4","source":"Crossref","DOI":"10.1260/2040-2295.3.4.605","ISSN":"2040-2295","shortTitle":"Reduction of Hospital Physicians' Workflow Interruptions","language":"en","author":[{"family":"Weigl","given":"Matthias"},{"family":"Hornung","given":"Severin"},{"family":"Glaser","given":"Jürgen"},{"family":"Angerer","given":"Peter"}],"issued":{"date-parts":[["2012",12]]}}},{"id":4629,"uris":["http://zotero.org/users/1650834/items/P2T4L62E"],"uri":["http://zotero.org/users/1650834/items/P2T4L62E"],"itemData":{"id":4629,"type":"article-journal","title":"Effectiveness of multidisciplinary team case management: difference-in-differences analysis","container-title":"BMJ Open","page":"e010468","volume":"6","issue":"4","source":"bmjopen.bmj.com","abstract":"Objectives To evaluate a multidisciplinary team (MDT) case management intervention, at the individual (direct effects of intervention) and practice levels (potential spillover effects).\nDesign Difference-in-differences design with multiple intervention start dates, analysing hospital admissions data. In secondary analyses, we stratified individual-level results by risk score.\nSetting Single clinical commissioning group (CCG) in the UK's National Health Service (NHS).\nParticipants At the individual level, we matched 2049 intervention patients using propensity scoring one-to-one with control patients. At the practice level, 30 practices were compared using a natural experiment through staged implementation.\nIntervention Practice Integrated Care Teams (PICTs), using MDT case management of high-risk patients together with a summary record of care versus usual care.\nDirect and indirect outcome measures Primary measures of intervention effects were accident and emergency (A&amp;E) visits; inpatient non-elective stays, 30-day re-admissions; inpatient elective stays; outpatient visits; and admissions for ambulatory care sensitive conditions. Secondary measures included inpatient length of stay; total cost of secondary care services; and patient satisfaction (at the practice level only).\nResults At the individual level, we found slight, clinically trivial increases in inpatient non-elective admissions (+0.01 admissions per patient per month; 95% CI 0.00 to 0.01. Effect size (ES): 0.02) and 30-day re-admissions (+0.00; 0.00 to 0.01. ES: 0.03). We found no indication that highest risk patients benefitted more from the intervention. At the practice level, we found a small decrease in inpatient non-elective admissions (−0.63 admissions per 1000 patients per month; −1.17 to −0.09. ES: −0.24). However, this result did not withstand a robustness check; the estimate may have absorbed some differences in underlying practice trends.\nConclusions The intervention does not meet its primary aim, and the clinical significance and cost-effectiveness of these small practice-level effects is debatable. There is an ongoing need to develop effective ways to reduce unnecessary attendances in secondary care for the high-risk population.","DOI":"10.1136/bmjopen-2015-010468","ISSN":"2044-6055, 2044-6055","note":"PMID: 27084278","shortTitle":"Effectiveness of multidisciplinary team case management","language":"en","author":[{"family":"Stokes","given":"Jonathan"},{"family":"Kristensen","given":"Søren Rud"},{"family":"Checkland","given":"Kath"},{"family":"Bower","given":"Peter"}],"issued":{"date-parts":[["2016",4,1]]}}}],"schema":"https://github.com/citation-style-language/schema/raw/master/csl-citation.json"} </w:instrText>
            </w:r>
            <w:r w:rsidRPr="001334D1">
              <w:rPr>
                <w:rFonts w:ascii="Times New Roman" w:hAnsi="Times New Roman" w:cs="Times New Roman"/>
                <w:sz w:val="22"/>
                <w:szCs w:val="22"/>
                <w:lang w:val="en-US"/>
              </w:rPr>
              <w:fldChar w:fldCharType="separate"/>
            </w:r>
            <w:r w:rsidRPr="001334D1">
              <w:rPr>
                <w:rFonts w:ascii="Times New Roman" w:hAnsi="Times New Roman" w:cs="Times New Roman"/>
                <w:sz w:val="22"/>
                <w:szCs w:val="22"/>
                <w:vertAlign w:val="superscript"/>
                <w:lang w:val="en-GB"/>
              </w:rPr>
              <w:t>110–112</w:t>
            </w:r>
            <w:r w:rsidRPr="001334D1">
              <w:rPr>
                <w:rFonts w:ascii="Times New Roman" w:hAnsi="Times New Roman" w:cs="Times New Roman"/>
                <w:sz w:val="22"/>
                <w:szCs w:val="22"/>
                <w:lang w:val="en-US"/>
              </w:rPr>
              <w:fldChar w:fldCharType="end"/>
            </w:r>
            <w:r w:rsidRPr="001334D1">
              <w:rPr>
                <w:rFonts w:ascii="Times New Roman" w:hAnsi="Times New Roman" w:cs="Times New Roman"/>
                <w:sz w:val="22"/>
                <w:szCs w:val="22"/>
                <w:lang w:val="en-US"/>
              </w:rPr>
              <w:t>, Screening programs</w:t>
            </w:r>
            <w:r w:rsidRPr="001334D1">
              <w:rPr>
                <w:rFonts w:ascii="Times New Roman" w:hAnsi="Times New Roman" w:cs="Times New Roman"/>
                <w:sz w:val="22"/>
                <w:szCs w:val="22"/>
                <w:lang w:val="en-US"/>
              </w:rPr>
              <w:fldChar w:fldCharType="begin"/>
            </w:r>
            <w:r w:rsidRPr="001334D1">
              <w:rPr>
                <w:rFonts w:ascii="Times New Roman" w:hAnsi="Times New Roman" w:cs="Times New Roman"/>
                <w:sz w:val="22"/>
                <w:szCs w:val="22"/>
                <w:lang w:val="en-US"/>
              </w:rPr>
              <w:instrText xml:space="preserve"> ADDIN ZOTERO_ITEM CSL_CITATION {"citationID":"jo5rvxbH","properties":{"formattedCitation":"\\super 113\\nosupersub{}","plainCitation":"113","noteIndex":0},"citationItems":[{"id":3337,"uris":["http://zotero.org/users/1650834/items/6XVULKD4"],"uri":["http://zotero.org/users/1650834/items/6XVULKD4"],"itemData":{"id":3337,"type":"article-journal","title":"Spillover improved survival in non-invited patients of the colorectal cancer screening programme","container-title":"Journal of Medical Screening","page":"134-140","volume":"25","issue":"3","source":"Ovid MEDLINE(R)","note":"PMID: 28782403","author":[{"family":"Miettinen","given":"Joonas"},{"family":"Malila","given":"Nea"},{"family":"Hakama","given":"Matti"},{"family":"Pitkaniemi","given":"Janne"}],"issued":{"date-parts":[["2018"]]}}}],"schema":"https://github.com/citation-style-language/schema/raw/master/csl-citation.json"} </w:instrText>
            </w:r>
            <w:r w:rsidRPr="001334D1">
              <w:rPr>
                <w:rFonts w:ascii="Times New Roman" w:hAnsi="Times New Roman" w:cs="Times New Roman"/>
                <w:sz w:val="22"/>
                <w:szCs w:val="22"/>
                <w:lang w:val="en-US"/>
              </w:rPr>
              <w:fldChar w:fldCharType="separate"/>
            </w:r>
            <w:r w:rsidRPr="001334D1">
              <w:rPr>
                <w:rFonts w:ascii="Times New Roman" w:hAnsi="Times New Roman" w:cs="Times New Roman"/>
                <w:sz w:val="22"/>
                <w:szCs w:val="22"/>
                <w:vertAlign w:val="superscript"/>
                <w:lang w:val="en-GB"/>
              </w:rPr>
              <w:t>113</w:t>
            </w:r>
            <w:r w:rsidRPr="001334D1">
              <w:rPr>
                <w:rFonts w:ascii="Times New Roman" w:hAnsi="Times New Roman" w:cs="Times New Roman"/>
                <w:sz w:val="22"/>
                <w:szCs w:val="22"/>
                <w:lang w:val="en-US"/>
              </w:rPr>
              <w:fldChar w:fldCharType="end"/>
            </w:r>
            <w:r w:rsidRPr="001334D1">
              <w:rPr>
                <w:rFonts w:ascii="Times New Roman" w:hAnsi="Times New Roman" w:cs="Times New Roman"/>
                <w:sz w:val="22"/>
                <w:szCs w:val="22"/>
                <w:lang w:val="en-US"/>
              </w:rPr>
              <w:t xml:space="preserve">, Public health measures (insecticide-treated </w:t>
            </w:r>
            <w:proofErr w:type="spellStart"/>
            <w:r w:rsidRPr="001334D1">
              <w:rPr>
                <w:rFonts w:ascii="Times New Roman" w:hAnsi="Times New Roman" w:cs="Times New Roman"/>
                <w:sz w:val="22"/>
                <w:szCs w:val="22"/>
                <w:lang w:val="en-US"/>
              </w:rPr>
              <w:t>bednets</w:t>
            </w:r>
            <w:proofErr w:type="spellEnd"/>
            <w:r w:rsidRPr="001334D1">
              <w:rPr>
                <w:rFonts w:ascii="Times New Roman" w:hAnsi="Times New Roman" w:cs="Times New Roman"/>
                <w:sz w:val="22"/>
                <w:szCs w:val="22"/>
                <w:lang w:val="en-US"/>
              </w:rPr>
              <w:t xml:space="preserve">, purified water, living conditions, etc.) </w:t>
            </w:r>
            <w:r w:rsidRPr="001334D1">
              <w:rPr>
                <w:rFonts w:ascii="Times New Roman" w:hAnsi="Times New Roman" w:cs="Times New Roman"/>
                <w:sz w:val="22"/>
                <w:szCs w:val="22"/>
                <w:lang w:val="en-US"/>
              </w:rPr>
              <w:fldChar w:fldCharType="begin"/>
            </w:r>
            <w:r w:rsidRPr="001334D1">
              <w:rPr>
                <w:rFonts w:ascii="Times New Roman" w:hAnsi="Times New Roman" w:cs="Times New Roman"/>
                <w:sz w:val="22"/>
                <w:szCs w:val="22"/>
                <w:lang w:val="en-US"/>
              </w:rPr>
              <w:instrText xml:space="preserve"> ADDIN ZOTERO_ITEM CSL_CITATION {"citationID":"6Lywa2YM","properties":{"formattedCitation":"\\super 114\\uc0\\u8211{}117\\nosupersub{}","plainCitation":"114–117","noteIndex":0},"citationItems":[{"id":4436,"uris":["http://zotero.org/users/1650834/items/BC8JH2FE"],"uri":["http://zotero.org/users/1650834/items/BC8JH2FE"],"itemData":{"id":4436,"type":"article-journal","title":"Spatial Effects of Permethrin-Impregnated Bed Nets on Child Mortality: 26 Years on, a Spatial Reanalysis of a Cluster Randomized Trial","container-title":"The American Journal of Tropical Medicine and Hygiene","page":"1434-1441","volume":"101","issue":"6","source":"www.ajtmh.org","abstract":"Abstract. In addition to the direct effect of insecticide-treated nets (ITNs), there has been evidence for spatial indirect effects. Spatial analyses in cluster randomized trials (CRTs) are rare, but a large-scale CRT from 1993 was one of the first to conduct a spatial analysis of ITNs in CRTs. We revisit these data by applying a broader range of contemporary spatial methods to further explore spatial spillover. We conducted three analyses: 1) exploratory spatial analysis, considering spatial patterns and spillover in the data; 2) spatial modeling, estimating the intervention effect considering spatial effects; and 3) analysis of distance-based spillover and interaction with the intervention, characterizing the functional distance over which the spillover effect was present. There were consistent indications of spatial patterns from the exploratory analysis. Bed nets were associated with a 17% reduction in all-cause mortality for children aged 6–59 months, and the intervention estimate remained robust when allowing for the spatial structure of the data. There was strong evidence of a spatial spillover effect: for every additional 100 m that a control household was from an intervention household (and vice versa), the standardized mortality ratio (SMR) increased by 1.7% (SMR 1.017, 95% credible interval 1.006–1.026). Despite evidence of a spatial spillover effect, the conclusions of the trial remain unaffected by spatial model specifications. Use of ITNs was clearly beneficial for individuals, and there was compelling evidence that they provide an indirect benefit to individuals living nearby. This article demonstrates the extra utility that spatial methods can provide when analyzing a CRT.","DOI":"10.4269/ajtmh.19-0111","ISSN":"0002-9637, 1476-1645","shortTitle":"Spatial Effects of Permethrin-Impregnated Bed Nets on Child Mortality","language":"en","author":[{"family":"Jarvis","given":"Christopher I."},{"family":"Multerer","given":"Lea"},{"family":"Lewis","given":"Daniel"},{"family":"Binka","given":"Fred"},{"family":"Edmunds","given":"W. John"},{"family":"Alexander","given":"Neal"},{"family":"Smith","given":"Thomas A."}],"issued":{"date-parts":[["2019",12,4]]}}},{"id":4619,"uris":["http://zotero.org/users/1650834/items/72V7GILA"],"uri":["http://zotero.org/users/1650834/items/72V7GILA"],"itemData":{"id":4619,"type":"article-journal","title":"Social network targeting to maximise population behaviour change: a cluster randomised controlled trial","container-title":"The Lancet","page":"145-153","volume":"386","issue":"9989","source":"www.thelancet.com","abstract":"&lt;h2&gt;Summary&lt;/h2&gt;&lt;h3&gt;Background&lt;/h3&gt;&lt;p&gt;Information and behaviour can spread through interpersonal ties. By targeting influential individuals, health interventions that harness the distributive properties of social networks could be made more effective and efficient than those that do not. Our aim was to assess which targeting methods produce the greatest cascades or spillover effects and hence maximise population-level behaviour change.&lt;/p&gt;&lt;h3&gt;Methods&lt;/h3&gt;&lt;p&gt;In this cluster randomised trial, participants were recruited from villages of the Department of Lempira, Honduras. We blocked villages on the basis of network size, socioeconomic status, and baseline rates of water purification, for delivery of two public health interventions: chlorine for water purification and multivitamins for micronutrient deficiencies. We then randomised villages, separately for each intervention, to one of three targeting methods, introducing the interventions to 5% samples composed of either: randomly selected villagers (n=9 villages for each intervention); villagers with the most social ties (n=9); or nominated friends of random villagers (n=9; the last strategy exploiting the so-called friendship paradox of social networks). Participants and data collectors were not aware of the targeting methods. Primary endpoints were the proportions of available products redeemed by the entire population under each targeting method. This trial is registered with ClinicalTrials.gov, number NCT01672580.&lt;/p&gt;&lt;h3&gt;Findings&lt;/h3&gt;&lt;p&gt;Between Aug 4, and Aug 14, 2012, 32 villages in rural Honduras (25–541 participants each; total study population of 5773) received public health interventions. For each intervention, nine villages (each with 1–20 initial target individuals) were randomised, using a blocked design, to each of the three targeting methods. In nomination-targeted villages, 951 (74·3%) of 1280 available multivitamin tickets were redeemed compared with 940 (66·2%) of 1420 in randomly targeted villages and 744 (61·0%) of 1220 in indegree-targeted villages. All pairwise differences in redemption rates were significant (p&lt;0·01) after correction for multiple comparisons. Targeting nominated friends increased adoption of the nutritional intervention by 12·2% compared with random targeting (95% CI 6·9–17·9). Targeting the most highly connected individuals, by contrast, produced no greater adoption of either intervention, compared with random targeting.&lt;/p&gt;&lt;h3&gt;Interpretation&lt;/h3&gt;&lt;p&gt;Introduction of a health intervention to the nominated friends of random individuals can enhance that intervention's diffusion by exploiting intrinsic properties of human social networks. This method has the additional advantage of scalability because it can be implemented without mapping the network. Deployment of certain types of health interventions via network targeting, without increasing the number of individuals targeted or the resources used, could enhance the adoption and efficiency of those interventions, thereby improving population health.&lt;/p&gt;&lt;h3&gt;Funding&lt;/h3&gt;&lt;p&gt;National Institutes of Health, The Bill &amp; Melinda Gates Foundation, Star Family Foundation, and the Canadian Institutes of Health Research.&lt;/p&gt;","DOI":"10.1016/S0140-6736(15)60095-2","ISSN":"0140-6736, 1474-547X","shortTitle":"Social network targeting to maximise population behaviour change","journalAbbreviation":"The Lancet","language":"English","author":[{"family":"Kim","given":"David A."},{"family":"Hwong","given":"Alison R."},{"family":"Stafford","given":"Derek"},{"family":"Hughes","given":"D. Alex"},{"family":"O'Malley","given":"A. James"},{"family":"Fowler","given":"James H."},{"family":"Christakis","given":"Nicholas A."}],"issued":{"date-parts":[["2015",7,11]]}}},{"id":4819,"uris":["http://zotero.org/users/1650834/items/LRBY63CF"],"uri":["http://zotero.org/users/1650834/items/LRBY63CF"],"itemData":{"id":4819,"type":"article-journal","title":"Urban regeneration and mental health: Investigating the effects of an area-based intervention using a modified intention to treat analysis with alternative outcome measures","container-title":"Health &amp; Place","page":"102262","volume":"61","source":"ScienceDirect","abstract":"A quasi-experimental study of the mental health impacts of regeneration was carried out across fifteen communities in Glasgow, UK, grouped into five and then four types of intervention area. Regression modelling was undertaken to examine the effects of living in each type of area upon mental health (MCS-12 and SF-12 MH) and mental wellbeing (WEMWBS). Living in regeneration areas had no impacts on mental health or wellbeing, possibly due to incomplete implementation. Positive impacts from living in areas of housing improvement were not evident separately for areas of high-rise housing. Areas surrounding regeneration areas exhibited gains in mental health and wellbeing, contrary to notions of negative spillover. Moving between areas had negative effects, especially for those moving beyond the study areas. Changes in mental wellbeing appear less substantial compared with changes in mental health.","DOI":"10.1016/j.healthplace.2019.102262","ISSN":"1353-8292","shortTitle":"Urban regeneration and mental health","journalAbbreviation":"Health &amp; Place","language":"en","author":[{"family":"Kearns","given":"Ade"},{"family":"Ghosh","given":"Seemanti"},{"family":"Mason","given":"Phil"},{"family":"Egan","given":"Matt"}],"issued":{"date-parts":[["2020",1,1]]}}},{"id":4800,"uris":["http://zotero.org/users/1650834/items/3ZA3AYEG"],"uri":["http://zotero.org/users/1650834/items/3ZA3AYEG"],"itemData":{"id":4800,"type":"article-journal","title":"Community Perceptions of a Multilevel Sanitation Behavior Change Intervention in Rural Odisha, India","container-title":"International Journal of Environmental Research and Public Health","page":"4472","volume":"17","issue":"12","source":"www.mdpi.com","abstract":"While latrine coverage is increasing in India, not all household members use their latrines. Cost-effective, culturally appropriate, and theory-informed behavior change interventions are necessary to encourage sustained latrine use by all household members. We qualitatively examined community perceptions of sanitation interventions broadly, along with specific impressions and spillover of community-level activities of the Sundara Grama latrine use behavior change intervention in rural Odisha, India. We conducted sixteen sex-segregated focus group discussions (n = 152) in three intervention and three nonintervention villages and thematically analyzed the data. We found Sundara Grama was well-received by community members and considered educative, but perceptions of impact on latrine use were mixed and varied by activity. Intervention recruitment challenges prevented some, such as women and households belonging to lower castes, from attending activities. Spillover occurred in one of two nonintervention villages, potentially due to positive relations within and between the nonintervention village and nearby intervention village. Community-level sanitation initiatives can be hindered by community divisions, prioritization of household sanitation over community cleanliness, and perceptions of latrine use as a household and individual issue, rather than common good. Community-centered sanitation interventions should assess underlying social divisions, norms, and perceptions of collective efficacy to adapt intervention delivery and activities.","DOI":"10.3390/ijerph17124472","language":"en","author":[{"family":"De Shay","given":"Renee"},{"family":"Comeau","given":"Dawn L."},{"family":"Sclar","given":"Gloria D."},{"family":"Routray","given":"Parimita"},{"family":"Caruso","given":"Bethany A."}],"issued":{"date-parts":[["2020",1]]}}}],"schema":"https://github.com/citation-style-language/schema/raw/master/csl-citation.json"} </w:instrText>
            </w:r>
            <w:r w:rsidRPr="001334D1">
              <w:rPr>
                <w:rFonts w:ascii="Times New Roman" w:hAnsi="Times New Roman" w:cs="Times New Roman"/>
                <w:sz w:val="22"/>
                <w:szCs w:val="22"/>
                <w:lang w:val="en-US"/>
              </w:rPr>
              <w:fldChar w:fldCharType="separate"/>
            </w:r>
            <w:r w:rsidRPr="001334D1">
              <w:rPr>
                <w:rFonts w:ascii="Times New Roman" w:hAnsi="Times New Roman" w:cs="Times New Roman"/>
                <w:sz w:val="22"/>
                <w:szCs w:val="22"/>
                <w:vertAlign w:val="superscript"/>
              </w:rPr>
              <w:t>114–117</w:t>
            </w:r>
            <w:r w:rsidRPr="001334D1">
              <w:rPr>
                <w:rFonts w:ascii="Times New Roman" w:hAnsi="Times New Roman" w:cs="Times New Roman"/>
                <w:sz w:val="22"/>
                <w:szCs w:val="22"/>
                <w:lang w:val="en-US"/>
              </w:rPr>
              <w:fldChar w:fldCharType="end"/>
            </w:r>
            <w:r w:rsidRPr="001334D1">
              <w:rPr>
                <w:rFonts w:ascii="Times New Roman" w:hAnsi="Times New Roman" w:cs="Times New Roman"/>
                <w:sz w:val="22"/>
                <w:szCs w:val="22"/>
                <w:lang w:val="en-US"/>
              </w:rPr>
              <w:t>, Clinical (or similar) interventions</w:t>
            </w:r>
            <w:r w:rsidRPr="001334D1">
              <w:rPr>
                <w:rFonts w:ascii="Times New Roman" w:hAnsi="Times New Roman" w:cs="Times New Roman"/>
                <w:sz w:val="22"/>
                <w:szCs w:val="22"/>
                <w:lang w:val="en-US"/>
              </w:rPr>
              <w:fldChar w:fldCharType="begin"/>
            </w:r>
            <w:r w:rsidRPr="001334D1">
              <w:rPr>
                <w:rFonts w:ascii="Times New Roman" w:hAnsi="Times New Roman" w:cs="Times New Roman"/>
                <w:sz w:val="22"/>
                <w:szCs w:val="22"/>
                <w:lang w:val="en-US"/>
              </w:rPr>
              <w:instrText xml:space="preserve"> ADDIN ZOTERO_ITEM CSL_CITATION {"citationID":"pbxZAwpf","properties":{"formattedCitation":"\\super 118\\uc0\\u8211{}122\\nosupersub{}","plainCitation":"118–122","noteIndex":0},"citationItems":[{"id":3535,"uris":["http://zotero.org/users/1650834/items/GH2GSNUR"],"uri":["http://zotero.org/users/1650834/items/GH2GSNUR"],"itemData":{"id":3535,"type":"article-journal","title":"Dietary intake modification in response to a participation in a resistance training program for sedentary older adults with prediabetes: findings from the Resist Diabetes study","container-title":"Eating Behaviors","page":"379-382","volume":"15","issue":"3","source":"Ovid MEDLINE(R)","note":"PMID: 25064285","author":[{"family":"Halliday","given":"Tanya M."},{"family":"Davy","given":"Brenda M."},{"family":"Clark","given":"Adrienne G."},{"family":"Baugh","given":"Mary Elizabeth"},{"family":"Hedrick","given":"Valisa E."},{"family":"Marinik","given":"Elaina L."},{"family":"Flack","given":"Kyle D."},{"family":"Savla","given":"J."},{"family":"Winett","given":"Sheila"},{"family":"Winett","given":"Richard A."}],"issued":{"date-parts":[["2014",8]]}}},{"id":3531,"uris":["http://zotero.org/users/1650834/items/HCT79K3G"],"uri":["http://zotero.org/users/1650834/items/HCT79K3G"],"itemData":{"id":3531,"type":"article-journal","title":"Estimating the peer effect on youth overweight and inactivity using an intervention study","container-title":"Journal of School Health","page":"617-624","volume":"84","issue":"10","source":"Ovid MEDLINE(R)","note":"PMID: 25154525","author":[{"family":"Quinto Romani","given":"Annette"}],"issued":{"date-parts":[["2014",10]]}}},{"id":3663,"uris":["http://zotero.org/users/1650834/items/VH8R9ZG7"],"uri":["http://zotero.org/users/1650834/items/VH8R9ZG7"],"itemData":{"id":3663,"type":"article-journal","title":"The effectiveness of mandatory-random student drug testing: a cluster randomized trial","container-title":"Journal of Adolescent Health","page":"172-178","volume":"50","issue":"2","source":"Ovid MEDLINE(R)","note":"PMID: 22265113","author":[{"family":"James-Burdumy","given":"Susanne"},{"family":"Goesling","given":"Brian"},{"family":"Deke","given":"John"},{"family":"Einspruch","given":"Eric"}],"issued":{"date-parts":[["2012",2]]}}},{"id":4498,"uris":["http://zotero.org/users/1650834/items/B8YGR9NN"],"uri":["http://zotero.org/users/1650834/items/B8YGR9NN"],"itemData":{"id":4498,"type":"article-journal","title":"Substance abuse treatment and psychiatric comorbidity: do benefits spill over? Analysis of data from a prospective trial among cocaine-dependent homeless persons","container-title":"Substance Abuse Treatment, Prevention, and Policy","page":"27","volume":"1","source":"PubMed","abstract":"BACKGROUND: Comorbid psychiatric illness can undermine outcomes among homeless persons undergoing addiction treatment, and psychiatric specialty care is not always readily available. The prognosis for nonsubstance abuse psychiatric diagnoses among homeless persons receiving behaviorally-based addiction treatment, however, is little studied.\nRESULTS: Data from an addiction treatment trial for 95 cocaine-dependent homeless persons (1996-1998) were used to profile psychiatric diagnoses at baseline and 6 months, including mood-related disorders (e.g. depression) and anxiety-related disorders (e.g. post-traumatic stress disorder). Treatment interventions, including systematic reinforcement for goal attainment, were behavioral in orientation. There was a 32% reduction in the prevalence of comorbid non-addiction psychiatric disorder from baseline to 6 months, with similar reductions in the prevalence of mood (-32%) and anxiety-related disorders (-20%) (p = 0.12).\nCONCLUSION: Among cocaine-dependent homeless persons with psychiatric comorbidity undergoing behavioral addiction treatment, a reduction in comorbid psychiatric disorder prevalence was observed over 6 months. Not all participants improved, suggesting that even evidence-based addiction treatment will prove insufficient for a meaningful proportion of the dually diagnosed homeless population.","DOI":"10.1186/1747-597X-1-27","ISSN":"1747-597X","note":"PMID: 16965639\nPMCID: PMC1584225","shortTitle":"Substance abuse treatment and psychiatric comorbidity","language":"eng","author":[{"family":"Kertesz","given":"Stefan G."},{"family":"Madan","given":"Alok"},{"family":"Wallace","given":"Dennis"},{"family":"Schumacher","given":"Joseph E."},{"family":"Milby","given":"Jesse B."}],"issued":{"date-parts":[["2006",9,11]]}}},{"id":3316,"uris":["http://zotero.org/users/1650834/items/ZHKDFXN7"],"uri":["http://zotero.org/users/1650834/items/ZHKDFXN7"],"itemData":{"id":3316,"type":"article-journal","title":"Points-based physical activity: a novel approach to facilitate changes in body composition in inactive women with overweight and obesity","container-title":"BMC Public Health","volume":"18","issue":"1","source":"Ovid MEDLINE(R)","note":"PMID: 29454318","author":[{"family":"Holliday","given":"Adrian"},{"family":"Burgin","given":"Alice"},{"family":"Fernandez","given":"Elyzabeth Vargas"},{"family":"Fenton","given":"Sally A. M."},{"family":"Thielecke","given":"Frank"},{"family":"Blannin","given":"Andrew K."}],"issued":{"date-parts":[["2018"]]}}}],"schema":"https://github.com/citation-style-language/schema/raw/master/csl-citation.json"} </w:instrText>
            </w:r>
            <w:r w:rsidRPr="001334D1">
              <w:rPr>
                <w:rFonts w:ascii="Times New Roman" w:hAnsi="Times New Roman" w:cs="Times New Roman"/>
                <w:sz w:val="22"/>
                <w:szCs w:val="22"/>
                <w:lang w:val="en-US"/>
              </w:rPr>
              <w:fldChar w:fldCharType="separate"/>
            </w:r>
            <w:r w:rsidRPr="001334D1">
              <w:rPr>
                <w:rFonts w:ascii="Times New Roman" w:hAnsi="Times New Roman" w:cs="Times New Roman"/>
                <w:sz w:val="22"/>
                <w:szCs w:val="22"/>
                <w:vertAlign w:val="superscript"/>
                <w:lang w:val="en-GB"/>
              </w:rPr>
              <w:t>118–122</w:t>
            </w:r>
            <w:r w:rsidRPr="001334D1">
              <w:rPr>
                <w:rFonts w:ascii="Times New Roman" w:hAnsi="Times New Roman" w:cs="Times New Roman"/>
                <w:sz w:val="22"/>
                <w:szCs w:val="22"/>
                <w:lang w:val="en-US"/>
              </w:rPr>
              <w:fldChar w:fldCharType="end"/>
            </w:r>
          </w:p>
        </w:tc>
      </w:tr>
    </w:tbl>
    <w:p w:rsidR="00856527" w:rsidRPr="001334D1" w:rsidRDefault="00856527" w:rsidP="00447F3F">
      <w:pPr>
        <w:rPr>
          <w:rFonts w:ascii="Times New Roman" w:hAnsi="Times New Roman" w:cs="Times New Roman"/>
          <w:b/>
          <w:bCs/>
          <w:sz w:val="22"/>
          <w:szCs w:val="22"/>
          <w:lang w:val="en-GB"/>
        </w:rPr>
      </w:pPr>
    </w:p>
    <w:p w:rsidR="00441A05" w:rsidRPr="001334D1" w:rsidRDefault="00856527">
      <w:pPr>
        <w:rPr>
          <w:b/>
          <w:sz w:val="22"/>
          <w:szCs w:val="22"/>
          <w:lang w:val="en-GB"/>
        </w:rPr>
      </w:pPr>
      <w:r w:rsidRPr="001334D1">
        <w:rPr>
          <w:b/>
          <w:sz w:val="22"/>
          <w:szCs w:val="22"/>
          <w:lang w:val="en-GB"/>
        </w:rPr>
        <w:t>Full references for papers included in the scoping review</w:t>
      </w:r>
    </w:p>
    <w:p w:rsidR="00856527" w:rsidRPr="001334D1" w:rsidRDefault="00856527">
      <w:pPr>
        <w:rPr>
          <w:sz w:val="22"/>
          <w:szCs w:val="22"/>
          <w:lang w:val="en-GB"/>
        </w:rPr>
      </w:pPr>
    </w:p>
    <w:p w:rsidR="00856527" w:rsidRPr="001334D1" w:rsidRDefault="00856527" w:rsidP="00856527">
      <w:pPr>
        <w:pStyle w:val="Bibliography"/>
        <w:rPr>
          <w:sz w:val="22"/>
          <w:szCs w:val="22"/>
          <w:lang w:val="en-GB"/>
        </w:rPr>
      </w:pPr>
      <w:r w:rsidRPr="001334D1">
        <w:rPr>
          <w:sz w:val="22"/>
          <w:szCs w:val="22"/>
          <w:lang w:val="en-GB"/>
        </w:rPr>
        <w:fldChar w:fldCharType="begin"/>
      </w:r>
      <w:r w:rsidRPr="001334D1">
        <w:rPr>
          <w:sz w:val="22"/>
          <w:szCs w:val="22"/>
          <w:lang w:val="en-GB"/>
        </w:rPr>
        <w:instrText xml:space="preserve"> ADDIN ZOTERO_BIBL {"uncited":[],"omitted":[],"custom":[]} CSL_BIBLIOGRAPHY </w:instrText>
      </w:r>
      <w:r w:rsidRPr="001334D1">
        <w:rPr>
          <w:sz w:val="22"/>
          <w:szCs w:val="22"/>
          <w:lang w:val="en-GB"/>
        </w:rPr>
        <w:fldChar w:fldCharType="separate"/>
      </w:r>
      <w:r w:rsidRPr="001334D1">
        <w:rPr>
          <w:sz w:val="22"/>
          <w:szCs w:val="22"/>
          <w:lang w:val="en-GB"/>
        </w:rPr>
        <w:t xml:space="preserve">1. </w:t>
      </w:r>
      <w:r w:rsidRPr="001334D1">
        <w:rPr>
          <w:sz w:val="22"/>
          <w:szCs w:val="22"/>
          <w:lang w:val="en-GB"/>
        </w:rPr>
        <w:tab/>
        <w:t xml:space="preserve">Gai Y, Pachamanova D. Impact of the Medicare hospital readmissions reduction program on vulnerable populations. </w:t>
      </w:r>
      <w:r w:rsidRPr="001334D1">
        <w:rPr>
          <w:i/>
          <w:iCs/>
          <w:sz w:val="22"/>
          <w:szCs w:val="22"/>
          <w:lang w:val="en-GB"/>
        </w:rPr>
        <w:t>BMC Health Services Research</w:t>
      </w:r>
      <w:r w:rsidRPr="001334D1">
        <w:rPr>
          <w:sz w:val="22"/>
          <w:szCs w:val="22"/>
          <w:lang w:val="en-GB"/>
        </w:rPr>
        <w:t>. 2019;19(1).</w:t>
      </w:r>
    </w:p>
    <w:p w:rsidR="00856527" w:rsidRPr="001334D1" w:rsidRDefault="00856527" w:rsidP="00856527">
      <w:pPr>
        <w:pStyle w:val="Bibliography"/>
        <w:rPr>
          <w:sz w:val="22"/>
          <w:szCs w:val="22"/>
          <w:lang w:val="en-GB"/>
        </w:rPr>
      </w:pPr>
      <w:r w:rsidRPr="001334D1">
        <w:rPr>
          <w:sz w:val="22"/>
          <w:szCs w:val="22"/>
          <w:lang w:val="en-GB"/>
        </w:rPr>
        <w:t xml:space="preserve">2. </w:t>
      </w:r>
      <w:r w:rsidRPr="001334D1">
        <w:rPr>
          <w:sz w:val="22"/>
          <w:szCs w:val="22"/>
          <w:lang w:val="en-GB"/>
        </w:rPr>
        <w:tab/>
        <w:t xml:space="preserve">Mehtsun WT, Papanicolas I, Zheng J, Orav EJ, Lillemoe KD, Jha AK. National Trends in Readmission Following Inpatient Surgery in the Hospital Readmissions Reduction Program Era. </w:t>
      </w:r>
      <w:r w:rsidRPr="001334D1">
        <w:rPr>
          <w:i/>
          <w:iCs/>
          <w:sz w:val="22"/>
          <w:szCs w:val="22"/>
          <w:lang w:val="en-GB"/>
        </w:rPr>
        <w:t>Annals of Surgery</w:t>
      </w:r>
      <w:r w:rsidRPr="001334D1">
        <w:rPr>
          <w:sz w:val="22"/>
          <w:szCs w:val="22"/>
          <w:lang w:val="en-GB"/>
        </w:rPr>
        <w:t>. 2018;267(4):599-605.</w:t>
      </w:r>
    </w:p>
    <w:p w:rsidR="00856527" w:rsidRPr="001334D1" w:rsidRDefault="00856527" w:rsidP="00856527">
      <w:pPr>
        <w:pStyle w:val="Bibliography"/>
        <w:rPr>
          <w:sz w:val="22"/>
          <w:szCs w:val="22"/>
          <w:lang w:val="en-GB"/>
        </w:rPr>
      </w:pPr>
      <w:r w:rsidRPr="001334D1">
        <w:rPr>
          <w:sz w:val="22"/>
          <w:szCs w:val="22"/>
          <w:lang w:val="en-GB"/>
        </w:rPr>
        <w:t xml:space="preserve">3. </w:t>
      </w:r>
      <w:r w:rsidRPr="001334D1">
        <w:rPr>
          <w:sz w:val="22"/>
          <w:szCs w:val="22"/>
          <w:lang w:val="en-GB"/>
        </w:rPr>
        <w:tab/>
        <w:t xml:space="preserve">Demiralp B, He F, Koenig L. Further Evidence on the System-Wide Effects of the Hospital Readmissions Reduction Program. </w:t>
      </w:r>
      <w:r w:rsidRPr="001334D1">
        <w:rPr>
          <w:i/>
          <w:iCs/>
          <w:sz w:val="22"/>
          <w:szCs w:val="22"/>
          <w:lang w:val="en-GB"/>
        </w:rPr>
        <w:t>Health Services Research</w:t>
      </w:r>
      <w:r w:rsidRPr="001334D1">
        <w:rPr>
          <w:sz w:val="22"/>
          <w:szCs w:val="22"/>
          <w:lang w:val="en-GB"/>
        </w:rPr>
        <w:t>. 2018;53(3):1478-1497. doi:10.1111/1475-6773.12701</w:t>
      </w:r>
    </w:p>
    <w:p w:rsidR="00856527" w:rsidRPr="001334D1" w:rsidRDefault="00856527" w:rsidP="00856527">
      <w:pPr>
        <w:pStyle w:val="Bibliography"/>
        <w:rPr>
          <w:sz w:val="22"/>
          <w:szCs w:val="22"/>
          <w:lang w:val="en-GB"/>
        </w:rPr>
      </w:pPr>
      <w:r w:rsidRPr="001334D1">
        <w:rPr>
          <w:sz w:val="22"/>
          <w:szCs w:val="22"/>
          <w:lang w:val="en-GB"/>
        </w:rPr>
        <w:t xml:space="preserve">4. </w:t>
      </w:r>
      <w:r w:rsidRPr="001334D1">
        <w:rPr>
          <w:sz w:val="22"/>
          <w:szCs w:val="22"/>
          <w:lang w:val="en-GB"/>
        </w:rPr>
        <w:tab/>
        <w:t xml:space="preserve">Ibrahim AM, Nathan H, Thumma JR, Dimick JB. Impact of the Hospital Readmission Reduction Program on Surgical Readmissions Among Medicare Beneficiaries. </w:t>
      </w:r>
      <w:r w:rsidRPr="001334D1">
        <w:rPr>
          <w:i/>
          <w:iCs/>
          <w:sz w:val="22"/>
          <w:szCs w:val="22"/>
          <w:lang w:val="en-GB"/>
        </w:rPr>
        <w:t>Annals of Surgery</w:t>
      </w:r>
      <w:r w:rsidRPr="001334D1">
        <w:rPr>
          <w:sz w:val="22"/>
          <w:szCs w:val="22"/>
          <w:lang w:val="en-GB"/>
        </w:rPr>
        <w:t>. 2017;266(4):617-624.</w:t>
      </w:r>
    </w:p>
    <w:p w:rsidR="00856527" w:rsidRPr="001334D1" w:rsidRDefault="00856527" w:rsidP="00856527">
      <w:pPr>
        <w:pStyle w:val="Bibliography"/>
        <w:rPr>
          <w:sz w:val="22"/>
          <w:szCs w:val="22"/>
          <w:lang w:val="en-GB"/>
        </w:rPr>
      </w:pPr>
      <w:r w:rsidRPr="001334D1">
        <w:rPr>
          <w:sz w:val="22"/>
          <w:szCs w:val="22"/>
          <w:lang w:val="en-GB"/>
        </w:rPr>
        <w:t xml:space="preserve">5. </w:t>
      </w:r>
      <w:r w:rsidRPr="001334D1">
        <w:rPr>
          <w:sz w:val="22"/>
          <w:szCs w:val="22"/>
          <w:lang w:val="en-GB"/>
        </w:rPr>
        <w:tab/>
        <w:t xml:space="preserve">Carey K, Lin M-Y. Readmissions To New York Hospitals Fell For Three Target Conditions From 2008 To 2012, Consistent With Medicare Goals. </w:t>
      </w:r>
      <w:r w:rsidRPr="001334D1">
        <w:rPr>
          <w:i/>
          <w:iCs/>
          <w:sz w:val="22"/>
          <w:szCs w:val="22"/>
          <w:lang w:val="en-GB"/>
        </w:rPr>
        <w:t>Health Affairs</w:t>
      </w:r>
      <w:r w:rsidRPr="001334D1">
        <w:rPr>
          <w:sz w:val="22"/>
          <w:szCs w:val="22"/>
          <w:lang w:val="en-GB"/>
        </w:rPr>
        <w:t>. 2015;34(6):978-985.</w:t>
      </w:r>
    </w:p>
    <w:p w:rsidR="00856527" w:rsidRPr="001334D1" w:rsidRDefault="00856527" w:rsidP="00856527">
      <w:pPr>
        <w:pStyle w:val="Bibliography"/>
        <w:rPr>
          <w:sz w:val="22"/>
          <w:szCs w:val="22"/>
          <w:lang w:val="en-GB"/>
        </w:rPr>
      </w:pPr>
      <w:r w:rsidRPr="001334D1">
        <w:rPr>
          <w:sz w:val="22"/>
          <w:szCs w:val="22"/>
          <w:lang w:val="en-GB"/>
        </w:rPr>
        <w:lastRenderedPageBreak/>
        <w:t xml:space="preserve">6. </w:t>
      </w:r>
      <w:r w:rsidRPr="001334D1">
        <w:rPr>
          <w:sz w:val="22"/>
          <w:szCs w:val="22"/>
          <w:lang w:val="en-GB"/>
        </w:rPr>
        <w:tab/>
        <w:t xml:space="preserve">Kim JW, Mannalithara A, Sehgal M, Mithal A, Singh G, Ladabaum U. A nationwide analysis of readmission rates after colorectal cancer surgery in the US in the Era of the Affordable Care Act. </w:t>
      </w:r>
      <w:r w:rsidRPr="001334D1">
        <w:rPr>
          <w:i/>
          <w:iCs/>
          <w:sz w:val="22"/>
          <w:szCs w:val="22"/>
          <w:lang w:val="en-GB"/>
        </w:rPr>
        <w:t>The American Journal of Surgery</w:t>
      </w:r>
      <w:r w:rsidRPr="001334D1">
        <w:rPr>
          <w:sz w:val="22"/>
          <w:szCs w:val="22"/>
          <w:lang w:val="en-GB"/>
        </w:rPr>
        <w:t>. 2020;220(4):1015-1022. doi:10.1016/j.amjsurg.2020.04.013</w:t>
      </w:r>
    </w:p>
    <w:p w:rsidR="00856527" w:rsidRPr="001334D1" w:rsidRDefault="00856527" w:rsidP="00856527">
      <w:pPr>
        <w:pStyle w:val="Bibliography"/>
        <w:rPr>
          <w:sz w:val="22"/>
          <w:szCs w:val="22"/>
          <w:lang w:val="en-GB"/>
        </w:rPr>
      </w:pPr>
      <w:r w:rsidRPr="001334D1">
        <w:rPr>
          <w:sz w:val="22"/>
          <w:szCs w:val="22"/>
          <w:lang w:val="en-GB"/>
        </w:rPr>
        <w:t xml:space="preserve">7. </w:t>
      </w:r>
      <w:r w:rsidRPr="001334D1">
        <w:rPr>
          <w:sz w:val="22"/>
          <w:szCs w:val="22"/>
          <w:lang w:val="en-GB"/>
        </w:rPr>
        <w:tab/>
        <w:t xml:space="preserve">Lee MS, Hollenbeck BK, Oerline MK, et al. Spillover Effects of the Hospital Readmissions Reduction Program on Radical Cystectomy Readmissions. </w:t>
      </w:r>
      <w:r w:rsidRPr="001334D1">
        <w:rPr>
          <w:i/>
          <w:iCs/>
          <w:sz w:val="22"/>
          <w:szCs w:val="22"/>
          <w:lang w:val="en-GB"/>
        </w:rPr>
        <w:t>Urology Practice</w:t>
      </w:r>
      <w:r w:rsidRPr="001334D1">
        <w:rPr>
          <w:sz w:val="22"/>
          <w:szCs w:val="22"/>
          <w:lang w:val="en-GB"/>
        </w:rPr>
        <w:t>. 2019;6(6):350-356. doi:10.1097/UPJ.0000000000000042</w:t>
      </w:r>
    </w:p>
    <w:p w:rsidR="00856527" w:rsidRPr="001334D1" w:rsidRDefault="00856527" w:rsidP="00856527">
      <w:pPr>
        <w:pStyle w:val="Bibliography"/>
        <w:rPr>
          <w:sz w:val="22"/>
          <w:szCs w:val="22"/>
          <w:lang w:val="en-GB"/>
        </w:rPr>
      </w:pPr>
      <w:r w:rsidRPr="001334D1">
        <w:rPr>
          <w:sz w:val="22"/>
          <w:szCs w:val="22"/>
          <w:lang w:val="en-GB"/>
        </w:rPr>
        <w:t xml:space="preserve">8. </w:t>
      </w:r>
      <w:r w:rsidRPr="001334D1">
        <w:rPr>
          <w:sz w:val="22"/>
          <w:szCs w:val="22"/>
          <w:lang w:val="en-GB"/>
        </w:rPr>
        <w:tab/>
        <w:t xml:space="preserve">Zhang H, Doorslaer E van, Xu L, Zhang Y, Klundert J van de. Can a results-based bottom-up reform improve health system performance? Evidence from the rural health project in China. </w:t>
      </w:r>
      <w:r w:rsidRPr="001334D1">
        <w:rPr>
          <w:i/>
          <w:iCs/>
          <w:sz w:val="22"/>
          <w:szCs w:val="22"/>
          <w:lang w:val="en-GB"/>
        </w:rPr>
        <w:t>Health Economics</w:t>
      </w:r>
      <w:r w:rsidRPr="001334D1">
        <w:rPr>
          <w:sz w:val="22"/>
          <w:szCs w:val="22"/>
          <w:lang w:val="en-GB"/>
        </w:rPr>
        <w:t>. 2019;28(10):1204-1219. doi:10.1002/hec.3935</w:t>
      </w:r>
    </w:p>
    <w:p w:rsidR="00856527" w:rsidRPr="001334D1" w:rsidRDefault="00856527" w:rsidP="00856527">
      <w:pPr>
        <w:pStyle w:val="Bibliography"/>
        <w:rPr>
          <w:sz w:val="22"/>
          <w:szCs w:val="22"/>
          <w:lang w:val="en-GB"/>
        </w:rPr>
      </w:pPr>
      <w:r w:rsidRPr="001334D1">
        <w:rPr>
          <w:sz w:val="22"/>
          <w:szCs w:val="22"/>
          <w:lang w:val="en-GB"/>
        </w:rPr>
        <w:t xml:space="preserve">9. </w:t>
      </w:r>
      <w:r w:rsidRPr="001334D1">
        <w:rPr>
          <w:sz w:val="22"/>
          <w:szCs w:val="22"/>
          <w:lang w:val="en-GB"/>
        </w:rPr>
        <w:tab/>
        <w:t xml:space="preserve">Fichera E, Gray E, Sutton M. How do individuals’ health behaviours respond to an increase in the supply of health care? Evidence from a natural experiment. </w:t>
      </w:r>
      <w:r w:rsidRPr="001334D1">
        <w:rPr>
          <w:i/>
          <w:iCs/>
          <w:sz w:val="22"/>
          <w:szCs w:val="22"/>
          <w:lang w:val="en-GB"/>
        </w:rPr>
        <w:t>Social Science &amp; Medicine</w:t>
      </w:r>
      <w:r w:rsidRPr="001334D1">
        <w:rPr>
          <w:sz w:val="22"/>
          <w:szCs w:val="22"/>
          <w:lang w:val="en-GB"/>
        </w:rPr>
        <w:t>. 2016:170-179.</w:t>
      </w:r>
    </w:p>
    <w:p w:rsidR="00856527" w:rsidRPr="001334D1" w:rsidRDefault="00856527" w:rsidP="00856527">
      <w:pPr>
        <w:pStyle w:val="Bibliography"/>
        <w:rPr>
          <w:sz w:val="22"/>
          <w:szCs w:val="22"/>
          <w:lang w:val="en-GB"/>
        </w:rPr>
      </w:pPr>
      <w:r w:rsidRPr="001334D1">
        <w:rPr>
          <w:sz w:val="22"/>
          <w:szCs w:val="22"/>
          <w:lang w:val="en-GB"/>
        </w:rPr>
        <w:t xml:space="preserve">10. </w:t>
      </w:r>
      <w:r w:rsidRPr="001334D1">
        <w:rPr>
          <w:sz w:val="22"/>
          <w:szCs w:val="22"/>
          <w:lang w:val="en-GB"/>
        </w:rPr>
        <w:tab/>
        <w:t xml:space="preserve">Kristensen SR, Meacock R, Turner AJ, et al. Long-Term Effect of Hospital Pay for Performance on Mortality in England. </w:t>
      </w:r>
      <w:r w:rsidRPr="001334D1">
        <w:rPr>
          <w:i/>
          <w:iCs/>
          <w:sz w:val="22"/>
          <w:szCs w:val="22"/>
          <w:lang w:val="en-GB"/>
        </w:rPr>
        <w:t>New England Journal of Medicine</w:t>
      </w:r>
      <w:r w:rsidRPr="001334D1">
        <w:rPr>
          <w:sz w:val="22"/>
          <w:szCs w:val="22"/>
          <w:lang w:val="en-GB"/>
        </w:rPr>
        <w:t>. 2014;371(6):540-548. doi:10.1056/NEJMoa1400962</w:t>
      </w:r>
    </w:p>
    <w:p w:rsidR="00856527" w:rsidRPr="001334D1" w:rsidRDefault="00856527" w:rsidP="00856527">
      <w:pPr>
        <w:pStyle w:val="Bibliography"/>
        <w:rPr>
          <w:sz w:val="22"/>
          <w:szCs w:val="22"/>
          <w:lang w:val="en-GB"/>
        </w:rPr>
      </w:pPr>
      <w:r w:rsidRPr="001334D1">
        <w:rPr>
          <w:sz w:val="22"/>
          <w:szCs w:val="22"/>
          <w:lang w:val="en-GB"/>
        </w:rPr>
        <w:t xml:space="preserve">11. </w:t>
      </w:r>
      <w:r w:rsidRPr="001334D1">
        <w:rPr>
          <w:sz w:val="22"/>
          <w:szCs w:val="22"/>
          <w:lang w:val="en-GB"/>
        </w:rPr>
        <w:tab/>
        <w:t xml:space="preserve">Sutton M, Elder R, Guthrie B, Watt G. Record rewards: the effects of targeted quality incentives on the recording of risk factors by primary care providers. </w:t>
      </w:r>
      <w:r w:rsidRPr="001334D1">
        <w:rPr>
          <w:i/>
          <w:iCs/>
          <w:sz w:val="22"/>
          <w:szCs w:val="22"/>
          <w:lang w:val="en-GB"/>
        </w:rPr>
        <w:t>Health Economics</w:t>
      </w:r>
      <w:r w:rsidRPr="001334D1">
        <w:rPr>
          <w:sz w:val="22"/>
          <w:szCs w:val="22"/>
          <w:lang w:val="en-GB"/>
        </w:rPr>
        <w:t>. 2010;19(1):1-13.</w:t>
      </w:r>
    </w:p>
    <w:p w:rsidR="00856527" w:rsidRPr="001334D1" w:rsidRDefault="00856527" w:rsidP="00856527">
      <w:pPr>
        <w:pStyle w:val="Bibliography"/>
        <w:rPr>
          <w:sz w:val="22"/>
          <w:szCs w:val="22"/>
          <w:lang w:val="en-GB"/>
        </w:rPr>
      </w:pPr>
      <w:r w:rsidRPr="001334D1">
        <w:rPr>
          <w:sz w:val="22"/>
          <w:szCs w:val="22"/>
          <w:lang w:val="en-GB"/>
        </w:rPr>
        <w:t xml:space="preserve">12. </w:t>
      </w:r>
      <w:r w:rsidRPr="001334D1">
        <w:rPr>
          <w:sz w:val="22"/>
          <w:szCs w:val="22"/>
          <w:lang w:val="en-GB"/>
        </w:rPr>
        <w:tab/>
        <w:t xml:space="preserve">Einav L, Finkelstein A, Ji Y, Mahoney N. Randomized trial shows healthcare payment reform has equal-sized spillover effects on patients not targeted by reform. </w:t>
      </w:r>
      <w:r w:rsidRPr="001334D1">
        <w:rPr>
          <w:i/>
          <w:iCs/>
          <w:sz w:val="22"/>
          <w:szCs w:val="22"/>
          <w:lang w:val="en-GB"/>
        </w:rPr>
        <w:t>Proceedings of the National Academy of Sciences</w:t>
      </w:r>
      <w:r w:rsidRPr="001334D1">
        <w:rPr>
          <w:sz w:val="22"/>
          <w:szCs w:val="22"/>
          <w:lang w:val="en-GB"/>
        </w:rPr>
        <w:t>. 2020;117(32):18939-18947. doi:10.1073/pnas.2004759117</w:t>
      </w:r>
    </w:p>
    <w:p w:rsidR="00856527" w:rsidRPr="001334D1" w:rsidRDefault="00856527" w:rsidP="00856527">
      <w:pPr>
        <w:pStyle w:val="Bibliography"/>
        <w:rPr>
          <w:sz w:val="22"/>
          <w:szCs w:val="22"/>
          <w:lang w:val="en-GB"/>
        </w:rPr>
      </w:pPr>
      <w:r w:rsidRPr="001334D1">
        <w:rPr>
          <w:sz w:val="22"/>
          <w:szCs w:val="22"/>
          <w:lang w:val="en-GB"/>
        </w:rPr>
        <w:t xml:space="preserve">13. </w:t>
      </w:r>
      <w:r w:rsidRPr="001334D1">
        <w:rPr>
          <w:sz w:val="22"/>
          <w:szCs w:val="22"/>
          <w:lang w:val="en-GB"/>
        </w:rPr>
        <w:tab/>
        <w:t xml:space="preserve">Kim SJ, Han K-T, Kim W, Kim SJ, Park E-C. Early Impact on Outpatients of Mandatory Adoption of the Diagnosis-Related Group-Based Reimbursement System in Korea on Use of Outpatient Care: Differences in Medical Utilization and Presurgery Examination. </w:t>
      </w:r>
      <w:r w:rsidRPr="001334D1">
        <w:rPr>
          <w:i/>
          <w:iCs/>
          <w:sz w:val="22"/>
          <w:szCs w:val="22"/>
          <w:lang w:val="en-GB"/>
        </w:rPr>
        <w:t>Health Services Research</w:t>
      </w:r>
      <w:r w:rsidRPr="001334D1">
        <w:rPr>
          <w:sz w:val="22"/>
          <w:szCs w:val="22"/>
          <w:lang w:val="en-GB"/>
        </w:rPr>
        <w:t>. 2018;53(4):2064-2083. doi:10.1111/1475-6773.12749</w:t>
      </w:r>
    </w:p>
    <w:p w:rsidR="00856527" w:rsidRPr="001334D1" w:rsidRDefault="00856527" w:rsidP="00856527">
      <w:pPr>
        <w:pStyle w:val="Bibliography"/>
        <w:rPr>
          <w:sz w:val="22"/>
          <w:szCs w:val="22"/>
          <w:lang w:val="en-GB"/>
        </w:rPr>
      </w:pPr>
      <w:r w:rsidRPr="001334D1">
        <w:rPr>
          <w:sz w:val="22"/>
          <w:szCs w:val="22"/>
          <w:lang w:val="en-GB"/>
        </w:rPr>
        <w:t xml:space="preserve">14. </w:t>
      </w:r>
      <w:r w:rsidRPr="001334D1">
        <w:rPr>
          <w:sz w:val="22"/>
          <w:szCs w:val="22"/>
          <w:lang w:val="en-GB"/>
        </w:rPr>
        <w:tab/>
        <w:t xml:space="preserve">Henke RM, Karaca Z, Gibson TB, Cutler E, White C, Wong HS. Medicare Advantage Penetration and Hospital Costs Before and After the Affordable Care Act. </w:t>
      </w:r>
      <w:r w:rsidRPr="001334D1">
        <w:rPr>
          <w:i/>
          <w:iCs/>
          <w:sz w:val="22"/>
          <w:szCs w:val="22"/>
          <w:lang w:val="en-GB"/>
        </w:rPr>
        <w:t>Medical Care</w:t>
      </w:r>
      <w:r w:rsidRPr="001334D1">
        <w:rPr>
          <w:sz w:val="22"/>
          <w:szCs w:val="22"/>
          <w:lang w:val="en-GB"/>
        </w:rPr>
        <w:t>. 2018;56(4):321-328.</w:t>
      </w:r>
    </w:p>
    <w:p w:rsidR="00856527" w:rsidRPr="001334D1" w:rsidRDefault="00856527" w:rsidP="00856527">
      <w:pPr>
        <w:pStyle w:val="Bibliography"/>
        <w:rPr>
          <w:sz w:val="22"/>
          <w:szCs w:val="22"/>
          <w:lang w:val="en-GB"/>
        </w:rPr>
      </w:pPr>
      <w:r w:rsidRPr="001334D1">
        <w:rPr>
          <w:sz w:val="22"/>
          <w:szCs w:val="22"/>
          <w:lang w:val="en-GB"/>
        </w:rPr>
        <w:t xml:space="preserve">15. </w:t>
      </w:r>
      <w:r w:rsidRPr="001334D1">
        <w:rPr>
          <w:sz w:val="22"/>
          <w:szCs w:val="22"/>
          <w:lang w:val="en-GB"/>
        </w:rPr>
        <w:tab/>
        <w:t xml:space="preserve">Lin E, Cheng XS, Chin K-K, et al. Home Dialysis in the Prospective Payment System Era. </w:t>
      </w:r>
      <w:r w:rsidRPr="001334D1">
        <w:rPr>
          <w:i/>
          <w:iCs/>
          <w:sz w:val="22"/>
          <w:szCs w:val="22"/>
          <w:lang w:val="en-GB"/>
        </w:rPr>
        <w:t>JASN</w:t>
      </w:r>
      <w:r w:rsidRPr="001334D1">
        <w:rPr>
          <w:sz w:val="22"/>
          <w:szCs w:val="22"/>
          <w:lang w:val="en-GB"/>
        </w:rPr>
        <w:t>. 2017;28(10):2993-3004. doi:10.1681/ASN.2017010041</w:t>
      </w:r>
    </w:p>
    <w:p w:rsidR="00856527" w:rsidRPr="001334D1" w:rsidRDefault="00856527" w:rsidP="00856527">
      <w:pPr>
        <w:pStyle w:val="Bibliography"/>
        <w:rPr>
          <w:sz w:val="22"/>
          <w:szCs w:val="22"/>
          <w:lang w:val="en-GB"/>
        </w:rPr>
      </w:pPr>
      <w:r w:rsidRPr="001334D1">
        <w:rPr>
          <w:sz w:val="22"/>
          <w:szCs w:val="22"/>
          <w:lang w:val="en-GB"/>
        </w:rPr>
        <w:t xml:space="preserve">16. </w:t>
      </w:r>
      <w:r w:rsidRPr="001334D1">
        <w:rPr>
          <w:sz w:val="22"/>
          <w:szCs w:val="22"/>
          <w:lang w:val="en-GB"/>
        </w:rPr>
        <w:tab/>
        <w:t xml:space="preserve">Angalakuditi M, Gomes J. Retrospective drug utilization review: impact of pharmacist interventions on physician prescribing. </w:t>
      </w:r>
      <w:r w:rsidRPr="001334D1">
        <w:rPr>
          <w:i/>
          <w:iCs/>
          <w:sz w:val="22"/>
          <w:szCs w:val="22"/>
          <w:lang w:val="en-GB"/>
        </w:rPr>
        <w:t>Clinicoecon Outcomes Res</w:t>
      </w:r>
      <w:r w:rsidRPr="001334D1">
        <w:rPr>
          <w:sz w:val="22"/>
          <w:szCs w:val="22"/>
          <w:lang w:val="en-GB"/>
        </w:rPr>
        <w:t>. 2011;3:105-108. doi:10.2147/CEOR.S21789</w:t>
      </w:r>
    </w:p>
    <w:p w:rsidR="00856527" w:rsidRPr="001334D1" w:rsidRDefault="00856527" w:rsidP="00856527">
      <w:pPr>
        <w:pStyle w:val="Bibliography"/>
        <w:rPr>
          <w:sz w:val="22"/>
          <w:szCs w:val="22"/>
          <w:lang w:val="en-GB"/>
        </w:rPr>
      </w:pPr>
      <w:r w:rsidRPr="001334D1">
        <w:rPr>
          <w:sz w:val="22"/>
          <w:szCs w:val="22"/>
          <w:lang w:val="en-GB"/>
        </w:rPr>
        <w:t xml:space="preserve">17. </w:t>
      </w:r>
      <w:r w:rsidRPr="001334D1">
        <w:rPr>
          <w:sz w:val="22"/>
          <w:szCs w:val="22"/>
          <w:lang w:val="en-GB"/>
        </w:rPr>
        <w:tab/>
        <w:t xml:space="preserve">Rice T, Stearns SC, Pathman DE, DesHarnais S, Brasure M, Tai-Seale M. A tale of two bounties: the impact of competing fees on physician behavior. </w:t>
      </w:r>
      <w:r w:rsidRPr="001334D1">
        <w:rPr>
          <w:i/>
          <w:iCs/>
          <w:sz w:val="22"/>
          <w:szCs w:val="22"/>
          <w:lang w:val="en-GB"/>
        </w:rPr>
        <w:t>Journal of Health Politics, Policy and Law</w:t>
      </w:r>
      <w:r w:rsidRPr="001334D1">
        <w:rPr>
          <w:sz w:val="22"/>
          <w:szCs w:val="22"/>
          <w:lang w:val="en-GB"/>
        </w:rPr>
        <w:t>. 1999;24(6):1307-1330. doi:10.1215/03616878-24-6-1307</w:t>
      </w:r>
    </w:p>
    <w:p w:rsidR="00856527" w:rsidRPr="001334D1" w:rsidRDefault="00856527" w:rsidP="00856527">
      <w:pPr>
        <w:pStyle w:val="Bibliography"/>
        <w:rPr>
          <w:sz w:val="22"/>
          <w:szCs w:val="22"/>
          <w:lang w:val="en-GB"/>
        </w:rPr>
      </w:pPr>
      <w:r w:rsidRPr="001334D1">
        <w:rPr>
          <w:sz w:val="22"/>
          <w:szCs w:val="22"/>
          <w:lang w:val="en-GB"/>
        </w:rPr>
        <w:t xml:space="preserve">18. </w:t>
      </w:r>
      <w:r w:rsidRPr="001334D1">
        <w:rPr>
          <w:sz w:val="22"/>
          <w:szCs w:val="22"/>
          <w:lang w:val="en-GB"/>
        </w:rPr>
        <w:tab/>
        <w:t xml:space="preserve">Zhang M, Booth BM, Smith GRJ. Services utilization before and after the prospective payment system by patients with somatization disorder. </w:t>
      </w:r>
      <w:r w:rsidRPr="001334D1">
        <w:rPr>
          <w:i/>
          <w:iCs/>
          <w:sz w:val="22"/>
          <w:szCs w:val="22"/>
          <w:lang w:val="en-GB"/>
        </w:rPr>
        <w:t>Journal of Behavioral Health Services</w:t>
      </w:r>
      <w:r w:rsidRPr="001334D1">
        <w:rPr>
          <w:sz w:val="22"/>
          <w:szCs w:val="22"/>
          <w:lang w:val="en-GB"/>
        </w:rPr>
        <w:t>. 1998;25(1):76-82.</w:t>
      </w:r>
    </w:p>
    <w:p w:rsidR="00856527" w:rsidRPr="001334D1" w:rsidRDefault="00856527" w:rsidP="00856527">
      <w:pPr>
        <w:pStyle w:val="Bibliography"/>
        <w:rPr>
          <w:sz w:val="22"/>
          <w:szCs w:val="22"/>
          <w:lang w:val="en-GB"/>
        </w:rPr>
      </w:pPr>
      <w:r w:rsidRPr="001334D1">
        <w:rPr>
          <w:sz w:val="22"/>
          <w:szCs w:val="22"/>
          <w:lang w:val="en-GB"/>
        </w:rPr>
        <w:t xml:space="preserve">19. </w:t>
      </w:r>
      <w:r w:rsidRPr="001334D1">
        <w:rPr>
          <w:sz w:val="22"/>
          <w:szCs w:val="22"/>
          <w:lang w:val="en-GB"/>
        </w:rPr>
        <w:tab/>
        <w:t xml:space="preserve">Scheffler RM, Clement DG, Sullivan SD, Hu T, Sung H-Y. The Hospital Response to Medicare’s Prospective Payment System: An Econometric Model of Blue Cross and Blue Shield Plans. </w:t>
      </w:r>
      <w:r w:rsidRPr="001334D1">
        <w:rPr>
          <w:i/>
          <w:iCs/>
          <w:sz w:val="22"/>
          <w:szCs w:val="22"/>
          <w:lang w:val="en-GB"/>
        </w:rPr>
        <w:t>Medical Care</w:t>
      </w:r>
      <w:r w:rsidRPr="001334D1">
        <w:rPr>
          <w:sz w:val="22"/>
          <w:szCs w:val="22"/>
          <w:lang w:val="en-GB"/>
        </w:rPr>
        <w:t>. 1994;32(5):471-485.</w:t>
      </w:r>
    </w:p>
    <w:p w:rsidR="00856527" w:rsidRPr="001334D1" w:rsidRDefault="00856527" w:rsidP="00856527">
      <w:pPr>
        <w:pStyle w:val="Bibliography"/>
        <w:rPr>
          <w:sz w:val="22"/>
          <w:szCs w:val="22"/>
          <w:lang w:val="en-GB"/>
        </w:rPr>
      </w:pPr>
      <w:r w:rsidRPr="001334D1">
        <w:rPr>
          <w:sz w:val="22"/>
          <w:szCs w:val="22"/>
          <w:lang w:val="en-GB"/>
        </w:rPr>
        <w:t xml:space="preserve">20. </w:t>
      </w:r>
      <w:r w:rsidRPr="001334D1">
        <w:rPr>
          <w:sz w:val="22"/>
          <w:szCs w:val="22"/>
          <w:lang w:val="en-GB"/>
        </w:rPr>
        <w:tab/>
        <w:t xml:space="preserve">Muller A. Medicare prospective payment reforms and hospital utilization. Temporary or lasting effects? </w:t>
      </w:r>
      <w:r w:rsidRPr="001334D1">
        <w:rPr>
          <w:i/>
          <w:iCs/>
          <w:sz w:val="22"/>
          <w:szCs w:val="22"/>
          <w:lang w:val="en-GB"/>
        </w:rPr>
        <w:t>Medical Care</w:t>
      </w:r>
      <w:r w:rsidRPr="001334D1">
        <w:rPr>
          <w:sz w:val="22"/>
          <w:szCs w:val="22"/>
          <w:lang w:val="en-GB"/>
        </w:rPr>
        <w:t>. 1993;31(4):296-308.</w:t>
      </w:r>
    </w:p>
    <w:p w:rsidR="00856527" w:rsidRPr="001334D1" w:rsidRDefault="00856527" w:rsidP="00856527">
      <w:pPr>
        <w:pStyle w:val="Bibliography"/>
        <w:rPr>
          <w:sz w:val="22"/>
          <w:szCs w:val="22"/>
          <w:lang w:val="en-GB"/>
        </w:rPr>
      </w:pPr>
      <w:r w:rsidRPr="001334D1">
        <w:rPr>
          <w:sz w:val="22"/>
          <w:szCs w:val="22"/>
          <w:lang w:val="en-GB"/>
        </w:rPr>
        <w:t xml:space="preserve">21. </w:t>
      </w:r>
      <w:r w:rsidRPr="001334D1">
        <w:rPr>
          <w:sz w:val="22"/>
          <w:szCs w:val="22"/>
          <w:lang w:val="en-GB"/>
        </w:rPr>
        <w:tab/>
        <w:t xml:space="preserve">Mitchell JM, Hadley J, Gaskin DJ. Spillover effects of Medicare fee reductions: evidence from ophthalmology. </w:t>
      </w:r>
      <w:r w:rsidRPr="001334D1">
        <w:rPr>
          <w:i/>
          <w:iCs/>
          <w:sz w:val="22"/>
          <w:szCs w:val="22"/>
          <w:lang w:val="en-GB"/>
        </w:rPr>
        <w:t>Journal of Health Care Finance</w:t>
      </w:r>
      <w:r w:rsidRPr="001334D1">
        <w:rPr>
          <w:sz w:val="22"/>
          <w:szCs w:val="22"/>
          <w:lang w:val="en-GB"/>
        </w:rPr>
        <w:t>. 2002;2(3):171-188.</w:t>
      </w:r>
    </w:p>
    <w:p w:rsidR="00856527" w:rsidRPr="001334D1" w:rsidRDefault="00856527" w:rsidP="00856527">
      <w:pPr>
        <w:pStyle w:val="Bibliography"/>
        <w:rPr>
          <w:sz w:val="22"/>
          <w:szCs w:val="22"/>
          <w:lang w:val="en-GB"/>
        </w:rPr>
      </w:pPr>
      <w:r w:rsidRPr="001334D1">
        <w:rPr>
          <w:sz w:val="22"/>
          <w:szCs w:val="22"/>
          <w:lang w:val="en-GB"/>
        </w:rPr>
        <w:lastRenderedPageBreak/>
        <w:t xml:space="preserve">22. </w:t>
      </w:r>
      <w:r w:rsidRPr="001334D1">
        <w:rPr>
          <w:sz w:val="22"/>
          <w:szCs w:val="22"/>
          <w:lang w:val="en-GB"/>
        </w:rPr>
        <w:tab/>
        <w:t xml:space="preserve">Hinde JM, West N, Arbes SJ, Kluckman M, West SL. Did Arkansas’ Medicaid Patient-Centered Medical Home Program Have Spillover Effects on Commercially Insured Enrollees? </w:t>
      </w:r>
      <w:r w:rsidRPr="001334D1">
        <w:rPr>
          <w:i/>
          <w:iCs/>
          <w:sz w:val="22"/>
          <w:szCs w:val="22"/>
          <w:lang w:val="en-GB"/>
        </w:rPr>
        <w:t>INQUIRY</w:t>
      </w:r>
      <w:r w:rsidRPr="001334D1">
        <w:rPr>
          <w:sz w:val="22"/>
          <w:szCs w:val="22"/>
          <w:lang w:val="en-GB"/>
        </w:rPr>
        <w:t>. 2020;57:0046958019900753. doi:10.1177/0046958019900753</w:t>
      </w:r>
    </w:p>
    <w:p w:rsidR="00856527" w:rsidRPr="001334D1" w:rsidRDefault="00856527" w:rsidP="00856527">
      <w:pPr>
        <w:pStyle w:val="Bibliography"/>
        <w:rPr>
          <w:sz w:val="22"/>
          <w:szCs w:val="22"/>
          <w:lang w:val="en-GB"/>
        </w:rPr>
      </w:pPr>
      <w:r w:rsidRPr="001334D1">
        <w:rPr>
          <w:sz w:val="22"/>
          <w:szCs w:val="22"/>
          <w:lang w:val="en-GB"/>
        </w:rPr>
        <w:t xml:space="preserve">23. </w:t>
      </w:r>
      <w:r w:rsidRPr="001334D1">
        <w:rPr>
          <w:sz w:val="22"/>
          <w:szCs w:val="22"/>
          <w:lang w:val="en-GB"/>
        </w:rPr>
        <w:tab/>
        <w:t xml:space="preserve">Cook A, Averett S. Do hospitals respond to changing incentive structures? Evidence from Medicare’s 2007 DRG restructuring. </w:t>
      </w:r>
      <w:r w:rsidRPr="001334D1">
        <w:rPr>
          <w:i/>
          <w:iCs/>
          <w:sz w:val="22"/>
          <w:szCs w:val="22"/>
          <w:lang w:val="en-GB"/>
        </w:rPr>
        <w:t>Journal of Health Economics</w:t>
      </w:r>
      <w:r w:rsidRPr="001334D1">
        <w:rPr>
          <w:sz w:val="22"/>
          <w:szCs w:val="22"/>
          <w:lang w:val="en-GB"/>
        </w:rPr>
        <w:t>. 2020;73:102319. doi:10.1016/j.jhealeco.2020.102319</w:t>
      </w:r>
    </w:p>
    <w:p w:rsidR="00856527" w:rsidRPr="001334D1" w:rsidRDefault="00856527" w:rsidP="00856527">
      <w:pPr>
        <w:pStyle w:val="Bibliography"/>
        <w:rPr>
          <w:sz w:val="22"/>
          <w:szCs w:val="22"/>
          <w:lang w:val="en-GB"/>
        </w:rPr>
      </w:pPr>
      <w:r w:rsidRPr="001334D1">
        <w:rPr>
          <w:sz w:val="22"/>
          <w:szCs w:val="22"/>
          <w:lang w:val="en-GB"/>
        </w:rPr>
        <w:t xml:space="preserve">24. </w:t>
      </w:r>
      <w:r w:rsidRPr="001334D1">
        <w:rPr>
          <w:sz w:val="22"/>
          <w:szCs w:val="22"/>
          <w:lang w:val="en-GB"/>
        </w:rPr>
        <w:tab/>
        <w:t xml:space="preserve">Liu D, Green E, Kasteridis P, et al. Incentive schemes to increase dementia diagnoses in primary care in England: a retrospective cohort study of unintended consequences. </w:t>
      </w:r>
      <w:r w:rsidRPr="001334D1">
        <w:rPr>
          <w:i/>
          <w:iCs/>
          <w:sz w:val="22"/>
          <w:szCs w:val="22"/>
          <w:lang w:val="en-GB"/>
        </w:rPr>
        <w:t>Br J Gen Pract</w:t>
      </w:r>
      <w:r w:rsidRPr="001334D1">
        <w:rPr>
          <w:sz w:val="22"/>
          <w:szCs w:val="22"/>
          <w:lang w:val="en-GB"/>
        </w:rPr>
        <w:t>. 2019;69(680):e154-e163. doi:10.3399/bjgp19X701513</w:t>
      </w:r>
    </w:p>
    <w:p w:rsidR="00856527" w:rsidRPr="001334D1" w:rsidRDefault="00856527" w:rsidP="00856527">
      <w:pPr>
        <w:pStyle w:val="Bibliography"/>
        <w:rPr>
          <w:sz w:val="22"/>
          <w:szCs w:val="22"/>
          <w:lang w:val="en-GB"/>
        </w:rPr>
      </w:pPr>
      <w:r w:rsidRPr="001334D1">
        <w:rPr>
          <w:sz w:val="22"/>
          <w:szCs w:val="22"/>
          <w:lang w:val="en-GB"/>
        </w:rPr>
        <w:t xml:space="preserve">25. </w:t>
      </w:r>
      <w:r w:rsidRPr="001334D1">
        <w:rPr>
          <w:sz w:val="22"/>
          <w:szCs w:val="22"/>
          <w:lang w:val="en-GB"/>
        </w:rPr>
        <w:tab/>
        <w:t xml:space="preserve">Hysong SJ, SoRelle R, Broussard Smitham K, Petersen LA. Reports of unintended consequences of financial incentives to improve management of hypertension. </w:t>
      </w:r>
      <w:r w:rsidRPr="001334D1">
        <w:rPr>
          <w:i/>
          <w:iCs/>
          <w:sz w:val="22"/>
          <w:szCs w:val="22"/>
          <w:lang w:val="en-GB"/>
        </w:rPr>
        <w:t>PloS One</w:t>
      </w:r>
      <w:r w:rsidRPr="001334D1">
        <w:rPr>
          <w:sz w:val="22"/>
          <w:szCs w:val="22"/>
          <w:lang w:val="en-GB"/>
        </w:rPr>
        <w:t>. 2017;12(9):e0184856. doi:10.1371/journal.pone.0184856</w:t>
      </w:r>
    </w:p>
    <w:p w:rsidR="00856527" w:rsidRPr="001334D1" w:rsidRDefault="00856527" w:rsidP="00856527">
      <w:pPr>
        <w:pStyle w:val="Bibliography"/>
        <w:rPr>
          <w:sz w:val="22"/>
          <w:szCs w:val="22"/>
          <w:lang w:val="en-GB"/>
        </w:rPr>
      </w:pPr>
      <w:r w:rsidRPr="001334D1">
        <w:rPr>
          <w:sz w:val="22"/>
          <w:szCs w:val="22"/>
          <w:lang w:val="en-GB"/>
        </w:rPr>
        <w:t xml:space="preserve">26. </w:t>
      </w:r>
      <w:r w:rsidRPr="001334D1">
        <w:rPr>
          <w:sz w:val="22"/>
          <w:szCs w:val="22"/>
          <w:lang w:val="en-GB"/>
        </w:rPr>
        <w:tab/>
        <w:t xml:space="preserve">Muhlestein DB, Wickizer T, Shoben A. The Spillover Effect of a Change in Medicare Reimbursements on Provider Behavior in the Non-Medicare Population for Bariatric Surgery. </w:t>
      </w:r>
      <w:r w:rsidRPr="001334D1">
        <w:rPr>
          <w:i/>
          <w:iCs/>
          <w:sz w:val="22"/>
          <w:szCs w:val="22"/>
          <w:lang w:val="en-GB"/>
        </w:rPr>
        <w:t>World Medical &amp; Health Policy</w:t>
      </w:r>
      <w:r w:rsidRPr="001334D1">
        <w:rPr>
          <w:sz w:val="22"/>
          <w:szCs w:val="22"/>
          <w:lang w:val="en-GB"/>
        </w:rPr>
        <w:t>. 2016;8(1):74-94. doi:10.1002/wmh3.178</w:t>
      </w:r>
    </w:p>
    <w:p w:rsidR="00856527" w:rsidRPr="001334D1" w:rsidRDefault="00856527" w:rsidP="00856527">
      <w:pPr>
        <w:pStyle w:val="Bibliography"/>
        <w:rPr>
          <w:sz w:val="22"/>
          <w:szCs w:val="22"/>
          <w:lang w:val="en-GB"/>
        </w:rPr>
      </w:pPr>
      <w:r w:rsidRPr="001334D1">
        <w:rPr>
          <w:sz w:val="22"/>
          <w:szCs w:val="22"/>
          <w:lang w:val="en-GB"/>
        </w:rPr>
        <w:t xml:space="preserve">27. </w:t>
      </w:r>
      <w:r w:rsidRPr="001334D1">
        <w:rPr>
          <w:sz w:val="22"/>
          <w:szCs w:val="22"/>
          <w:lang w:val="en-GB"/>
        </w:rPr>
        <w:tab/>
        <w:t xml:space="preserve">Dehingia N, Singh A, Raj A, McDougal L. More than credit: Exploring associations between microcredit programs and maternal and reproductive health service utilization in India. </w:t>
      </w:r>
      <w:r w:rsidRPr="001334D1">
        <w:rPr>
          <w:i/>
          <w:iCs/>
          <w:sz w:val="22"/>
          <w:szCs w:val="22"/>
          <w:lang w:val="en-GB"/>
        </w:rPr>
        <w:t>SSM Popul Health</w:t>
      </w:r>
      <w:r w:rsidRPr="001334D1">
        <w:rPr>
          <w:sz w:val="22"/>
          <w:szCs w:val="22"/>
          <w:lang w:val="en-GB"/>
        </w:rPr>
        <w:t>. 2019;9. doi:10.1016/j.ssmph.2019.100467</w:t>
      </w:r>
    </w:p>
    <w:p w:rsidR="00856527" w:rsidRPr="001334D1" w:rsidRDefault="00856527" w:rsidP="00856527">
      <w:pPr>
        <w:pStyle w:val="Bibliography"/>
        <w:rPr>
          <w:sz w:val="22"/>
          <w:szCs w:val="22"/>
          <w:lang w:val="en-GB"/>
        </w:rPr>
      </w:pPr>
      <w:r w:rsidRPr="001334D1">
        <w:rPr>
          <w:sz w:val="22"/>
          <w:szCs w:val="22"/>
          <w:lang w:val="en-GB"/>
        </w:rPr>
        <w:t xml:space="preserve">28. </w:t>
      </w:r>
      <w:r w:rsidRPr="001334D1">
        <w:rPr>
          <w:sz w:val="22"/>
          <w:szCs w:val="22"/>
          <w:lang w:val="en-GB"/>
        </w:rPr>
        <w:tab/>
        <w:t xml:space="preserve">Srinivasan M, Pooler JA. Cost-Related Medication Nonadherence for Older Adults Participating in SNAP, 2013-2015. </w:t>
      </w:r>
      <w:r w:rsidRPr="001334D1">
        <w:rPr>
          <w:i/>
          <w:iCs/>
          <w:sz w:val="22"/>
          <w:szCs w:val="22"/>
          <w:lang w:val="en-GB"/>
        </w:rPr>
        <w:t>American Journal of Public Health</w:t>
      </w:r>
      <w:r w:rsidRPr="001334D1">
        <w:rPr>
          <w:sz w:val="22"/>
          <w:szCs w:val="22"/>
          <w:lang w:val="en-GB"/>
        </w:rPr>
        <w:t>. 2018;108(2):224-230. doi:10.2105/AJPH.2017.304176</w:t>
      </w:r>
    </w:p>
    <w:p w:rsidR="00856527" w:rsidRPr="001334D1" w:rsidRDefault="00856527" w:rsidP="00856527">
      <w:pPr>
        <w:pStyle w:val="Bibliography"/>
        <w:rPr>
          <w:sz w:val="22"/>
          <w:szCs w:val="22"/>
          <w:lang w:val="en-GB"/>
        </w:rPr>
      </w:pPr>
      <w:r w:rsidRPr="001334D1">
        <w:rPr>
          <w:sz w:val="22"/>
          <w:szCs w:val="22"/>
          <w:lang w:val="en-GB"/>
        </w:rPr>
        <w:t xml:space="preserve">29. </w:t>
      </w:r>
      <w:r w:rsidRPr="001334D1">
        <w:rPr>
          <w:sz w:val="22"/>
          <w:szCs w:val="22"/>
          <w:lang w:val="en-GB"/>
        </w:rPr>
        <w:tab/>
        <w:t xml:space="preserve">Undurraga EA, Behrman JR, Leonard WR, Godoy RA. The effects of community income inequality on health: Evidence from a randomized control trial in the Bolivian Amazon. </w:t>
      </w:r>
      <w:r w:rsidRPr="001334D1">
        <w:rPr>
          <w:i/>
          <w:iCs/>
          <w:sz w:val="22"/>
          <w:szCs w:val="22"/>
          <w:lang w:val="en-GB"/>
        </w:rPr>
        <w:t>Social Science &amp; Medicine</w:t>
      </w:r>
      <w:r w:rsidRPr="001334D1">
        <w:rPr>
          <w:sz w:val="22"/>
          <w:szCs w:val="22"/>
          <w:lang w:val="en-GB"/>
        </w:rPr>
        <w:t>. 2016;149:66-75. doi:10.1016/j.socscimed.2015.12.003</w:t>
      </w:r>
    </w:p>
    <w:p w:rsidR="00856527" w:rsidRPr="001334D1" w:rsidRDefault="00856527" w:rsidP="00856527">
      <w:pPr>
        <w:pStyle w:val="Bibliography"/>
        <w:rPr>
          <w:sz w:val="22"/>
          <w:szCs w:val="22"/>
          <w:lang w:val="en-GB"/>
        </w:rPr>
      </w:pPr>
      <w:r w:rsidRPr="001334D1">
        <w:rPr>
          <w:sz w:val="22"/>
          <w:szCs w:val="22"/>
          <w:lang w:val="en-GB"/>
        </w:rPr>
        <w:t xml:space="preserve">30. </w:t>
      </w:r>
      <w:r w:rsidRPr="001334D1">
        <w:rPr>
          <w:sz w:val="22"/>
          <w:szCs w:val="22"/>
          <w:lang w:val="en-GB"/>
        </w:rPr>
        <w:tab/>
        <w:t xml:space="preserve">Handa S, Halpern CT, Pettifor A, Thirumurthy H. The Government of Kenya’s Cash Transfer Program Reduces the Risk of Sexual Debut among Young People Age 15-25. </w:t>
      </w:r>
      <w:r w:rsidRPr="001334D1">
        <w:rPr>
          <w:i/>
          <w:iCs/>
          <w:sz w:val="22"/>
          <w:szCs w:val="22"/>
          <w:lang w:val="en-GB"/>
        </w:rPr>
        <w:t>PLoS One</w:t>
      </w:r>
      <w:r w:rsidRPr="001334D1">
        <w:rPr>
          <w:sz w:val="22"/>
          <w:szCs w:val="22"/>
          <w:lang w:val="en-GB"/>
        </w:rPr>
        <w:t>. 2014;9(1). doi:10.1371/journal.pone.0085473</w:t>
      </w:r>
    </w:p>
    <w:p w:rsidR="00856527" w:rsidRPr="001334D1" w:rsidRDefault="00856527" w:rsidP="00856527">
      <w:pPr>
        <w:pStyle w:val="Bibliography"/>
        <w:rPr>
          <w:sz w:val="22"/>
          <w:szCs w:val="22"/>
          <w:lang w:val="en-GB"/>
        </w:rPr>
      </w:pPr>
      <w:r w:rsidRPr="001334D1">
        <w:rPr>
          <w:sz w:val="22"/>
          <w:szCs w:val="22"/>
          <w:lang w:val="en-GB"/>
        </w:rPr>
        <w:t xml:space="preserve">31. </w:t>
      </w:r>
      <w:r w:rsidRPr="001334D1">
        <w:rPr>
          <w:sz w:val="22"/>
          <w:szCs w:val="22"/>
          <w:lang w:val="en-GB"/>
        </w:rPr>
        <w:tab/>
        <w:t xml:space="preserve">Shei A, Costa F, Reis MG, Ko AI. The impact of Brazil’s Bolsa Família conditional cash transfer program on children’s health care utilization and health outcomes. </w:t>
      </w:r>
      <w:r w:rsidRPr="001334D1">
        <w:rPr>
          <w:i/>
          <w:iCs/>
          <w:sz w:val="22"/>
          <w:szCs w:val="22"/>
          <w:lang w:val="en-GB"/>
        </w:rPr>
        <w:t>BMC Int Health Hum Rights</w:t>
      </w:r>
      <w:r w:rsidRPr="001334D1">
        <w:rPr>
          <w:sz w:val="22"/>
          <w:szCs w:val="22"/>
          <w:lang w:val="en-GB"/>
        </w:rPr>
        <w:t>. 2014;14:10. doi:10.1186/1472-698X-14-10</w:t>
      </w:r>
    </w:p>
    <w:p w:rsidR="00856527" w:rsidRPr="001334D1" w:rsidRDefault="00856527" w:rsidP="00856527">
      <w:pPr>
        <w:pStyle w:val="Bibliography"/>
        <w:rPr>
          <w:sz w:val="22"/>
          <w:szCs w:val="22"/>
          <w:lang w:val="en-GB"/>
        </w:rPr>
      </w:pPr>
      <w:r w:rsidRPr="001334D1">
        <w:rPr>
          <w:sz w:val="22"/>
          <w:szCs w:val="22"/>
          <w:lang w:val="en-GB"/>
        </w:rPr>
        <w:t xml:space="preserve">32. </w:t>
      </w:r>
      <w:r w:rsidRPr="001334D1">
        <w:rPr>
          <w:sz w:val="22"/>
          <w:szCs w:val="22"/>
          <w:lang w:val="en-GB"/>
        </w:rPr>
        <w:tab/>
        <w:t xml:space="preserve">Guerrero N, Molina O, Winkelried D. Conditional cash transfers, spillovers, and informal health care: Evidence from Peru. </w:t>
      </w:r>
      <w:r w:rsidRPr="001334D1">
        <w:rPr>
          <w:i/>
          <w:iCs/>
          <w:sz w:val="22"/>
          <w:szCs w:val="22"/>
          <w:lang w:val="en-GB"/>
        </w:rPr>
        <w:t>Health Economics</w:t>
      </w:r>
      <w:r w:rsidRPr="001334D1">
        <w:rPr>
          <w:sz w:val="22"/>
          <w:szCs w:val="22"/>
          <w:lang w:val="en-GB"/>
        </w:rPr>
        <w:t>. 2020;29(2):111-122. doi:10.1002/hec.3956</w:t>
      </w:r>
    </w:p>
    <w:p w:rsidR="00856527" w:rsidRPr="001334D1" w:rsidRDefault="00856527" w:rsidP="00856527">
      <w:pPr>
        <w:pStyle w:val="Bibliography"/>
        <w:rPr>
          <w:sz w:val="22"/>
          <w:szCs w:val="22"/>
          <w:lang w:val="en-GB"/>
        </w:rPr>
      </w:pPr>
      <w:r w:rsidRPr="001334D1">
        <w:rPr>
          <w:sz w:val="22"/>
          <w:szCs w:val="22"/>
          <w:lang w:val="en-GB"/>
        </w:rPr>
        <w:t xml:space="preserve">33. </w:t>
      </w:r>
      <w:r w:rsidRPr="001334D1">
        <w:rPr>
          <w:sz w:val="22"/>
          <w:szCs w:val="22"/>
          <w:lang w:val="en-GB"/>
        </w:rPr>
        <w:tab/>
        <w:t xml:space="preserve">Kino S, Sato K, Kawachi I. Spillover benefit of improved access to healthcare on reducing worry about housing and meal affordability. </w:t>
      </w:r>
      <w:r w:rsidRPr="001334D1">
        <w:rPr>
          <w:i/>
          <w:iCs/>
          <w:sz w:val="22"/>
          <w:szCs w:val="22"/>
          <w:lang w:val="en-GB"/>
        </w:rPr>
        <w:t>Int J Equity Health</w:t>
      </w:r>
      <w:r w:rsidRPr="001334D1">
        <w:rPr>
          <w:sz w:val="22"/>
          <w:szCs w:val="22"/>
          <w:lang w:val="en-GB"/>
        </w:rPr>
        <w:t>. 2018;17(1):174. doi:10.1186/s12939-018-0877-y</w:t>
      </w:r>
    </w:p>
    <w:p w:rsidR="00856527" w:rsidRPr="001334D1" w:rsidRDefault="00856527" w:rsidP="00856527">
      <w:pPr>
        <w:pStyle w:val="Bibliography"/>
        <w:rPr>
          <w:sz w:val="22"/>
          <w:szCs w:val="22"/>
          <w:lang w:val="en-GB"/>
        </w:rPr>
      </w:pPr>
      <w:r w:rsidRPr="001334D1">
        <w:rPr>
          <w:sz w:val="22"/>
          <w:szCs w:val="22"/>
          <w:lang w:val="en-GB"/>
        </w:rPr>
        <w:t xml:space="preserve">34. </w:t>
      </w:r>
      <w:r w:rsidRPr="001334D1">
        <w:rPr>
          <w:sz w:val="22"/>
          <w:szCs w:val="22"/>
          <w:lang w:val="en-GB"/>
        </w:rPr>
        <w:tab/>
        <w:t xml:space="preserve">Kobayashi LC, Altindag O, Truskinovsky Y, Berkman LF. Effects of the Affordable Care Act Medicaid Expansion on Subjective Well-Being in the US Adult Population, 2010-2016. </w:t>
      </w:r>
      <w:r w:rsidRPr="001334D1">
        <w:rPr>
          <w:i/>
          <w:iCs/>
          <w:sz w:val="22"/>
          <w:szCs w:val="22"/>
          <w:lang w:val="en-GB"/>
        </w:rPr>
        <w:t>Journal of Public Health</w:t>
      </w:r>
      <w:r w:rsidRPr="001334D1">
        <w:rPr>
          <w:sz w:val="22"/>
          <w:szCs w:val="22"/>
          <w:lang w:val="en-GB"/>
        </w:rPr>
        <w:t>. 1236;109(9):1236-1242.</w:t>
      </w:r>
    </w:p>
    <w:p w:rsidR="00856527" w:rsidRPr="001334D1" w:rsidRDefault="00856527" w:rsidP="00856527">
      <w:pPr>
        <w:pStyle w:val="Bibliography"/>
        <w:rPr>
          <w:sz w:val="22"/>
          <w:szCs w:val="22"/>
          <w:lang w:val="en-GB"/>
        </w:rPr>
      </w:pPr>
      <w:r w:rsidRPr="001334D1">
        <w:rPr>
          <w:sz w:val="22"/>
          <w:szCs w:val="22"/>
          <w:lang w:val="en-GB"/>
        </w:rPr>
        <w:t xml:space="preserve">35. </w:t>
      </w:r>
      <w:r w:rsidRPr="001334D1">
        <w:rPr>
          <w:sz w:val="22"/>
          <w:szCs w:val="22"/>
          <w:lang w:val="en-GB"/>
        </w:rPr>
        <w:tab/>
        <w:t xml:space="preserve">Himmelstein G. Effect of the Affordable Care Act’s Medicaid Expansions on Food Security, 2010-2016. </w:t>
      </w:r>
      <w:r w:rsidRPr="001334D1">
        <w:rPr>
          <w:i/>
          <w:iCs/>
          <w:sz w:val="22"/>
          <w:szCs w:val="22"/>
          <w:lang w:val="en-GB"/>
        </w:rPr>
        <w:t>Journal of Public Health</w:t>
      </w:r>
      <w:r w:rsidRPr="001334D1">
        <w:rPr>
          <w:sz w:val="22"/>
          <w:szCs w:val="22"/>
          <w:lang w:val="en-GB"/>
        </w:rPr>
        <w:t>. 1243;109(9):1243-1248.</w:t>
      </w:r>
    </w:p>
    <w:p w:rsidR="00856527" w:rsidRPr="001334D1" w:rsidRDefault="00856527" w:rsidP="00856527">
      <w:pPr>
        <w:pStyle w:val="Bibliography"/>
        <w:rPr>
          <w:sz w:val="22"/>
          <w:szCs w:val="22"/>
          <w:lang w:val="en-GB"/>
        </w:rPr>
      </w:pPr>
      <w:r w:rsidRPr="001334D1">
        <w:rPr>
          <w:sz w:val="22"/>
          <w:szCs w:val="22"/>
          <w:lang w:val="en-GB"/>
        </w:rPr>
        <w:t xml:space="preserve">36. </w:t>
      </w:r>
      <w:r w:rsidRPr="001334D1">
        <w:rPr>
          <w:sz w:val="22"/>
          <w:szCs w:val="22"/>
          <w:lang w:val="en-GB"/>
        </w:rPr>
        <w:tab/>
        <w:t xml:space="preserve">Chen A, Lo Sasso AT, Richards MR. Supply-side effects from public insurance expansions: Evidence from physician labor markets. </w:t>
      </w:r>
      <w:r w:rsidRPr="001334D1">
        <w:rPr>
          <w:i/>
          <w:iCs/>
          <w:sz w:val="22"/>
          <w:szCs w:val="22"/>
          <w:lang w:val="en-GB"/>
        </w:rPr>
        <w:t>Health Economics</w:t>
      </w:r>
      <w:r w:rsidRPr="001334D1">
        <w:rPr>
          <w:sz w:val="22"/>
          <w:szCs w:val="22"/>
          <w:lang w:val="en-GB"/>
        </w:rPr>
        <w:t>. 2018;27(4):690-708.</w:t>
      </w:r>
    </w:p>
    <w:p w:rsidR="00856527" w:rsidRPr="001334D1" w:rsidRDefault="00856527" w:rsidP="00856527">
      <w:pPr>
        <w:pStyle w:val="Bibliography"/>
        <w:rPr>
          <w:sz w:val="22"/>
          <w:szCs w:val="22"/>
          <w:lang w:val="en-GB"/>
        </w:rPr>
      </w:pPr>
      <w:r w:rsidRPr="001334D1">
        <w:rPr>
          <w:sz w:val="22"/>
          <w:szCs w:val="22"/>
          <w:lang w:val="en-GB"/>
        </w:rPr>
        <w:lastRenderedPageBreak/>
        <w:t xml:space="preserve">37. </w:t>
      </w:r>
      <w:r w:rsidRPr="001334D1">
        <w:rPr>
          <w:sz w:val="22"/>
          <w:szCs w:val="22"/>
          <w:lang w:val="en-GB"/>
        </w:rPr>
        <w:tab/>
        <w:t xml:space="preserve">Venkataramani M, Pollack CE, Roberts ET. Spillover Effects of Adult Medicaid Expansions on Children’s Use of Preventive Services. </w:t>
      </w:r>
      <w:r w:rsidRPr="001334D1">
        <w:rPr>
          <w:i/>
          <w:iCs/>
          <w:sz w:val="22"/>
          <w:szCs w:val="22"/>
          <w:lang w:val="en-GB"/>
        </w:rPr>
        <w:t>Pediatrics</w:t>
      </w:r>
      <w:r w:rsidRPr="001334D1">
        <w:rPr>
          <w:sz w:val="22"/>
          <w:szCs w:val="22"/>
          <w:lang w:val="en-GB"/>
        </w:rPr>
        <w:t>. 2017;140(6).</w:t>
      </w:r>
    </w:p>
    <w:p w:rsidR="00856527" w:rsidRPr="001334D1" w:rsidRDefault="00856527" w:rsidP="00856527">
      <w:pPr>
        <w:pStyle w:val="Bibliography"/>
        <w:rPr>
          <w:sz w:val="22"/>
          <w:szCs w:val="22"/>
          <w:lang w:val="en-GB"/>
        </w:rPr>
      </w:pPr>
      <w:r w:rsidRPr="001334D1">
        <w:rPr>
          <w:sz w:val="22"/>
          <w:szCs w:val="22"/>
          <w:lang w:val="en-GB"/>
        </w:rPr>
        <w:t xml:space="preserve">38. </w:t>
      </w:r>
      <w:r w:rsidRPr="001334D1">
        <w:rPr>
          <w:sz w:val="22"/>
          <w:szCs w:val="22"/>
          <w:lang w:val="en-GB"/>
        </w:rPr>
        <w:tab/>
        <w:t xml:space="preserve">Shane DM, Wehby GL. The Impact of the Affordable Care Act’s Dependent Coverage Mandate on Use of Dental Treatments and Preventive Services. </w:t>
      </w:r>
      <w:r w:rsidRPr="001334D1">
        <w:rPr>
          <w:i/>
          <w:iCs/>
          <w:sz w:val="22"/>
          <w:szCs w:val="22"/>
          <w:lang w:val="en-GB"/>
        </w:rPr>
        <w:t>Medical Care</w:t>
      </w:r>
      <w:r w:rsidRPr="001334D1">
        <w:rPr>
          <w:sz w:val="22"/>
          <w:szCs w:val="22"/>
          <w:lang w:val="en-GB"/>
        </w:rPr>
        <w:t>. 2017;55(9):841-847.</w:t>
      </w:r>
    </w:p>
    <w:p w:rsidR="00856527" w:rsidRPr="001334D1" w:rsidRDefault="00856527" w:rsidP="00856527">
      <w:pPr>
        <w:pStyle w:val="Bibliography"/>
        <w:rPr>
          <w:sz w:val="22"/>
          <w:szCs w:val="22"/>
          <w:lang w:val="en-GB"/>
        </w:rPr>
      </w:pPr>
      <w:r w:rsidRPr="001334D1">
        <w:rPr>
          <w:sz w:val="22"/>
          <w:szCs w:val="22"/>
          <w:lang w:val="en-GB"/>
        </w:rPr>
        <w:t xml:space="preserve">39. </w:t>
      </w:r>
      <w:r w:rsidRPr="001334D1">
        <w:rPr>
          <w:sz w:val="22"/>
          <w:szCs w:val="22"/>
          <w:lang w:val="en-GB"/>
        </w:rPr>
        <w:tab/>
        <w:t xml:space="preserve">Hudson JL, Moriya AS. Medicaid Expansion For Adults Had Measurable ‘Welcome Mat’ Effects On Their Children. </w:t>
      </w:r>
      <w:r w:rsidRPr="001334D1">
        <w:rPr>
          <w:i/>
          <w:iCs/>
          <w:sz w:val="22"/>
          <w:szCs w:val="22"/>
          <w:lang w:val="en-GB"/>
        </w:rPr>
        <w:t>Health Affairs</w:t>
      </w:r>
      <w:r w:rsidRPr="001334D1">
        <w:rPr>
          <w:sz w:val="22"/>
          <w:szCs w:val="22"/>
          <w:lang w:val="en-GB"/>
        </w:rPr>
        <w:t>. 2017;36(9):1643-1651. doi:10.1377/hlthaff.2017.0347</w:t>
      </w:r>
    </w:p>
    <w:p w:rsidR="00856527" w:rsidRPr="001334D1" w:rsidRDefault="00856527" w:rsidP="00856527">
      <w:pPr>
        <w:pStyle w:val="Bibliography"/>
        <w:rPr>
          <w:sz w:val="22"/>
          <w:szCs w:val="22"/>
          <w:lang w:val="en-GB"/>
        </w:rPr>
      </w:pPr>
      <w:r w:rsidRPr="001334D1">
        <w:rPr>
          <w:sz w:val="22"/>
          <w:szCs w:val="22"/>
          <w:lang w:val="en-GB"/>
        </w:rPr>
        <w:t xml:space="preserve">40. </w:t>
      </w:r>
      <w:r w:rsidRPr="001334D1">
        <w:rPr>
          <w:sz w:val="22"/>
          <w:szCs w:val="22"/>
          <w:lang w:val="en-GB"/>
        </w:rPr>
        <w:tab/>
        <w:t xml:space="preserve">Li X, Ye J. The spillover effects of health insurance benefit mandates on public insurance coverage: Evidence from veterans. </w:t>
      </w:r>
      <w:r w:rsidRPr="001334D1">
        <w:rPr>
          <w:i/>
          <w:iCs/>
          <w:sz w:val="22"/>
          <w:szCs w:val="22"/>
          <w:lang w:val="en-GB"/>
        </w:rPr>
        <w:t>Journal of Health Economics</w:t>
      </w:r>
      <w:r w:rsidRPr="001334D1">
        <w:rPr>
          <w:sz w:val="22"/>
          <w:szCs w:val="22"/>
          <w:lang w:val="en-GB"/>
        </w:rPr>
        <w:t>. 2017:45-60.</w:t>
      </w:r>
    </w:p>
    <w:p w:rsidR="00856527" w:rsidRPr="001334D1" w:rsidRDefault="00856527" w:rsidP="00856527">
      <w:pPr>
        <w:pStyle w:val="Bibliography"/>
        <w:rPr>
          <w:sz w:val="22"/>
          <w:szCs w:val="22"/>
          <w:lang w:val="en-GB"/>
        </w:rPr>
      </w:pPr>
      <w:r w:rsidRPr="001334D1">
        <w:rPr>
          <w:sz w:val="22"/>
          <w:szCs w:val="22"/>
          <w:lang w:val="en-GB"/>
        </w:rPr>
        <w:t xml:space="preserve">41. </w:t>
      </w:r>
      <w:r w:rsidRPr="001334D1">
        <w:rPr>
          <w:sz w:val="22"/>
          <w:szCs w:val="22"/>
          <w:lang w:val="en-GB"/>
        </w:rPr>
        <w:tab/>
        <w:t xml:space="preserve">Woode ME. Parental health shocks and schooling: The impact of mutual health insurance in Rwanda. </w:t>
      </w:r>
      <w:r w:rsidRPr="001334D1">
        <w:rPr>
          <w:i/>
          <w:iCs/>
          <w:sz w:val="22"/>
          <w:szCs w:val="22"/>
          <w:lang w:val="en-GB"/>
        </w:rPr>
        <w:t>Social Science &amp; Medicine</w:t>
      </w:r>
      <w:r w:rsidRPr="001334D1">
        <w:rPr>
          <w:sz w:val="22"/>
          <w:szCs w:val="22"/>
          <w:lang w:val="en-GB"/>
        </w:rPr>
        <w:t>. 2017;173:35-47. doi:10.1016/j.socscimed.2016.11.023</w:t>
      </w:r>
    </w:p>
    <w:p w:rsidR="00856527" w:rsidRPr="001334D1" w:rsidRDefault="00856527" w:rsidP="00856527">
      <w:pPr>
        <w:pStyle w:val="Bibliography"/>
        <w:rPr>
          <w:sz w:val="22"/>
          <w:szCs w:val="22"/>
          <w:lang w:val="en-GB"/>
        </w:rPr>
      </w:pPr>
      <w:r w:rsidRPr="001334D1">
        <w:rPr>
          <w:sz w:val="22"/>
          <w:szCs w:val="22"/>
          <w:lang w:val="en-GB"/>
        </w:rPr>
        <w:t xml:space="preserve">42. </w:t>
      </w:r>
      <w:r w:rsidRPr="001334D1">
        <w:rPr>
          <w:sz w:val="22"/>
          <w:szCs w:val="22"/>
          <w:lang w:val="en-GB"/>
        </w:rPr>
        <w:tab/>
        <w:t xml:space="preserve">Sommers BD, Chua K-P, Kenney GM, Long SK, McMorrow S. California’s Early Coverage Expansion under the Affordable Care Act: A County-Level Analysis. </w:t>
      </w:r>
      <w:r w:rsidRPr="001334D1">
        <w:rPr>
          <w:i/>
          <w:iCs/>
          <w:sz w:val="22"/>
          <w:szCs w:val="22"/>
          <w:lang w:val="en-GB"/>
        </w:rPr>
        <w:t>Health Services Research</w:t>
      </w:r>
      <w:r w:rsidRPr="001334D1">
        <w:rPr>
          <w:sz w:val="22"/>
          <w:szCs w:val="22"/>
          <w:lang w:val="en-GB"/>
        </w:rPr>
        <w:t>. 2016;51(3):825-845.</w:t>
      </w:r>
    </w:p>
    <w:p w:rsidR="00856527" w:rsidRPr="001334D1" w:rsidRDefault="00856527" w:rsidP="00856527">
      <w:pPr>
        <w:pStyle w:val="Bibliography"/>
        <w:rPr>
          <w:sz w:val="22"/>
          <w:szCs w:val="22"/>
          <w:lang w:val="en-GB"/>
        </w:rPr>
      </w:pPr>
      <w:r w:rsidRPr="001334D1">
        <w:rPr>
          <w:sz w:val="22"/>
          <w:szCs w:val="22"/>
          <w:lang w:val="en-GB"/>
        </w:rPr>
        <w:t xml:space="preserve">43. </w:t>
      </w:r>
      <w:r w:rsidRPr="001334D1">
        <w:rPr>
          <w:sz w:val="22"/>
          <w:szCs w:val="22"/>
          <w:lang w:val="en-GB"/>
        </w:rPr>
        <w:tab/>
        <w:t xml:space="preserve">Shane DM, Ayyagari P. Spillover Effects of the Affordable Care Act? Exploring the Impact on Young Adult Dental Insurance Coverage. </w:t>
      </w:r>
      <w:r w:rsidRPr="001334D1">
        <w:rPr>
          <w:i/>
          <w:iCs/>
          <w:sz w:val="22"/>
          <w:szCs w:val="22"/>
          <w:lang w:val="en-GB"/>
        </w:rPr>
        <w:t>Health Services Research</w:t>
      </w:r>
      <w:r w:rsidRPr="001334D1">
        <w:rPr>
          <w:sz w:val="22"/>
          <w:szCs w:val="22"/>
          <w:lang w:val="en-GB"/>
        </w:rPr>
        <w:t>. 2015;50(4):1109-1124. doi:10.1111/1475-6773.12266</w:t>
      </w:r>
    </w:p>
    <w:p w:rsidR="00856527" w:rsidRPr="001334D1" w:rsidRDefault="00856527" w:rsidP="00856527">
      <w:pPr>
        <w:pStyle w:val="Bibliography"/>
        <w:rPr>
          <w:sz w:val="22"/>
          <w:szCs w:val="22"/>
          <w:lang w:val="en-GB"/>
        </w:rPr>
      </w:pPr>
      <w:r w:rsidRPr="001334D1">
        <w:rPr>
          <w:sz w:val="22"/>
          <w:szCs w:val="22"/>
          <w:lang w:val="en-GB"/>
        </w:rPr>
        <w:t xml:space="preserve">44. </w:t>
      </w:r>
      <w:r w:rsidRPr="001334D1">
        <w:rPr>
          <w:sz w:val="22"/>
          <w:szCs w:val="22"/>
          <w:lang w:val="en-GB"/>
        </w:rPr>
        <w:tab/>
        <w:t xml:space="preserve">Schwartz AL, Sommers BD. Moving For Medicaid? Recent Eligibility Expansions Did Not Induce Migration From Other States. </w:t>
      </w:r>
      <w:r w:rsidRPr="001334D1">
        <w:rPr>
          <w:i/>
          <w:iCs/>
          <w:sz w:val="22"/>
          <w:szCs w:val="22"/>
          <w:lang w:val="en-GB"/>
        </w:rPr>
        <w:t>Health Affairs</w:t>
      </w:r>
      <w:r w:rsidRPr="001334D1">
        <w:rPr>
          <w:sz w:val="22"/>
          <w:szCs w:val="22"/>
          <w:lang w:val="en-GB"/>
        </w:rPr>
        <w:t>. 2014;33(1):88-94. doi:10.1377/hlthaff.2013.0910</w:t>
      </w:r>
    </w:p>
    <w:p w:rsidR="00856527" w:rsidRPr="001334D1" w:rsidRDefault="00856527" w:rsidP="00856527">
      <w:pPr>
        <w:pStyle w:val="Bibliography"/>
        <w:rPr>
          <w:sz w:val="22"/>
          <w:szCs w:val="22"/>
          <w:lang w:val="en-GB"/>
        </w:rPr>
      </w:pPr>
      <w:r w:rsidRPr="001334D1">
        <w:rPr>
          <w:sz w:val="22"/>
          <w:szCs w:val="22"/>
          <w:lang w:val="en-GB"/>
        </w:rPr>
        <w:t xml:space="preserve">45. </w:t>
      </w:r>
      <w:r w:rsidRPr="001334D1">
        <w:rPr>
          <w:sz w:val="22"/>
          <w:szCs w:val="22"/>
          <w:lang w:val="en-GB"/>
        </w:rPr>
        <w:tab/>
        <w:t xml:space="preserve">Vujicic M, Yarbrough C, Nasseh K. The Effect of the Affordable Care Act’s Expanded Coverage Policy on Access to Dental Care. </w:t>
      </w:r>
      <w:r w:rsidRPr="001334D1">
        <w:rPr>
          <w:i/>
          <w:iCs/>
          <w:sz w:val="22"/>
          <w:szCs w:val="22"/>
          <w:lang w:val="en-GB"/>
        </w:rPr>
        <w:t>Medical Care</w:t>
      </w:r>
      <w:r w:rsidRPr="001334D1">
        <w:rPr>
          <w:sz w:val="22"/>
          <w:szCs w:val="22"/>
          <w:lang w:val="en-GB"/>
        </w:rPr>
        <w:t>. 2014;52(8):715–719. doi:10.1097/MLR.0000000000000168</w:t>
      </w:r>
    </w:p>
    <w:p w:rsidR="00856527" w:rsidRPr="001334D1" w:rsidRDefault="00856527" w:rsidP="00856527">
      <w:pPr>
        <w:pStyle w:val="Bibliography"/>
        <w:rPr>
          <w:sz w:val="22"/>
          <w:szCs w:val="22"/>
          <w:lang w:val="en-GB"/>
        </w:rPr>
      </w:pPr>
      <w:r w:rsidRPr="001334D1">
        <w:rPr>
          <w:sz w:val="22"/>
          <w:szCs w:val="22"/>
          <w:lang w:val="en-GB"/>
        </w:rPr>
        <w:t xml:space="preserve">46. </w:t>
      </w:r>
      <w:r w:rsidRPr="001334D1">
        <w:rPr>
          <w:sz w:val="22"/>
          <w:szCs w:val="22"/>
          <w:lang w:val="en-GB"/>
        </w:rPr>
        <w:tab/>
        <w:t xml:space="preserve">Sommers BD, Kenney GM, Epstein AM. New Evidence On The Affordable Care Act: Coverage Impacts Of Early Medicaid Expansions. </w:t>
      </w:r>
      <w:r w:rsidRPr="001334D1">
        <w:rPr>
          <w:i/>
          <w:iCs/>
          <w:sz w:val="22"/>
          <w:szCs w:val="22"/>
          <w:lang w:val="en-GB"/>
        </w:rPr>
        <w:t>Health Affairs</w:t>
      </w:r>
      <w:r w:rsidRPr="001334D1">
        <w:rPr>
          <w:sz w:val="22"/>
          <w:szCs w:val="22"/>
          <w:lang w:val="en-GB"/>
        </w:rPr>
        <w:t>. 2014;33(1):78-87. doi:10.1377/hlthaff.2013.1087</w:t>
      </w:r>
    </w:p>
    <w:p w:rsidR="00856527" w:rsidRPr="001334D1" w:rsidRDefault="00856527" w:rsidP="00856527">
      <w:pPr>
        <w:pStyle w:val="Bibliography"/>
        <w:rPr>
          <w:sz w:val="22"/>
          <w:szCs w:val="22"/>
          <w:lang w:val="en-GB"/>
        </w:rPr>
      </w:pPr>
      <w:r w:rsidRPr="001334D1">
        <w:rPr>
          <w:sz w:val="22"/>
          <w:szCs w:val="22"/>
          <w:lang w:val="en-GB"/>
        </w:rPr>
        <w:t xml:space="preserve">47. </w:t>
      </w:r>
      <w:r w:rsidRPr="001334D1">
        <w:rPr>
          <w:sz w:val="22"/>
          <w:szCs w:val="22"/>
          <w:lang w:val="en-GB"/>
        </w:rPr>
        <w:tab/>
        <w:t xml:space="preserve">Sheu J-T, Lu J-FR. The spillover effect of National Health Insurance on household consumption patterns: evidence from a natural experiment in Taiwan. </w:t>
      </w:r>
      <w:r w:rsidRPr="001334D1">
        <w:rPr>
          <w:i/>
          <w:iCs/>
          <w:sz w:val="22"/>
          <w:szCs w:val="22"/>
          <w:lang w:val="en-GB"/>
        </w:rPr>
        <w:t>Social Science &amp; Medicine</w:t>
      </w:r>
      <w:r w:rsidRPr="001334D1">
        <w:rPr>
          <w:sz w:val="22"/>
          <w:szCs w:val="22"/>
          <w:lang w:val="en-GB"/>
        </w:rPr>
        <w:t>. June 2014:41-49.</w:t>
      </w:r>
    </w:p>
    <w:p w:rsidR="00856527" w:rsidRPr="001334D1" w:rsidRDefault="00856527" w:rsidP="00856527">
      <w:pPr>
        <w:pStyle w:val="Bibliography"/>
        <w:rPr>
          <w:sz w:val="22"/>
          <w:szCs w:val="22"/>
          <w:lang w:val="en-GB"/>
        </w:rPr>
      </w:pPr>
      <w:r w:rsidRPr="001334D1">
        <w:rPr>
          <w:sz w:val="22"/>
          <w:szCs w:val="22"/>
          <w:lang w:val="en-GB"/>
        </w:rPr>
        <w:t xml:space="preserve">48. </w:t>
      </w:r>
      <w:r w:rsidRPr="001334D1">
        <w:rPr>
          <w:sz w:val="22"/>
          <w:szCs w:val="22"/>
          <w:lang w:val="en-GB"/>
        </w:rPr>
        <w:tab/>
        <w:t xml:space="preserve">Joynt KE, Chan D, Orav EJ, Jha AK. Insurance expansion in Massachusetts did not reduce access among previously insured Medicare patients. </w:t>
      </w:r>
      <w:r w:rsidRPr="001334D1">
        <w:rPr>
          <w:i/>
          <w:iCs/>
          <w:sz w:val="22"/>
          <w:szCs w:val="22"/>
          <w:lang w:val="en-GB"/>
        </w:rPr>
        <w:t>Health Affairs</w:t>
      </w:r>
      <w:r w:rsidRPr="001334D1">
        <w:rPr>
          <w:sz w:val="22"/>
          <w:szCs w:val="22"/>
          <w:lang w:val="en-GB"/>
        </w:rPr>
        <w:t>. 2013;32(3):571-578.</w:t>
      </w:r>
    </w:p>
    <w:p w:rsidR="00856527" w:rsidRPr="001334D1" w:rsidRDefault="00856527" w:rsidP="00856527">
      <w:pPr>
        <w:pStyle w:val="Bibliography"/>
        <w:rPr>
          <w:sz w:val="22"/>
          <w:szCs w:val="22"/>
          <w:lang w:val="en-GB"/>
        </w:rPr>
      </w:pPr>
      <w:r w:rsidRPr="001334D1">
        <w:rPr>
          <w:sz w:val="22"/>
          <w:szCs w:val="22"/>
          <w:lang w:val="en-GB"/>
        </w:rPr>
        <w:t xml:space="preserve">49. </w:t>
      </w:r>
      <w:r w:rsidRPr="001334D1">
        <w:rPr>
          <w:sz w:val="22"/>
          <w:szCs w:val="22"/>
          <w:lang w:val="en-GB"/>
        </w:rPr>
        <w:tab/>
        <w:t xml:space="preserve">Atherly A, Coulam RF, Dowd BE, Guy G. The effect of adult HIFA waiver expansions on insurance coverage of children. </w:t>
      </w:r>
      <w:r w:rsidRPr="001334D1">
        <w:rPr>
          <w:i/>
          <w:iCs/>
          <w:sz w:val="22"/>
          <w:szCs w:val="22"/>
          <w:lang w:val="en-GB"/>
        </w:rPr>
        <w:t>Medical Care Research &amp; Review</w:t>
      </w:r>
      <w:r w:rsidRPr="001334D1">
        <w:rPr>
          <w:sz w:val="22"/>
          <w:szCs w:val="22"/>
          <w:lang w:val="en-GB"/>
        </w:rPr>
        <w:t>. 2012;69(4):397-413.</w:t>
      </w:r>
    </w:p>
    <w:p w:rsidR="00856527" w:rsidRPr="001334D1" w:rsidRDefault="00856527" w:rsidP="00856527">
      <w:pPr>
        <w:pStyle w:val="Bibliography"/>
        <w:rPr>
          <w:sz w:val="22"/>
          <w:szCs w:val="22"/>
          <w:lang w:val="en-GB"/>
        </w:rPr>
      </w:pPr>
      <w:r w:rsidRPr="001334D1">
        <w:rPr>
          <w:sz w:val="22"/>
          <w:szCs w:val="22"/>
          <w:lang w:val="en-GB"/>
        </w:rPr>
        <w:t xml:space="preserve">50. </w:t>
      </w:r>
      <w:r w:rsidRPr="001334D1">
        <w:rPr>
          <w:sz w:val="22"/>
          <w:szCs w:val="22"/>
          <w:lang w:val="en-GB"/>
        </w:rPr>
        <w:tab/>
        <w:t xml:space="preserve">White C. A comparison of two approaches to increasing access to care: expanding coverage versus increasing physician fees. </w:t>
      </w:r>
      <w:r w:rsidRPr="001334D1">
        <w:rPr>
          <w:i/>
          <w:iCs/>
          <w:sz w:val="22"/>
          <w:szCs w:val="22"/>
          <w:lang w:val="en-GB"/>
        </w:rPr>
        <w:t>Health Services Research</w:t>
      </w:r>
      <w:r w:rsidRPr="001334D1">
        <w:rPr>
          <w:sz w:val="22"/>
          <w:szCs w:val="22"/>
          <w:lang w:val="en-GB"/>
        </w:rPr>
        <w:t>. June 2012:963-983.</w:t>
      </w:r>
    </w:p>
    <w:p w:rsidR="00856527" w:rsidRPr="001334D1" w:rsidRDefault="00856527" w:rsidP="00856527">
      <w:pPr>
        <w:pStyle w:val="Bibliography"/>
        <w:rPr>
          <w:sz w:val="22"/>
          <w:szCs w:val="22"/>
          <w:lang w:val="en-GB"/>
        </w:rPr>
      </w:pPr>
      <w:r w:rsidRPr="001334D1">
        <w:rPr>
          <w:sz w:val="22"/>
          <w:szCs w:val="22"/>
          <w:lang w:val="en-GB"/>
        </w:rPr>
        <w:t xml:space="preserve">51. </w:t>
      </w:r>
      <w:r w:rsidRPr="001334D1">
        <w:rPr>
          <w:sz w:val="22"/>
          <w:szCs w:val="22"/>
          <w:lang w:val="en-GB"/>
        </w:rPr>
        <w:tab/>
        <w:t xml:space="preserve">Bian J, Lipscomb J, Mello MM. Spillover effects of state mandated benefit laws: the case of outpatient breast cancer surgery. </w:t>
      </w:r>
      <w:r w:rsidRPr="001334D1">
        <w:rPr>
          <w:i/>
          <w:iCs/>
          <w:sz w:val="22"/>
          <w:szCs w:val="22"/>
          <w:lang w:val="en-GB"/>
        </w:rPr>
        <w:t>Inquiry</w:t>
      </w:r>
      <w:r w:rsidRPr="001334D1">
        <w:rPr>
          <w:sz w:val="22"/>
          <w:szCs w:val="22"/>
          <w:lang w:val="en-GB"/>
        </w:rPr>
        <w:t>. 2009;46(4):433-447.</w:t>
      </w:r>
    </w:p>
    <w:p w:rsidR="00856527" w:rsidRPr="001334D1" w:rsidRDefault="00856527" w:rsidP="00856527">
      <w:pPr>
        <w:pStyle w:val="Bibliography"/>
        <w:rPr>
          <w:sz w:val="22"/>
          <w:szCs w:val="22"/>
          <w:lang w:val="en-GB"/>
        </w:rPr>
      </w:pPr>
      <w:r w:rsidRPr="001334D1">
        <w:rPr>
          <w:sz w:val="22"/>
          <w:szCs w:val="22"/>
          <w:lang w:val="en-GB"/>
        </w:rPr>
        <w:t xml:space="preserve">52. </w:t>
      </w:r>
      <w:r w:rsidRPr="001334D1">
        <w:rPr>
          <w:sz w:val="22"/>
          <w:szCs w:val="22"/>
          <w:lang w:val="en-GB"/>
        </w:rPr>
        <w:tab/>
        <w:t xml:space="preserve">Blunt EO, Maclean JC, Popovici I, Marcus SC. Public insurance expansions and mental health care availability. </w:t>
      </w:r>
      <w:r w:rsidRPr="001334D1">
        <w:rPr>
          <w:i/>
          <w:iCs/>
          <w:sz w:val="22"/>
          <w:szCs w:val="22"/>
          <w:lang w:val="en-GB"/>
        </w:rPr>
        <w:t>Health Services Research</w:t>
      </w:r>
      <w:r w:rsidRPr="001334D1">
        <w:rPr>
          <w:sz w:val="22"/>
          <w:szCs w:val="22"/>
          <w:lang w:val="en-GB"/>
        </w:rPr>
        <w:t>. 2020;55(4):615-625. doi:10.1111/1475-6773.13311</w:t>
      </w:r>
    </w:p>
    <w:p w:rsidR="00856527" w:rsidRPr="001334D1" w:rsidRDefault="00856527" w:rsidP="00856527">
      <w:pPr>
        <w:pStyle w:val="Bibliography"/>
        <w:rPr>
          <w:sz w:val="22"/>
          <w:szCs w:val="22"/>
          <w:lang w:val="en-GB"/>
        </w:rPr>
      </w:pPr>
      <w:r w:rsidRPr="001334D1">
        <w:rPr>
          <w:sz w:val="22"/>
          <w:szCs w:val="22"/>
          <w:lang w:val="en-GB"/>
        </w:rPr>
        <w:t xml:space="preserve">53. </w:t>
      </w:r>
      <w:r w:rsidRPr="001334D1">
        <w:rPr>
          <w:sz w:val="22"/>
          <w:szCs w:val="22"/>
          <w:lang w:val="en-GB"/>
        </w:rPr>
        <w:tab/>
        <w:t xml:space="preserve">Shane DM, Wehby GL. Were Patient Protection and Affordable Care Act spillover gains to private dental coverage for dependents widely shared?: An analysis using Medical Expenditure Panel Survey data. </w:t>
      </w:r>
      <w:r w:rsidRPr="001334D1">
        <w:rPr>
          <w:i/>
          <w:iCs/>
          <w:sz w:val="22"/>
          <w:szCs w:val="22"/>
          <w:lang w:val="en-GB"/>
        </w:rPr>
        <w:t>The Journal of the American Dental Association</w:t>
      </w:r>
      <w:r w:rsidRPr="001334D1">
        <w:rPr>
          <w:sz w:val="22"/>
          <w:szCs w:val="22"/>
          <w:lang w:val="en-GB"/>
        </w:rPr>
        <w:t>. 2020;151(3):182-189. doi:10.1016/j.adaj.2019.11.014</w:t>
      </w:r>
    </w:p>
    <w:p w:rsidR="00856527" w:rsidRPr="001334D1" w:rsidRDefault="00856527" w:rsidP="00856527">
      <w:pPr>
        <w:pStyle w:val="Bibliography"/>
        <w:rPr>
          <w:sz w:val="22"/>
          <w:szCs w:val="22"/>
          <w:lang w:val="en-GB"/>
        </w:rPr>
      </w:pPr>
      <w:r w:rsidRPr="001334D1">
        <w:rPr>
          <w:sz w:val="22"/>
          <w:szCs w:val="22"/>
          <w:lang w:val="en-GB"/>
        </w:rPr>
        <w:lastRenderedPageBreak/>
        <w:t xml:space="preserve">54. </w:t>
      </w:r>
      <w:r w:rsidRPr="001334D1">
        <w:rPr>
          <w:sz w:val="22"/>
          <w:szCs w:val="22"/>
          <w:lang w:val="en-GB"/>
        </w:rPr>
        <w:tab/>
        <w:t xml:space="preserve">Walsh B, Nolan A, Brick A, Keegan C. Did the expansion of free GP care impact demand for Emergency Department attendances? A difference-in-differences analysis. </w:t>
      </w:r>
      <w:r w:rsidRPr="001334D1">
        <w:rPr>
          <w:i/>
          <w:iCs/>
          <w:sz w:val="22"/>
          <w:szCs w:val="22"/>
          <w:lang w:val="en-GB"/>
        </w:rPr>
        <w:t>Social Science &amp; Medicine (1982)</w:t>
      </w:r>
      <w:r w:rsidRPr="001334D1">
        <w:rPr>
          <w:sz w:val="22"/>
          <w:szCs w:val="22"/>
          <w:lang w:val="en-GB"/>
        </w:rPr>
        <w:t>. 2019;222:101-111. doi:10.1016/j.socscimed.2018.12.029</w:t>
      </w:r>
    </w:p>
    <w:p w:rsidR="00856527" w:rsidRPr="001334D1" w:rsidRDefault="00856527" w:rsidP="00856527">
      <w:pPr>
        <w:pStyle w:val="Bibliography"/>
        <w:rPr>
          <w:sz w:val="22"/>
          <w:szCs w:val="22"/>
          <w:lang w:val="en-GB"/>
        </w:rPr>
      </w:pPr>
      <w:r w:rsidRPr="001334D1">
        <w:rPr>
          <w:sz w:val="22"/>
          <w:szCs w:val="22"/>
          <w:lang w:val="en-GB"/>
        </w:rPr>
        <w:t xml:space="preserve">55. </w:t>
      </w:r>
      <w:r w:rsidRPr="001334D1">
        <w:rPr>
          <w:sz w:val="22"/>
          <w:szCs w:val="22"/>
          <w:lang w:val="en-GB"/>
        </w:rPr>
        <w:tab/>
        <w:t xml:space="preserve">Kenney G, Marton J, McFeeters J, Costich J. Assessing Potential Enrollment and Budgetary Effects of SCHIP Premiums: Findings from Arizona and Kentucky. </w:t>
      </w:r>
      <w:r w:rsidRPr="001334D1">
        <w:rPr>
          <w:i/>
          <w:iCs/>
          <w:sz w:val="22"/>
          <w:szCs w:val="22"/>
          <w:lang w:val="en-GB"/>
        </w:rPr>
        <w:t>Health Serv Res</w:t>
      </w:r>
      <w:r w:rsidRPr="001334D1">
        <w:rPr>
          <w:sz w:val="22"/>
          <w:szCs w:val="22"/>
          <w:lang w:val="en-GB"/>
        </w:rPr>
        <w:t>. 2007;42(6 Pt 2):2354-2372. doi:10.1111/j.1475-6773.2007.00772.x</w:t>
      </w:r>
    </w:p>
    <w:p w:rsidR="00856527" w:rsidRPr="001334D1" w:rsidRDefault="00856527" w:rsidP="00856527">
      <w:pPr>
        <w:pStyle w:val="Bibliography"/>
        <w:rPr>
          <w:sz w:val="22"/>
          <w:szCs w:val="22"/>
          <w:lang w:val="en-GB"/>
        </w:rPr>
      </w:pPr>
      <w:r w:rsidRPr="001334D1">
        <w:rPr>
          <w:sz w:val="22"/>
          <w:szCs w:val="22"/>
          <w:lang w:val="en-GB"/>
        </w:rPr>
        <w:t xml:space="preserve">56. </w:t>
      </w:r>
      <w:r w:rsidRPr="001334D1">
        <w:rPr>
          <w:sz w:val="22"/>
          <w:szCs w:val="22"/>
          <w:lang w:val="en-GB"/>
        </w:rPr>
        <w:tab/>
        <w:t xml:space="preserve">Lagarde M, Barroy H, Palmer N. Assessing the Effects of Removing User Fees in Zambia and Niger. </w:t>
      </w:r>
      <w:r w:rsidRPr="001334D1">
        <w:rPr>
          <w:i/>
          <w:iCs/>
          <w:sz w:val="22"/>
          <w:szCs w:val="22"/>
          <w:lang w:val="en-GB"/>
        </w:rPr>
        <w:t>J Health Serv Res Policy</w:t>
      </w:r>
      <w:r w:rsidRPr="001334D1">
        <w:rPr>
          <w:sz w:val="22"/>
          <w:szCs w:val="22"/>
          <w:lang w:val="en-GB"/>
        </w:rPr>
        <w:t>. 2012;17(1):30-36. doi:10.1258/jhsrp.2011.010166</w:t>
      </w:r>
    </w:p>
    <w:p w:rsidR="00856527" w:rsidRPr="001334D1" w:rsidRDefault="00856527" w:rsidP="00856527">
      <w:pPr>
        <w:pStyle w:val="Bibliography"/>
        <w:rPr>
          <w:sz w:val="22"/>
          <w:szCs w:val="22"/>
          <w:lang w:val="en-GB"/>
        </w:rPr>
      </w:pPr>
      <w:r w:rsidRPr="001334D1">
        <w:rPr>
          <w:sz w:val="22"/>
          <w:szCs w:val="22"/>
          <w:lang w:val="en-GB"/>
        </w:rPr>
        <w:t xml:space="preserve">57. </w:t>
      </w:r>
      <w:r w:rsidRPr="001334D1">
        <w:rPr>
          <w:sz w:val="22"/>
          <w:szCs w:val="22"/>
          <w:lang w:val="en-GB"/>
        </w:rPr>
        <w:tab/>
        <w:t xml:space="preserve">Wang C, Sweetman A. Delisting eye examinations from public health insurance: Empirical evidence from Canada regarding impacts on patients and providers. </w:t>
      </w:r>
      <w:r w:rsidRPr="001334D1">
        <w:rPr>
          <w:i/>
          <w:iCs/>
          <w:sz w:val="22"/>
          <w:szCs w:val="22"/>
          <w:lang w:val="en-GB"/>
        </w:rPr>
        <w:t>Health Policy</w:t>
      </w:r>
      <w:r w:rsidRPr="001334D1">
        <w:rPr>
          <w:sz w:val="22"/>
          <w:szCs w:val="22"/>
          <w:lang w:val="en-GB"/>
        </w:rPr>
        <w:t>. 2020;124(5):540-548. doi:10.1016/j.healthpol.2020.03.006</w:t>
      </w:r>
    </w:p>
    <w:p w:rsidR="00856527" w:rsidRPr="001334D1" w:rsidRDefault="00856527" w:rsidP="00856527">
      <w:pPr>
        <w:pStyle w:val="Bibliography"/>
        <w:rPr>
          <w:sz w:val="22"/>
          <w:szCs w:val="22"/>
          <w:lang w:val="en-GB"/>
        </w:rPr>
      </w:pPr>
      <w:r w:rsidRPr="001334D1">
        <w:rPr>
          <w:sz w:val="22"/>
          <w:szCs w:val="22"/>
          <w:lang w:val="en-GB"/>
        </w:rPr>
        <w:t xml:space="preserve">58. </w:t>
      </w:r>
      <w:r w:rsidRPr="001334D1">
        <w:rPr>
          <w:sz w:val="22"/>
          <w:szCs w:val="22"/>
          <w:lang w:val="en-GB"/>
        </w:rPr>
        <w:tab/>
        <w:t xml:space="preserve">Dougherty L, Stammer E, Derbile E, et al. A Mixed-Methods Evaluation of a Community-Based Behavior Change Program to Improve Maternal Health Outcomes in the Upper West Region of Ghana. </w:t>
      </w:r>
      <w:r w:rsidRPr="001334D1">
        <w:rPr>
          <w:i/>
          <w:iCs/>
          <w:sz w:val="22"/>
          <w:szCs w:val="22"/>
          <w:lang w:val="en-GB"/>
        </w:rPr>
        <w:t>Journal of Health Communication</w:t>
      </w:r>
      <w:r w:rsidRPr="001334D1">
        <w:rPr>
          <w:sz w:val="22"/>
          <w:szCs w:val="22"/>
          <w:lang w:val="en-GB"/>
        </w:rPr>
        <w:t>. 2018;23(1):80-90.</w:t>
      </w:r>
    </w:p>
    <w:p w:rsidR="00856527" w:rsidRPr="001334D1" w:rsidRDefault="00856527" w:rsidP="00856527">
      <w:pPr>
        <w:pStyle w:val="Bibliography"/>
        <w:rPr>
          <w:sz w:val="22"/>
          <w:szCs w:val="22"/>
          <w:lang w:val="en-GB"/>
        </w:rPr>
      </w:pPr>
      <w:r w:rsidRPr="001334D1">
        <w:rPr>
          <w:sz w:val="22"/>
          <w:szCs w:val="22"/>
          <w:lang w:val="en-GB"/>
        </w:rPr>
        <w:t xml:space="preserve">59. </w:t>
      </w:r>
      <w:r w:rsidRPr="001334D1">
        <w:rPr>
          <w:sz w:val="22"/>
          <w:szCs w:val="22"/>
          <w:lang w:val="en-GB"/>
        </w:rPr>
        <w:tab/>
        <w:t xml:space="preserve">Raza WA, Van de Poel E, Van Ourti T. Impact and spill-over effects of an asset transfer program on child undernutrition: Evidence from a randomized control trial in Bangladesh. </w:t>
      </w:r>
      <w:r w:rsidRPr="001334D1">
        <w:rPr>
          <w:i/>
          <w:iCs/>
          <w:sz w:val="22"/>
          <w:szCs w:val="22"/>
          <w:lang w:val="en-GB"/>
        </w:rPr>
        <w:t>Journal of Health Economics</w:t>
      </w:r>
      <w:r w:rsidRPr="001334D1">
        <w:rPr>
          <w:sz w:val="22"/>
          <w:szCs w:val="22"/>
          <w:lang w:val="en-GB"/>
        </w:rPr>
        <w:t>. 2018;62:105-120. doi:10.1016/j.jhealeco.2018.09.011</w:t>
      </w:r>
    </w:p>
    <w:p w:rsidR="00856527" w:rsidRPr="001334D1" w:rsidRDefault="00856527" w:rsidP="00856527">
      <w:pPr>
        <w:pStyle w:val="Bibliography"/>
        <w:rPr>
          <w:sz w:val="22"/>
          <w:szCs w:val="22"/>
          <w:lang w:val="en-GB"/>
        </w:rPr>
      </w:pPr>
      <w:r w:rsidRPr="001334D1">
        <w:rPr>
          <w:sz w:val="22"/>
          <w:szCs w:val="22"/>
          <w:lang w:val="en-GB"/>
        </w:rPr>
        <w:t xml:space="preserve">60. </w:t>
      </w:r>
      <w:r w:rsidRPr="001334D1">
        <w:rPr>
          <w:sz w:val="22"/>
          <w:szCs w:val="22"/>
          <w:lang w:val="en-GB"/>
        </w:rPr>
        <w:tab/>
        <w:t xml:space="preserve">Cliff BQ, Hirth RA, Mark Fendrick A. Spillover Effects From A Consumer-Based Intervention To Increase High-Value Preventive Care. </w:t>
      </w:r>
      <w:r w:rsidRPr="001334D1">
        <w:rPr>
          <w:i/>
          <w:iCs/>
          <w:sz w:val="22"/>
          <w:szCs w:val="22"/>
          <w:lang w:val="en-GB"/>
        </w:rPr>
        <w:t>Health Affairs</w:t>
      </w:r>
      <w:r w:rsidRPr="001334D1">
        <w:rPr>
          <w:sz w:val="22"/>
          <w:szCs w:val="22"/>
          <w:lang w:val="en-GB"/>
        </w:rPr>
        <w:t>. 2019;38(3):448-455. doi:10.1377/hlthaff.2018.05015</w:t>
      </w:r>
    </w:p>
    <w:p w:rsidR="00856527" w:rsidRPr="001334D1" w:rsidRDefault="00856527" w:rsidP="00856527">
      <w:pPr>
        <w:pStyle w:val="Bibliography"/>
        <w:rPr>
          <w:sz w:val="22"/>
          <w:szCs w:val="22"/>
          <w:lang w:val="en-GB"/>
        </w:rPr>
      </w:pPr>
      <w:r w:rsidRPr="001334D1">
        <w:rPr>
          <w:sz w:val="22"/>
          <w:szCs w:val="22"/>
          <w:lang w:val="en-GB"/>
        </w:rPr>
        <w:t xml:space="preserve">61. </w:t>
      </w:r>
      <w:r w:rsidRPr="001334D1">
        <w:rPr>
          <w:sz w:val="22"/>
          <w:szCs w:val="22"/>
          <w:lang w:val="en-GB"/>
        </w:rPr>
        <w:tab/>
        <w:t xml:space="preserve">Bhadhuri A, Al-Janabi H, Jowett S, Jolly K. Incorporating Household Spillovers in Cost Utility Analysis: A Case Study Using Behavior Change in COPD. </w:t>
      </w:r>
      <w:r w:rsidRPr="001334D1">
        <w:rPr>
          <w:i/>
          <w:iCs/>
          <w:sz w:val="22"/>
          <w:szCs w:val="22"/>
          <w:lang w:val="en-GB"/>
        </w:rPr>
        <w:t>International Journal of Technology Assessment in Health Care</w:t>
      </w:r>
      <w:r w:rsidRPr="001334D1">
        <w:rPr>
          <w:sz w:val="22"/>
          <w:szCs w:val="22"/>
          <w:lang w:val="en-GB"/>
        </w:rPr>
        <w:t>. 2019;35(3):212-220. doi:10.1017/S026646231900028X</w:t>
      </w:r>
    </w:p>
    <w:p w:rsidR="00856527" w:rsidRPr="001334D1" w:rsidRDefault="00856527" w:rsidP="00856527">
      <w:pPr>
        <w:pStyle w:val="Bibliography"/>
        <w:rPr>
          <w:sz w:val="22"/>
          <w:szCs w:val="22"/>
          <w:lang w:val="en-GB"/>
        </w:rPr>
      </w:pPr>
      <w:r w:rsidRPr="001334D1">
        <w:rPr>
          <w:sz w:val="22"/>
          <w:szCs w:val="22"/>
          <w:lang w:val="en-GB"/>
        </w:rPr>
        <w:t xml:space="preserve">62. </w:t>
      </w:r>
      <w:r w:rsidRPr="001334D1">
        <w:rPr>
          <w:sz w:val="22"/>
          <w:szCs w:val="22"/>
          <w:lang w:val="en-GB"/>
        </w:rPr>
        <w:tab/>
        <w:t xml:space="preserve">Hoddinott J, Ahmed I, Ahmed A, Roy S. Behavior change communication activities improve infant and young child nutrition knowledge and practice of neighboring non-participants in a cluster-randomized trial in rural Bangladesh. </w:t>
      </w:r>
      <w:r w:rsidRPr="001334D1">
        <w:rPr>
          <w:i/>
          <w:iCs/>
          <w:sz w:val="22"/>
          <w:szCs w:val="22"/>
          <w:lang w:val="en-GB"/>
        </w:rPr>
        <w:t>PLOS ONE</w:t>
      </w:r>
      <w:r w:rsidRPr="001334D1">
        <w:rPr>
          <w:sz w:val="22"/>
          <w:szCs w:val="22"/>
          <w:lang w:val="en-GB"/>
        </w:rPr>
        <w:t>. 2017;12(6):e0179866. doi:10.1371/journal.pone.0179866</w:t>
      </w:r>
    </w:p>
    <w:p w:rsidR="00856527" w:rsidRPr="001334D1" w:rsidRDefault="00856527" w:rsidP="00856527">
      <w:pPr>
        <w:pStyle w:val="Bibliography"/>
        <w:rPr>
          <w:sz w:val="22"/>
          <w:szCs w:val="22"/>
          <w:lang w:val="en-GB"/>
        </w:rPr>
      </w:pPr>
      <w:r w:rsidRPr="001334D1">
        <w:rPr>
          <w:sz w:val="22"/>
          <w:szCs w:val="22"/>
          <w:lang w:val="en-GB"/>
        </w:rPr>
        <w:t xml:space="preserve">63. </w:t>
      </w:r>
      <w:r w:rsidRPr="001334D1">
        <w:rPr>
          <w:sz w:val="22"/>
          <w:szCs w:val="22"/>
          <w:lang w:val="en-GB"/>
        </w:rPr>
        <w:tab/>
        <w:t xml:space="preserve">Vable AM, Kawachi I, Canning D, Glymour MM, Jimenez MP, Subramanian SV. Are There Spillover Effects from the GI Bill? The Mental Health of Wives of Korean War Veterans. </w:t>
      </w:r>
      <w:r w:rsidRPr="001334D1">
        <w:rPr>
          <w:i/>
          <w:iCs/>
          <w:sz w:val="22"/>
          <w:szCs w:val="22"/>
          <w:lang w:val="en-GB"/>
        </w:rPr>
        <w:t>PLOS ONE</w:t>
      </w:r>
      <w:r w:rsidRPr="001334D1">
        <w:rPr>
          <w:sz w:val="22"/>
          <w:szCs w:val="22"/>
          <w:lang w:val="en-GB"/>
        </w:rPr>
        <w:t>. 2016;11(5):e0154203. doi:10.1371/journal.pone.0154203</w:t>
      </w:r>
    </w:p>
    <w:p w:rsidR="00856527" w:rsidRPr="001334D1" w:rsidRDefault="00856527" w:rsidP="00856527">
      <w:pPr>
        <w:pStyle w:val="Bibliography"/>
        <w:rPr>
          <w:sz w:val="22"/>
          <w:szCs w:val="22"/>
          <w:lang w:val="en-GB"/>
        </w:rPr>
      </w:pPr>
      <w:r w:rsidRPr="001334D1">
        <w:rPr>
          <w:sz w:val="22"/>
          <w:szCs w:val="22"/>
          <w:lang w:val="en-GB"/>
        </w:rPr>
        <w:t xml:space="preserve">64. </w:t>
      </w:r>
      <w:r w:rsidRPr="001334D1">
        <w:rPr>
          <w:sz w:val="22"/>
          <w:szCs w:val="22"/>
          <w:lang w:val="en-GB"/>
        </w:rPr>
        <w:tab/>
        <w:t xml:space="preserve">Coffield E, Nihiser AJ, Sherry B, Economos CD. Shape Up Somerville: change in parent body mass indexes during a child-targeted, community-based environmental change intervention. </w:t>
      </w:r>
      <w:r w:rsidRPr="001334D1">
        <w:rPr>
          <w:i/>
          <w:iCs/>
          <w:sz w:val="22"/>
          <w:szCs w:val="22"/>
          <w:lang w:val="en-GB"/>
        </w:rPr>
        <w:t>American Journal of Public Health</w:t>
      </w:r>
      <w:r w:rsidRPr="001334D1">
        <w:rPr>
          <w:sz w:val="22"/>
          <w:szCs w:val="22"/>
          <w:lang w:val="en-GB"/>
        </w:rPr>
        <w:t>. 2015;105(2):e83-89. doi:10.2105/AJPH.2014.302361</w:t>
      </w:r>
    </w:p>
    <w:p w:rsidR="00856527" w:rsidRPr="001334D1" w:rsidRDefault="00856527" w:rsidP="00856527">
      <w:pPr>
        <w:pStyle w:val="Bibliography"/>
        <w:rPr>
          <w:sz w:val="22"/>
          <w:szCs w:val="22"/>
          <w:lang w:val="en-GB"/>
        </w:rPr>
      </w:pPr>
      <w:r w:rsidRPr="001334D1">
        <w:rPr>
          <w:sz w:val="22"/>
          <w:szCs w:val="22"/>
          <w:lang w:val="en-GB"/>
        </w:rPr>
        <w:t xml:space="preserve">65. </w:t>
      </w:r>
      <w:r w:rsidRPr="001334D1">
        <w:rPr>
          <w:sz w:val="22"/>
          <w:szCs w:val="22"/>
          <w:lang w:val="en-GB"/>
        </w:rPr>
        <w:tab/>
        <w:t xml:space="preserve">Swinburn B, Malakellis M, Moodie M, et al. Large reductions in child overweight and obesity in intervention and comparison communities 3 years after a community project. </w:t>
      </w:r>
      <w:r w:rsidRPr="001334D1">
        <w:rPr>
          <w:i/>
          <w:iCs/>
          <w:sz w:val="22"/>
          <w:szCs w:val="22"/>
          <w:lang w:val="en-GB"/>
        </w:rPr>
        <w:t>Pediatric Obesity</w:t>
      </w:r>
      <w:r w:rsidRPr="001334D1">
        <w:rPr>
          <w:sz w:val="22"/>
          <w:szCs w:val="22"/>
          <w:lang w:val="en-GB"/>
        </w:rPr>
        <w:t>. 2014;9(6):455-462.</w:t>
      </w:r>
    </w:p>
    <w:p w:rsidR="00856527" w:rsidRPr="001334D1" w:rsidRDefault="00856527" w:rsidP="00856527">
      <w:pPr>
        <w:pStyle w:val="Bibliography"/>
        <w:rPr>
          <w:sz w:val="22"/>
          <w:szCs w:val="22"/>
          <w:lang w:val="en-GB"/>
        </w:rPr>
      </w:pPr>
      <w:r w:rsidRPr="001334D1">
        <w:rPr>
          <w:sz w:val="22"/>
          <w:szCs w:val="22"/>
          <w:lang w:val="en-GB"/>
        </w:rPr>
        <w:t xml:space="preserve">66. </w:t>
      </w:r>
      <w:r w:rsidRPr="001334D1">
        <w:rPr>
          <w:sz w:val="22"/>
          <w:szCs w:val="22"/>
          <w:lang w:val="en-GB"/>
        </w:rPr>
        <w:tab/>
        <w:t xml:space="preserve">Tan ASL. Potential spillover educational effects of cancer-related direct-to-consumer advertising on cancer patients’ increased information seeking behaviors: results from a cohort study. </w:t>
      </w:r>
      <w:r w:rsidRPr="001334D1">
        <w:rPr>
          <w:i/>
          <w:iCs/>
          <w:sz w:val="22"/>
          <w:szCs w:val="22"/>
          <w:lang w:val="en-GB"/>
        </w:rPr>
        <w:t>Journal of Cancer Education</w:t>
      </w:r>
      <w:r w:rsidRPr="001334D1">
        <w:rPr>
          <w:sz w:val="22"/>
          <w:szCs w:val="22"/>
          <w:lang w:val="en-GB"/>
        </w:rPr>
        <w:t>. 2014;29(2):258-265.</w:t>
      </w:r>
    </w:p>
    <w:p w:rsidR="00856527" w:rsidRPr="001334D1" w:rsidRDefault="00856527" w:rsidP="00856527">
      <w:pPr>
        <w:pStyle w:val="Bibliography"/>
        <w:rPr>
          <w:sz w:val="22"/>
          <w:szCs w:val="22"/>
          <w:lang w:val="en-GB"/>
        </w:rPr>
      </w:pPr>
      <w:r w:rsidRPr="001334D1">
        <w:rPr>
          <w:sz w:val="22"/>
          <w:szCs w:val="22"/>
          <w:lang w:val="en-GB"/>
        </w:rPr>
        <w:t xml:space="preserve">67. </w:t>
      </w:r>
      <w:r w:rsidRPr="001334D1">
        <w:rPr>
          <w:sz w:val="22"/>
          <w:szCs w:val="22"/>
          <w:lang w:val="en-GB"/>
        </w:rPr>
        <w:tab/>
        <w:t xml:space="preserve">Goebbels AFG, Lakerveld J, Ament AJHA, Bot SDM, Severens JL. Exploring non-health outcomes of health promotion: the perspective of participants in a lifestyle behaviour change intervention. </w:t>
      </w:r>
      <w:r w:rsidRPr="001334D1">
        <w:rPr>
          <w:i/>
          <w:iCs/>
          <w:sz w:val="22"/>
          <w:szCs w:val="22"/>
          <w:lang w:val="en-GB"/>
        </w:rPr>
        <w:t>Health Policy</w:t>
      </w:r>
      <w:r w:rsidRPr="001334D1">
        <w:rPr>
          <w:sz w:val="22"/>
          <w:szCs w:val="22"/>
          <w:lang w:val="en-GB"/>
        </w:rPr>
        <w:t>. 2012;106(2):177-186.</w:t>
      </w:r>
    </w:p>
    <w:p w:rsidR="00856527" w:rsidRPr="001334D1" w:rsidRDefault="00856527" w:rsidP="00856527">
      <w:pPr>
        <w:pStyle w:val="Bibliography"/>
        <w:rPr>
          <w:sz w:val="22"/>
          <w:szCs w:val="22"/>
          <w:lang w:val="en-GB"/>
        </w:rPr>
      </w:pPr>
      <w:r w:rsidRPr="001334D1">
        <w:rPr>
          <w:sz w:val="22"/>
          <w:szCs w:val="22"/>
          <w:lang w:val="en-GB"/>
        </w:rPr>
        <w:lastRenderedPageBreak/>
        <w:t xml:space="preserve">68. </w:t>
      </w:r>
      <w:r w:rsidRPr="001334D1">
        <w:rPr>
          <w:sz w:val="22"/>
          <w:szCs w:val="22"/>
          <w:lang w:val="en-GB"/>
        </w:rPr>
        <w:tab/>
        <w:t xml:space="preserve">de Heer HD, Koehly L, Pederson R, Morera O. Effectiveness and spillover of an after-school health promotion program for hispanic elementary school Children. </w:t>
      </w:r>
      <w:r w:rsidRPr="001334D1">
        <w:rPr>
          <w:i/>
          <w:iCs/>
          <w:sz w:val="22"/>
          <w:szCs w:val="22"/>
          <w:lang w:val="en-GB"/>
        </w:rPr>
        <w:t>American journal of public health</w:t>
      </w:r>
      <w:r w:rsidRPr="001334D1">
        <w:rPr>
          <w:sz w:val="22"/>
          <w:szCs w:val="22"/>
          <w:lang w:val="en-GB"/>
        </w:rPr>
        <w:t>. 2011;101(10):1907-1913. doi:10.2105/AJPH.2011.300177</w:t>
      </w:r>
    </w:p>
    <w:p w:rsidR="00856527" w:rsidRPr="001334D1" w:rsidRDefault="00856527" w:rsidP="00856527">
      <w:pPr>
        <w:pStyle w:val="Bibliography"/>
        <w:rPr>
          <w:sz w:val="22"/>
          <w:szCs w:val="22"/>
          <w:lang w:val="en-GB"/>
        </w:rPr>
      </w:pPr>
      <w:r w:rsidRPr="001334D1">
        <w:rPr>
          <w:sz w:val="22"/>
          <w:szCs w:val="22"/>
          <w:lang w:val="en-GB"/>
        </w:rPr>
        <w:t xml:space="preserve">69. </w:t>
      </w:r>
      <w:r w:rsidRPr="001334D1">
        <w:rPr>
          <w:sz w:val="22"/>
          <w:szCs w:val="22"/>
          <w:lang w:val="en-GB"/>
        </w:rPr>
        <w:tab/>
        <w:t xml:space="preserve">Mata J, Silva MN, Vieira PN, et al. Motivational “spill-over” during weight control: increased self-determination and exercise intrinsic motivation predict eating self-regulation. </w:t>
      </w:r>
      <w:r w:rsidRPr="001334D1">
        <w:rPr>
          <w:i/>
          <w:iCs/>
          <w:sz w:val="22"/>
          <w:szCs w:val="22"/>
          <w:lang w:val="en-GB"/>
        </w:rPr>
        <w:t>Health Psychology</w:t>
      </w:r>
      <w:r w:rsidRPr="001334D1">
        <w:rPr>
          <w:sz w:val="22"/>
          <w:szCs w:val="22"/>
          <w:lang w:val="en-GB"/>
        </w:rPr>
        <w:t>. 2009;28(6):709-716.</w:t>
      </w:r>
    </w:p>
    <w:p w:rsidR="00856527" w:rsidRPr="001334D1" w:rsidRDefault="00856527" w:rsidP="00856527">
      <w:pPr>
        <w:pStyle w:val="Bibliography"/>
        <w:rPr>
          <w:sz w:val="22"/>
          <w:szCs w:val="22"/>
        </w:rPr>
      </w:pPr>
      <w:r w:rsidRPr="001334D1">
        <w:rPr>
          <w:sz w:val="22"/>
          <w:szCs w:val="22"/>
          <w:lang w:val="en-GB"/>
        </w:rPr>
        <w:t xml:space="preserve">70. </w:t>
      </w:r>
      <w:r w:rsidRPr="001334D1">
        <w:rPr>
          <w:sz w:val="22"/>
          <w:szCs w:val="22"/>
          <w:lang w:val="en-GB"/>
        </w:rPr>
        <w:tab/>
        <w:t xml:space="preserve">Gansky SA, Ellison JA, Rudy D, et al. Cluster-Randomized Controlled Trial of An Athletic Trainer-Directed Spit (Smokeless) Tobacco Intervention for Collegiate Baseball Athletes: Results After 1 Year. </w:t>
      </w:r>
      <w:r w:rsidRPr="001334D1">
        <w:rPr>
          <w:i/>
          <w:iCs/>
          <w:sz w:val="22"/>
          <w:szCs w:val="22"/>
        </w:rPr>
        <w:t>J Athl Train</w:t>
      </w:r>
      <w:r w:rsidRPr="001334D1">
        <w:rPr>
          <w:sz w:val="22"/>
          <w:szCs w:val="22"/>
        </w:rPr>
        <w:t>. 2005;40(2):76-87.</w:t>
      </w:r>
    </w:p>
    <w:p w:rsidR="00856527" w:rsidRPr="001334D1" w:rsidRDefault="00856527" w:rsidP="00856527">
      <w:pPr>
        <w:pStyle w:val="Bibliography"/>
        <w:rPr>
          <w:sz w:val="22"/>
          <w:szCs w:val="22"/>
          <w:lang w:val="en-GB"/>
        </w:rPr>
      </w:pPr>
      <w:r w:rsidRPr="001334D1">
        <w:rPr>
          <w:sz w:val="22"/>
          <w:szCs w:val="22"/>
        </w:rPr>
        <w:t xml:space="preserve">71. </w:t>
      </w:r>
      <w:r w:rsidRPr="001334D1">
        <w:rPr>
          <w:sz w:val="22"/>
          <w:szCs w:val="22"/>
        </w:rPr>
        <w:tab/>
        <w:t xml:space="preserve">Sarma EA, Moyer A, Messina CR, et al. </w:t>
      </w:r>
      <w:r w:rsidRPr="001334D1">
        <w:rPr>
          <w:sz w:val="22"/>
          <w:szCs w:val="22"/>
          <w:lang w:val="en-GB"/>
        </w:rPr>
        <w:t xml:space="preserve">Is There a Spillover Effect of Targeted Dietary Change on Untargeted Health Behaviors? Evidence From a Dietary Modification Trial. </w:t>
      </w:r>
      <w:r w:rsidRPr="001334D1">
        <w:rPr>
          <w:i/>
          <w:iCs/>
          <w:sz w:val="22"/>
          <w:szCs w:val="22"/>
          <w:lang w:val="en-GB"/>
        </w:rPr>
        <w:t>Health Educ Behav</w:t>
      </w:r>
      <w:r w:rsidRPr="001334D1">
        <w:rPr>
          <w:sz w:val="22"/>
          <w:szCs w:val="22"/>
          <w:lang w:val="en-GB"/>
        </w:rPr>
        <w:t>. 2019;46(4):569-581. doi:10.1177/1090198119831756</w:t>
      </w:r>
    </w:p>
    <w:p w:rsidR="00856527" w:rsidRPr="001334D1" w:rsidRDefault="00856527" w:rsidP="00856527">
      <w:pPr>
        <w:pStyle w:val="Bibliography"/>
        <w:rPr>
          <w:sz w:val="22"/>
          <w:szCs w:val="22"/>
          <w:lang w:val="en-GB"/>
        </w:rPr>
      </w:pPr>
      <w:r w:rsidRPr="001334D1">
        <w:rPr>
          <w:sz w:val="22"/>
          <w:szCs w:val="22"/>
          <w:lang w:val="en-GB"/>
        </w:rPr>
        <w:t xml:space="preserve">72. </w:t>
      </w:r>
      <w:r w:rsidRPr="001334D1">
        <w:rPr>
          <w:sz w:val="22"/>
          <w:szCs w:val="22"/>
          <w:lang w:val="en-GB"/>
        </w:rPr>
        <w:tab/>
        <w:t xml:space="preserve">Blakstad MM, Bellows AL, Mosha D, et al. Neighbour home gardening predicts dietary diversity among rural Tanzanian women. </w:t>
      </w:r>
      <w:r w:rsidRPr="001334D1">
        <w:rPr>
          <w:i/>
          <w:iCs/>
          <w:sz w:val="22"/>
          <w:szCs w:val="22"/>
          <w:lang w:val="en-GB"/>
        </w:rPr>
        <w:t>Public Health Nutrition</w:t>
      </w:r>
      <w:r w:rsidRPr="001334D1">
        <w:rPr>
          <w:sz w:val="22"/>
          <w:szCs w:val="22"/>
          <w:lang w:val="en-GB"/>
        </w:rPr>
        <w:t>. 2019;22(9):1646-1653. doi:10.1017/S1368980018003798</w:t>
      </w:r>
    </w:p>
    <w:p w:rsidR="00856527" w:rsidRPr="001334D1" w:rsidRDefault="00856527" w:rsidP="00856527">
      <w:pPr>
        <w:pStyle w:val="Bibliography"/>
        <w:rPr>
          <w:sz w:val="22"/>
          <w:szCs w:val="22"/>
          <w:lang w:val="en-GB"/>
        </w:rPr>
      </w:pPr>
      <w:r w:rsidRPr="001334D1">
        <w:rPr>
          <w:sz w:val="22"/>
          <w:szCs w:val="22"/>
          <w:lang w:val="en-GB"/>
        </w:rPr>
        <w:t xml:space="preserve">73. </w:t>
      </w:r>
      <w:r w:rsidRPr="001334D1">
        <w:rPr>
          <w:sz w:val="22"/>
          <w:szCs w:val="22"/>
          <w:lang w:val="en-GB"/>
        </w:rPr>
        <w:tab/>
        <w:t xml:space="preserve">Lowenstein C, Dow WH, White JS. Peer effects in smoking cessation: An instrumental variables analysis of a worksite intervention in Thailand. </w:t>
      </w:r>
      <w:r w:rsidRPr="001334D1">
        <w:rPr>
          <w:i/>
          <w:iCs/>
          <w:sz w:val="22"/>
          <w:szCs w:val="22"/>
          <w:lang w:val="en-GB"/>
        </w:rPr>
        <w:t>SSM - Population Health</w:t>
      </w:r>
      <w:r w:rsidRPr="001334D1">
        <w:rPr>
          <w:sz w:val="22"/>
          <w:szCs w:val="22"/>
          <w:lang w:val="en-GB"/>
        </w:rPr>
        <w:t>. 2020;12:100659. doi:10.1016/j.ssmph.2020.100659</w:t>
      </w:r>
    </w:p>
    <w:p w:rsidR="00856527" w:rsidRPr="001334D1" w:rsidRDefault="00856527" w:rsidP="00856527">
      <w:pPr>
        <w:pStyle w:val="Bibliography"/>
        <w:rPr>
          <w:sz w:val="22"/>
          <w:szCs w:val="22"/>
          <w:lang w:val="en-GB"/>
        </w:rPr>
      </w:pPr>
      <w:r w:rsidRPr="001334D1">
        <w:rPr>
          <w:sz w:val="22"/>
          <w:szCs w:val="22"/>
          <w:lang w:val="en-GB"/>
        </w:rPr>
        <w:t xml:space="preserve">74. </w:t>
      </w:r>
      <w:r w:rsidRPr="001334D1">
        <w:rPr>
          <w:sz w:val="22"/>
          <w:szCs w:val="22"/>
          <w:lang w:val="en-GB"/>
        </w:rPr>
        <w:tab/>
        <w:t xml:space="preserve">Heerman WJ, Samuels LR, Barr L, Burgess LE, Hartmann KE, Barkin SL. The Effect of a General Healthy Lifestyle Intervention Delivered Around Pregnancy on Gestational Weight Gain and Infant Growth. </w:t>
      </w:r>
      <w:r w:rsidRPr="001334D1">
        <w:rPr>
          <w:i/>
          <w:iCs/>
          <w:sz w:val="22"/>
          <w:szCs w:val="22"/>
          <w:lang w:val="en-GB"/>
        </w:rPr>
        <w:t>Maternal and Child Health Journal</w:t>
      </w:r>
      <w:r w:rsidRPr="001334D1">
        <w:rPr>
          <w:sz w:val="22"/>
          <w:szCs w:val="22"/>
          <w:lang w:val="en-GB"/>
        </w:rPr>
        <w:t>. 2020;24(11):1404-1411. doi:10.1007/s10995-020-02998-0</w:t>
      </w:r>
    </w:p>
    <w:p w:rsidR="00856527" w:rsidRPr="001334D1" w:rsidRDefault="00856527" w:rsidP="00856527">
      <w:pPr>
        <w:pStyle w:val="Bibliography"/>
        <w:rPr>
          <w:sz w:val="22"/>
          <w:szCs w:val="22"/>
          <w:lang w:val="en-GB"/>
        </w:rPr>
      </w:pPr>
      <w:r w:rsidRPr="001334D1">
        <w:rPr>
          <w:sz w:val="22"/>
          <w:szCs w:val="22"/>
          <w:lang w:val="en-GB"/>
        </w:rPr>
        <w:t xml:space="preserve">75. </w:t>
      </w:r>
      <w:r w:rsidRPr="001334D1">
        <w:rPr>
          <w:sz w:val="22"/>
          <w:szCs w:val="22"/>
          <w:lang w:val="en-GB"/>
        </w:rPr>
        <w:tab/>
        <w:t xml:space="preserve">Steeves S, Acciai F, Tasevska N, DeWeese RS, Yedidia MJ, Ohri-Vachaspati P. The Special Supplemental Nutrition Program for Women, Infants, and Children Spillover Effect: Do Siblings Reap the Benefits? </w:t>
      </w:r>
      <w:r w:rsidRPr="001334D1">
        <w:rPr>
          <w:i/>
          <w:iCs/>
          <w:sz w:val="22"/>
          <w:szCs w:val="22"/>
          <w:lang w:val="en-GB"/>
        </w:rPr>
        <w:t>Journal of the Academy of Nutrition and Dietetics</w:t>
      </w:r>
      <w:r w:rsidRPr="001334D1">
        <w:rPr>
          <w:sz w:val="22"/>
          <w:szCs w:val="22"/>
          <w:lang w:val="en-GB"/>
        </w:rPr>
        <w:t>. 2020;120(8):1288-1294. doi:10.1016/j.jand.2020.02.013</w:t>
      </w:r>
    </w:p>
    <w:p w:rsidR="00856527" w:rsidRPr="001334D1" w:rsidRDefault="00856527" w:rsidP="00856527">
      <w:pPr>
        <w:pStyle w:val="Bibliography"/>
        <w:rPr>
          <w:sz w:val="22"/>
          <w:szCs w:val="22"/>
          <w:lang w:val="en-GB"/>
        </w:rPr>
      </w:pPr>
      <w:r w:rsidRPr="001334D1">
        <w:rPr>
          <w:sz w:val="22"/>
          <w:szCs w:val="22"/>
        </w:rPr>
        <w:t xml:space="preserve">76. </w:t>
      </w:r>
      <w:r w:rsidRPr="001334D1">
        <w:rPr>
          <w:sz w:val="22"/>
          <w:szCs w:val="22"/>
        </w:rPr>
        <w:tab/>
        <w:t xml:space="preserve">Øberg GK, Girolami GL, Campbell SK, et al. </w:t>
      </w:r>
      <w:r w:rsidRPr="001334D1">
        <w:rPr>
          <w:sz w:val="22"/>
          <w:szCs w:val="22"/>
          <w:lang w:val="en-GB"/>
        </w:rPr>
        <w:t xml:space="preserve">Effects of a Parent-Administered Exercise Program in the Neonatal Intensive Care Unit: Dose Does Matter—A Randomized Controlled Trial. </w:t>
      </w:r>
      <w:r w:rsidRPr="001334D1">
        <w:rPr>
          <w:i/>
          <w:iCs/>
          <w:sz w:val="22"/>
          <w:szCs w:val="22"/>
          <w:lang w:val="en-GB"/>
        </w:rPr>
        <w:t>Phys Ther</w:t>
      </w:r>
      <w:r w:rsidRPr="001334D1">
        <w:rPr>
          <w:sz w:val="22"/>
          <w:szCs w:val="22"/>
          <w:lang w:val="en-GB"/>
        </w:rPr>
        <w:t>. 2020;100(5):860-869. doi:10.1093/ptj/pzaa014</w:t>
      </w:r>
    </w:p>
    <w:p w:rsidR="00856527" w:rsidRPr="001334D1" w:rsidRDefault="00856527" w:rsidP="00856527">
      <w:pPr>
        <w:pStyle w:val="Bibliography"/>
        <w:rPr>
          <w:sz w:val="22"/>
          <w:szCs w:val="22"/>
          <w:lang w:val="en-GB"/>
        </w:rPr>
      </w:pPr>
      <w:r w:rsidRPr="001334D1">
        <w:rPr>
          <w:sz w:val="22"/>
          <w:szCs w:val="22"/>
          <w:lang w:val="en-GB"/>
        </w:rPr>
        <w:t xml:space="preserve">77. </w:t>
      </w:r>
      <w:r w:rsidRPr="001334D1">
        <w:rPr>
          <w:sz w:val="22"/>
          <w:szCs w:val="22"/>
          <w:lang w:val="en-GB"/>
        </w:rPr>
        <w:tab/>
        <w:t xml:space="preserve">Ferreira CM, Goldszmidt R, Andrade EB. The short- and long-term impact of an incentive intervention on healthier eating: a quasi-experiment in primary- and secondary-school cafeterias in Brazil. </w:t>
      </w:r>
      <w:r w:rsidRPr="001334D1">
        <w:rPr>
          <w:i/>
          <w:iCs/>
          <w:sz w:val="22"/>
          <w:szCs w:val="22"/>
          <w:lang w:val="en-GB"/>
        </w:rPr>
        <w:t>Public Health Nutrition</w:t>
      </w:r>
      <w:r w:rsidRPr="001334D1">
        <w:rPr>
          <w:sz w:val="22"/>
          <w:szCs w:val="22"/>
          <w:lang w:val="en-GB"/>
        </w:rPr>
        <w:t>. 2019;22(9):1675-1685. doi:10.1017/S1368980019000223</w:t>
      </w:r>
    </w:p>
    <w:p w:rsidR="00856527" w:rsidRPr="001334D1" w:rsidRDefault="00856527" w:rsidP="00856527">
      <w:pPr>
        <w:pStyle w:val="Bibliography"/>
        <w:rPr>
          <w:sz w:val="22"/>
          <w:szCs w:val="22"/>
          <w:lang w:val="en-GB"/>
        </w:rPr>
      </w:pPr>
      <w:r w:rsidRPr="001334D1">
        <w:rPr>
          <w:sz w:val="22"/>
          <w:szCs w:val="22"/>
          <w:lang w:val="en-GB"/>
        </w:rPr>
        <w:t xml:space="preserve">78. </w:t>
      </w:r>
      <w:r w:rsidRPr="001334D1">
        <w:rPr>
          <w:sz w:val="22"/>
          <w:szCs w:val="22"/>
          <w:lang w:val="en-GB"/>
        </w:rPr>
        <w:tab/>
        <w:t xml:space="preserve">Ruggiero CF, Hohman EE, Birch LL, Paul IM, Savage JS. The Intervention Nurses Start Infants Growing on Healthy Trajectories (INSIGHT) responsive parenting intervention for firstborns impacts feeding of secondborns. </w:t>
      </w:r>
      <w:r w:rsidRPr="001334D1">
        <w:rPr>
          <w:i/>
          <w:iCs/>
          <w:sz w:val="22"/>
          <w:szCs w:val="22"/>
          <w:lang w:val="en-GB"/>
        </w:rPr>
        <w:t>Am J Clin Nutr</w:t>
      </w:r>
      <w:r w:rsidRPr="001334D1">
        <w:rPr>
          <w:sz w:val="22"/>
          <w:szCs w:val="22"/>
          <w:lang w:val="en-GB"/>
        </w:rPr>
        <w:t>. 2020;111(1):21-27. doi:10.1093/ajcn/nqz277</w:t>
      </w:r>
    </w:p>
    <w:p w:rsidR="00856527" w:rsidRPr="001334D1" w:rsidRDefault="00856527" w:rsidP="00856527">
      <w:pPr>
        <w:pStyle w:val="Bibliography"/>
        <w:rPr>
          <w:sz w:val="22"/>
          <w:szCs w:val="22"/>
          <w:lang w:val="en-GB"/>
        </w:rPr>
      </w:pPr>
      <w:r w:rsidRPr="001334D1">
        <w:rPr>
          <w:sz w:val="22"/>
          <w:szCs w:val="22"/>
          <w:lang w:val="en-GB"/>
        </w:rPr>
        <w:t xml:space="preserve">79. </w:t>
      </w:r>
      <w:r w:rsidRPr="001334D1">
        <w:rPr>
          <w:sz w:val="22"/>
          <w:szCs w:val="22"/>
          <w:lang w:val="en-GB"/>
        </w:rPr>
        <w:tab/>
        <w:t xml:space="preserve">Dillon A, Bliznashka L, Olney D. Experimental evidence on post-program effects and spillovers from an agriculture-nutrition program. </w:t>
      </w:r>
      <w:r w:rsidRPr="001334D1">
        <w:rPr>
          <w:i/>
          <w:iCs/>
          <w:sz w:val="22"/>
          <w:szCs w:val="22"/>
          <w:lang w:val="en-GB"/>
        </w:rPr>
        <w:t>Economics &amp; Human Biology</w:t>
      </w:r>
      <w:r w:rsidRPr="001334D1">
        <w:rPr>
          <w:sz w:val="22"/>
          <w:szCs w:val="22"/>
          <w:lang w:val="en-GB"/>
        </w:rPr>
        <w:t>. 2020;36:100820. doi:10.1016/j.ehb.2019.100820</w:t>
      </w:r>
    </w:p>
    <w:p w:rsidR="00856527" w:rsidRPr="001334D1" w:rsidRDefault="00856527" w:rsidP="00856527">
      <w:pPr>
        <w:pStyle w:val="Bibliography"/>
        <w:rPr>
          <w:sz w:val="22"/>
          <w:szCs w:val="22"/>
          <w:lang w:val="en-GB"/>
        </w:rPr>
      </w:pPr>
      <w:r w:rsidRPr="001334D1">
        <w:rPr>
          <w:sz w:val="22"/>
          <w:szCs w:val="22"/>
          <w:lang w:val="en-GB"/>
        </w:rPr>
        <w:t xml:space="preserve">80. </w:t>
      </w:r>
      <w:r w:rsidRPr="001334D1">
        <w:rPr>
          <w:sz w:val="22"/>
          <w:szCs w:val="22"/>
          <w:lang w:val="en-GB"/>
        </w:rPr>
        <w:tab/>
        <w:t xml:space="preserve">Harrop C, Gulsrud A, Shih W, Hovsepyan L, Kasari C. The impact of caregiver-mediated JASPER on child restricted and repetitive behaviors and caregiver responses. </w:t>
      </w:r>
      <w:r w:rsidRPr="001334D1">
        <w:rPr>
          <w:i/>
          <w:iCs/>
          <w:sz w:val="22"/>
          <w:szCs w:val="22"/>
          <w:lang w:val="en-GB"/>
        </w:rPr>
        <w:t>Autism Research</w:t>
      </w:r>
      <w:r w:rsidRPr="001334D1">
        <w:rPr>
          <w:sz w:val="22"/>
          <w:szCs w:val="22"/>
          <w:lang w:val="en-GB"/>
        </w:rPr>
        <w:t>. 2017;10(5):983-992. doi:10.1002/aur.1732</w:t>
      </w:r>
    </w:p>
    <w:p w:rsidR="00856527" w:rsidRPr="001334D1" w:rsidRDefault="00856527" w:rsidP="00856527">
      <w:pPr>
        <w:pStyle w:val="Bibliography"/>
        <w:rPr>
          <w:sz w:val="22"/>
          <w:szCs w:val="22"/>
          <w:lang w:val="en-GB"/>
        </w:rPr>
      </w:pPr>
      <w:r w:rsidRPr="001334D1">
        <w:rPr>
          <w:sz w:val="22"/>
          <w:szCs w:val="22"/>
          <w:lang w:val="en-GB"/>
        </w:rPr>
        <w:t xml:space="preserve">81. </w:t>
      </w:r>
      <w:r w:rsidRPr="001334D1">
        <w:rPr>
          <w:sz w:val="22"/>
          <w:szCs w:val="22"/>
          <w:lang w:val="en-GB"/>
        </w:rPr>
        <w:tab/>
        <w:t xml:space="preserve">Simmons RK, Bruun NH, Witte DR, et al. Does training of general practitioners for intensive treatment of people with screen-detected diabetes have a spillover effect on mortality and cardiovascular morbidity in “at risk” individuals with normoglycaemia? Results from the ADDITION-Denmark cluster-randomised controlled trial. </w:t>
      </w:r>
      <w:r w:rsidRPr="001334D1">
        <w:rPr>
          <w:i/>
          <w:iCs/>
          <w:sz w:val="22"/>
          <w:szCs w:val="22"/>
          <w:lang w:val="en-GB"/>
        </w:rPr>
        <w:t>Diabetologia</w:t>
      </w:r>
      <w:r w:rsidRPr="001334D1">
        <w:rPr>
          <w:sz w:val="22"/>
          <w:szCs w:val="22"/>
          <w:lang w:val="en-GB"/>
        </w:rPr>
        <w:t>. 1016;60(6):1016-1021.</w:t>
      </w:r>
    </w:p>
    <w:p w:rsidR="00856527" w:rsidRPr="001334D1" w:rsidRDefault="00856527" w:rsidP="00856527">
      <w:pPr>
        <w:pStyle w:val="Bibliography"/>
        <w:rPr>
          <w:sz w:val="22"/>
          <w:szCs w:val="22"/>
          <w:lang w:val="en-GB"/>
        </w:rPr>
      </w:pPr>
      <w:r w:rsidRPr="001334D1">
        <w:rPr>
          <w:sz w:val="22"/>
          <w:szCs w:val="22"/>
          <w:lang w:val="en-GB"/>
        </w:rPr>
        <w:lastRenderedPageBreak/>
        <w:t xml:space="preserve">82. </w:t>
      </w:r>
      <w:r w:rsidRPr="001334D1">
        <w:rPr>
          <w:sz w:val="22"/>
          <w:szCs w:val="22"/>
          <w:lang w:val="en-GB"/>
        </w:rPr>
        <w:tab/>
        <w:t xml:space="preserve">Charles M, Skriver MV, Griffin SJ, et al. Does Training and Support of General Practitioners in Intensive Treatment of People with Screen-Detected Diabetes Improve Medication, Morbidity and Mortality in People with Clinically-Diagnosed Diabetes? Investigation of a Spill-Over Effect in a Cluster RCT. </w:t>
      </w:r>
      <w:r w:rsidRPr="001334D1">
        <w:rPr>
          <w:i/>
          <w:iCs/>
          <w:sz w:val="22"/>
          <w:szCs w:val="22"/>
          <w:lang w:val="en-GB"/>
        </w:rPr>
        <w:t>PLOS ONE</w:t>
      </w:r>
      <w:r w:rsidRPr="001334D1">
        <w:rPr>
          <w:sz w:val="22"/>
          <w:szCs w:val="22"/>
          <w:lang w:val="en-GB"/>
        </w:rPr>
        <w:t>. 2017;12(2):e0170697. doi:10.1371/journal.pone.0170697</w:t>
      </w:r>
    </w:p>
    <w:p w:rsidR="00856527" w:rsidRPr="001334D1" w:rsidRDefault="00856527" w:rsidP="00856527">
      <w:pPr>
        <w:pStyle w:val="Bibliography"/>
        <w:rPr>
          <w:sz w:val="22"/>
          <w:szCs w:val="22"/>
          <w:lang w:val="en-GB"/>
        </w:rPr>
      </w:pPr>
      <w:r w:rsidRPr="001334D1">
        <w:rPr>
          <w:sz w:val="22"/>
          <w:szCs w:val="22"/>
          <w:lang w:val="en-GB"/>
        </w:rPr>
        <w:t xml:space="preserve">83. </w:t>
      </w:r>
      <w:r w:rsidRPr="001334D1">
        <w:rPr>
          <w:sz w:val="22"/>
          <w:szCs w:val="22"/>
          <w:lang w:val="en-GB"/>
        </w:rPr>
        <w:tab/>
        <w:t xml:space="preserve">Valuck RJ, Libby AM, Orton HD, Morrato EH, Allen R, Baldessarini RJ. Spillover Effects on Treatment of Adult Depression in Primary Care After FDA Advisory on Risk of Pediatric Suicidality With SSRIs. </w:t>
      </w:r>
      <w:r w:rsidRPr="001334D1">
        <w:rPr>
          <w:i/>
          <w:iCs/>
          <w:sz w:val="22"/>
          <w:szCs w:val="22"/>
          <w:lang w:val="en-GB"/>
        </w:rPr>
        <w:t>AJP</w:t>
      </w:r>
      <w:r w:rsidRPr="001334D1">
        <w:rPr>
          <w:sz w:val="22"/>
          <w:szCs w:val="22"/>
          <w:lang w:val="en-GB"/>
        </w:rPr>
        <w:t>. 2007;164(8):1198-1205. doi:10.1176/appi.ajp.2007.07010007</w:t>
      </w:r>
    </w:p>
    <w:p w:rsidR="00856527" w:rsidRPr="001334D1" w:rsidRDefault="00856527" w:rsidP="00856527">
      <w:pPr>
        <w:pStyle w:val="Bibliography"/>
        <w:rPr>
          <w:sz w:val="22"/>
          <w:szCs w:val="22"/>
          <w:lang w:val="en-GB"/>
        </w:rPr>
      </w:pPr>
      <w:r w:rsidRPr="001334D1">
        <w:rPr>
          <w:sz w:val="22"/>
          <w:szCs w:val="22"/>
          <w:lang w:val="en-GB"/>
        </w:rPr>
        <w:t xml:space="preserve">84. </w:t>
      </w:r>
      <w:r w:rsidRPr="001334D1">
        <w:rPr>
          <w:sz w:val="22"/>
          <w:szCs w:val="22"/>
          <w:lang w:val="en-GB"/>
        </w:rPr>
        <w:tab/>
        <w:t xml:space="preserve">Lyons BA, Merola V, Reifler J. Shifting medical guidelines: Compliance and spillover effects for revised antibiotic recommendations. </w:t>
      </w:r>
      <w:r w:rsidRPr="001334D1">
        <w:rPr>
          <w:i/>
          <w:iCs/>
          <w:sz w:val="22"/>
          <w:szCs w:val="22"/>
          <w:lang w:val="en-GB"/>
        </w:rPr>
        <w:t>Social Science &amp; Medicine</w:t>
      </w:r>
      <w:r w:rsidRPr="001334D1">
        <w:rPr>
          <w:sz w:val="22"/>
          <w:szCs w:val="22"/>
          <w:lang w:val="en-GB"/>
        </w:rPr>
        <w:t>. 2020;255:112943. doi:10.1016/j.socscimed.2020.112943</w:t>
      </w:r>
    </w:p>
    <w:p w:rsidR="00856527" w:rsidRPr="001334D1" w:rsidRDefault="00856527" w:rsidP="00856527">
      <w:pPr>
        <w:pStyle w:val="Bibliography"/>
        <w:rPr>
          <w:sz w:val="22"/>
          <w:szCs w:val="22"/>
          <w:lang w:val="en-GB"/>
        </w:rPr>
      </w:pPr>
      <w:r w:rsidRPr="001334D1">
        <w:rPr>
          <w:sz w:val="22"/>
          <w:szCs w:val="22"/>
          <w:lang w:val="en-GB"/>
        </w:rPr>
        <w:t xml:space="preserve">85. </w:t>
      </w:r>
      <w:r w:rsidRPr="001334D1">
        <w:rPr>
          <w:sz w:val="22"/>
          <w:szCs w:val="22"/>
          <w:lang w:val="en-GB"/>
        </w:rPr>
        <w:tab/>
        <w:t xml:space="preserve">Howard R, Alameddine M, Klueh M, et al. Spillover Effect of Evidence-Based Postoperative Opioid Prescribing. </w:t>
      </w:r>
      <w:r w:rsidRPr="001334D1">
        <w:rPr>
          <w:i/>
          <w:iCs/>
          <w:sz w:val="22"/>
          <w:szCs w:val="22"/>
          <w:lang w:val="en-GB"/>
        </w:rPr>
        <w:t>Journal of the American College of Surgeons</w:t>
      </w:r>
      <w:r w:rsidRPr="001334D1">
        <w:rPr>
          <w:sz w:val="22"/>
          <w:szCs w:val="22"/>
          <w:lang w:val="en-GB"/>
        </w:rPr>
        <w:t>. 2018;227(3):374-381. doi:10.1016/j.jamcollsurg.2018.06.007</w:t>
      </w:r>
    </w:p>
    <w:p w:rsidR="00856527" w:rsidRPr="001334D1" w:rsidRDefault="00856527" w:rsidP="00856527">
      <w:pPr>
        <w:pStyle w:val="Bibliography"/>
        <w:rPr>
          <w:sz w:val="22"/>
          <w:szCs w:val="22"/>
          <w:lang w:val="en-GB"/>
        </w:rPr>
      </w:pPr>
      <w:r w:rsidRPr="001334D1">
        <w:rPr>
          <w:sz w:val="22"/>
          <w:szCs w:val="22"/>
          <w:lang w:val="en-GB"/>
        </w:rPr>
        <w:t xml:space="preserve">86. </w:t>
      </w:r>
      <w:r w:rsidRPr="001334D1">
        <w:rPr>
          <w:sz w:val="22"/>
          <w:szCs w:val="22"/>
          <w:lang w:val="en-GB"/>
        </w:rPr>
        <w:tab/>
        <w:t xml:space="preserve">Grecu AM, Dave DM, Saffer H. Mandatory Access Prescription Drug Monitoring Programs and Prescription Drug Abuse. </w:t>
      </w:r>
      <w:r w:rsidRPr="001334D1">
        <w:rPr>
          <w:i/>
          <w:iCs/>
          <w:sz w:val="22"/>
          <w:szCs w:val="22"/>
          <w:lang w:val="en-GB"/>
        </w:rPr>
        <w:t>Journal of Policy Analysis and Management</w:t>
      </w:r>
      <w:r w:rsidRPr="001334D1">
        <w:rPr>
          <w:sz w:val="22"/>
          <w:szCs w:val="22"/>
          <w:lang w:val="en-GB"/>
        </w:rPr>
        <w:t>. 2019;38(1):181-209. doi:10.1002/pam.22098</w:t>
      </w:r>
    </w:p>
    <w:p w:rsidR="00856527" w:rsidRPr="001334D1" w:rsidRDefault="00856527" w:rsidP="00856527">
      <w:pPr>
        <w:pStyle w:val="Bibliography"/>
        <w:rPr>
          <w:sz w:val="22"/>
          <w:szCs w:val="22"/>
          <w:lang w:val="en-GB"/>
        </w:rPr>
      </w:pPr>
      <w:r w:rsidRPr="001334D1">
        <w:rPr>
          <w:sz w:val="22"/>
          <w:szCs w:val="22"/>
          <w:lang w:val="en-GB"/>
        </w:rPr>
        <w:t xml:space="preserve">87. </w:t>
      </w:r>
      <w:r w:rsidRPr="001334D1">
        <w:rPr>
          <w:sz w:val="22"/>
          <w:szCs w:val="22"/>
          <w:lang w:val="en-GB"/>
        </w:rPr>
        <w:tab/>
        <w:t xml:space="preserve">Han E, Kim TH, Jeung MJ, Lee E-K. Analyses of direct and indirect impacts of a positive list system on pharmaceutical R&amp;D investments. </w:t>
      </w:r>
      <w:r w:rsidRPr="001334D1">
        <w:rPr>
          <w:i/>
          <w:iCs/>
          <w:sz w:val="22"/>
          <w:szCs w:val="22"/>
          <w:lang w:val="en-GB"/>
        </w:rPr>
        <w:t>Clinical Therapeutics</w:t>
      </w:r>
      <w:r w:rsidRPr="001334D1">
        <w:rPr>
          <w:sz w:val="22"/>
          <w:szCs w:val="22"/>
          <w:lang w:val="en-GB"/>
        </w:rPr>
        <w:t>. 2013;35(7):941-949. doi:10.1016/j.clinthera.2013.05.002</w:t>
      </w:r>
    </w:p>
    <w:p w:rsidR="00856527" w:rsidRPr="001334D1" w:rsidRDefault="00856527" w:rsidP="00856527">
      <w:pPr>
        <w:pStyle w:val="Bibliography"/>
        <w:rPr>
          <w:sz w:val="22"/>
          <w:szCs w:val="22"/>
          <w:lang w:val="en-GB"/>
        </w:rPr>
      </w:pPr>
      <w:r w:rsidRPr="001334D1">
        <w:rPr>
          <w:sz w:val="22"/>
          <w:szCs w:val="22"/>
          <w:lang w:val="en-GB"/>
        </w:rPr>
        <w:t xml:space="preserve">88. </w:t>
      </w:r>
      <w:r w:rsidRPr="001334D1">
        <w:rPr>
          <w:sz w:val="22"/>
          <w:szCs w:val="22"/>
          <w:lang w:val="en-GB"/>
        </w:rPr>
        <w:tab/>
        <w:t xml:space="preserve">Lakdawalla D, Sood N, Gu Q. Pharmaceutical advertising and Medicare Part D. </w:t>
      </w:r>
      <w:r w:rsidRPr="001334D1">
        <w:rPr>
          <w:i/>
          <w:iCs/>
          <w:sz w:val="22"/>
          <w:szCs w:val="22"/>
          <w:lang w:val="en-GB"/>
        </w:rPr>
        <w:t>Journal of Health Economics</w:t>
      </w:r>
      <w:r w:rsidRPr="001334D1">
        <w:rPr>
          <w:sz w:val="22"/>
          <w:szCs w:val="22"/>
          <w:lang w:val="en-GB"/>
        </w:rPr>
        <w:t>. 2013;32(6):1356-1367. doi:10.1016/j.jhealeco.2013.01.001</w:t>
      </w:r>
    </w:p>
    <w:p w:rsidR="00856527" w:rsidRPr="001334D1" w:rsidRDefault="00856527" w:rsidP="00856527">
      <w:pPr>
        <w:pStyle w:val="Bibliography"/>
        <w:rPr>
          <w:sz w:val="22"/>
          <w:szCs w:val="22"/>
          <w:lang w:val="en-GB"/>
        </w:rPr>
      </w:pPr>
      <w:r w:rsidRPr="001334D1">
        <w:rPr>
          <w:sz w:val="22"/>
          <w:szCs w:val="22"/>
          <w:lang w:val="en-GB"/>
        </w:rPr>
        <w:t xml:space="preserve">89. </w:t>
      </w:r>
      <w:r w:rsidRPr="001334D1">
        <w:rPr>
          <w:sz w:val="22"/>
          <w:szCs w:val="22"/>
          <w:lang w:val="en-GB"/>
        </w:rPr>
        <w:tab/>
        <w:t xml:space="preserve">Lu CY, Srasuebkul P, Drew AK, Ward RL, Pearson S-A. Positive spillover effects of prescribing requirements: increased cardiac testing in patients treated with trastuzumab for HER2+ metastatic breast cancer. </w:t>
      </w:r>
      <w:r w:rsidRPr="001334D1">
        <w:rPr>
          <w:i/>
          <w:iCs/>
          <w:sz w:val="22"/>
          <w:szCs w:val="22"/>
          <w:lang w:val="en-GB"/>
        </w:rPr>
        <w:t>Internal Medicine Journal</w:t>
      </w:r>
      <w:r w:rsidRPr="001334D1">
        <w:rPr>
          <w:sz w:val="22"/>
          <w:szCs w:val="22"/>
          <w:lang w:val="en-GB"/>
        </w:rPr>
        <w:t>. 2012;42(11):1229-1235. doi:10.1111/j.1445-5994.2011.02604.x</w:t>
      </w:r>
    </w:p>
    <w:p w:rsidR="00856527" w:rsidRPr="001334D1" w:rsidRDefault="00856527" w:rsidP="00856527">
      <w:pPr>
        <w:pStyle w:val="Bibliography"/>
        <w:rPr>
          <w:sz w:val="22"/>
          <w:szCs w:val="22"/>
          <w:lang w:val="en-GB"/>
        </w:rPr>
      </w:pPr>
      <w:r w:rsidRPr="001334D1">
        <w:rPr>
          <w:sz w:val="22"/>
          <w:szCs w:val="22"/>
          <w:lang w:val="en-GB"/>
        </w:rPr>
        <w:t xml:space="preserve">90. </w:t>
      </w:r>
      <w:r w:rsidRPr="001334D1">
        <w:rPr>
          <w:sz w:val="22"/>
          <w:szCs w:val="22"/>
          <w:lang w:val="en-GB"/>
        </w:rPr>
        <w:tab/>
        <w:t xml:space="preserve">Virabhak S, Shinogle JA. Physicians’ prescribing responses to a restricted formulary: the impact of Medicaid preferred drug lists in Illinois and Louisiana. </w:t>
      </w:r>
      <w:r w:rsidRPr="001334D1">
        <w:rPr>
          <w:i/>
          <w:iCs/>
          <w:sz w:val="22"/>
          <w:szCs w:val="22"/>
          <w:lang w:val="en-GB"/>
        </w:rPr>
        <w:t>The American Journal of Managed Care</w:t>
      </w:r>
      <w:r w:rsidRPr="001334D1">
        <w:rPr>
          <w:sz w:val="22"/>
          <w:szCs w:val="22"/>
          <w:lang w:val="en-GB"/>
        </w:rPr>
        <w:t>. 2005;11 Spec No:SP14-20.</w:t>
      </w:r>
    </w:p>
    <w:p w:rsidR="00856527" w:rsidRPr="001334D1" w:rsidRDefault="00856527" w:rsidP="00856527">
      <w:pPr>
        <w:pStyle w:val="Bibliography"/>
        <w:rPr>
          <w:sz w:val="22"/>
          <w:szCs w:val="22"/>
          <w:lang w:val="en-GB"/>
        </w:rPr>
      </w:pPr>
      <w:r w:rsidRPr="001334D1">
        <w:rPr>
          <w:sz w:val="22"/>
          <w:szCs w:val="22"/>
          <w:lang w:val="en-GB"/>
        </w:rPr>
        <w:t xml:space="preserve">91. </w:t>
      </w:r>
      <w:r w:rsidRPr="001334D1">
        <w:rPr>
          <w:sz w:val="22"/>
          <w:szCs w:val="22"/>
          <w:lang w:val="en-GB"/>
        </w:rPr>
        <w:tab/>
        <w:t xml:space="preserve">Wang YR, Pauly MV, Lin YA. Impact of Maine’s Medicaid drug formulary change on non-Medicaid markets: spillover effects of a restrictive drug formulary. </w:t>
      </w:r>
      <w:r w:rsidRPr="001334D1">
        <w:rPr>
          <w:i/>
          <w:iCs/>
          <w:sz w:val="22"/>
          <w:szCs w:val="22"/>
          <w:lang w:val="en-GB"/>
        </w:rPr>
        <w:t>The American Journal of Managed Care</w:t>
      </w:r>
      <w:r w:rsidRPr="001334D1">
        <w:rPr>
          <w:sz w:val="22"/>
          <w:szCs w:val="22"/>
          <w:lang w:val="en-GB"/>
        </w:rPr>
        <w:t>. 2003;9(10):686-696.</w:t>
      </w:r>
    </w:p>
    <w:p w:rsidR="00856527" w:rsidRPr="001334D1" w:rsidRDefault="00856527" w:rsidP="00856527">
      <w:pPr>
        <w:pStyle w:val="Bibliography"/>
        <w:rPr>
          <w:sz w:val="22"/>
          <w:szCs w:val="22"/>
          <w:lang w:val="en-GB"/>
        </w:rPr>
      </w:pPr>
      <w:r w:rsidRPr="001334D1">
        <w:rPr>
          <w:sz w:val="22"/>
          <w:szCs w:val="22"/>
          <w:lang w:val="en-GB"/>
        </w:rPr>
        <w:t xml:space="preserve">92. </w:t>
      </w:r>
      <w:r w:rsidRPr="001334D1">
        <w:rPr>
          <w:sz w:val="22"/>
          <w:szCs w:val="22"/>
          <w:lang w:val="en-GB"/>
        </w:rPr>
        <w:tab/>
        <w:t xml:space="preserve">Wang YR, Pauly MV. Spillover effects of restrictive drug formularies: a case study of PacifiCare in California. </w:t>
      </w:r>
      <w:r w:rsidRPr="001334D1">
        <w:rPr>
          <w:i/>
          <w:iCs/>
          <w:sz w:val="22"/>
          <w:szCs w:val="22"/>
          <w:lang w:val="en-GB"/>
        </w:rPr>
        <w:t>The American Journal of Managed Care</w:t>
      </w:r>
      <w:r w:rsidRPr="001334D1">
        <w:rPr>
          <w:sz w:val="22"/>
          <w:szCs w:val="22"/>
          <w:lang w:val="en-GB"/>
        </w:rPr>
        <w:t>. 2005;11(1):24-26.</w:t>
      </w:r>
    </w:p>
    <w:p w:rsidR="00856527" w:rsidRPr="001334D1" w:rsidRDefault="00856527" w:rsidP="00856527">
      <w:pPr>
        <w:pStyle w:val="Bibliography"/>
        <w:rPr>
          <w:sz w:val="22"/>
          <w:szCs w:val="22"/>
          <w:lang w:val="en-GB"/>
        </w:rPr>
      </w:pPr>
      <w:r w:rsidRPr="001334D1">
        <w:rPr>
          <w:sz w:val="22"/>
          <w:szCs w:val="22"/>
          <w:lang w:val="en-GB"/>
        </w:rPr>
        <w:t xml:space="preserve">93. </w:t>
      </w:r>
      <w:r w:rsidRPr="001334D1">
        <w:rPr>
          <w:sz w:val="22"/>
          <w:szCs w:val="22"/>
          <w:lang w:val="en-GB"/>
        </w:rPr>
        <w:tab/>
        <w:t xml:space="preserve">McGee LM, Kolli A, Harbaugh CM, et al. Spillover Effect of Opioid Reduction Interventions From Adult to Pediatric Surgery. </w:t>
      </w:r>
      <w:r w:rsidRPr="001334D1">
        <w:rPr>
          <w:i/>
          <w:iCs/>
          <w:sz w:val="22"/>
          <w:szCs w:val="22"/>
          <w:lang w:val="en-GB"/>
        </w:rPr>
        <w:t>Journal of Surgical Research</w:t>
      </w:r>
      <w:r w:rsidRPr="001334D1">
        <w:rPr>
          <w:sz w:val="22"/>
          <w:szCs w:val="22"/>
          <w:lang w:val="en-GB"/>
        </w:rPr>
        <w:t>. 2020;249:18-24. doi:10.1016/j.jss.2019.11.021</w:t>
      </w:r>
    </w:p>
    <w:p w:rsidR="00856527" w:rsidRPr="001334D1" w:rsidRDefault="00856527" w:rsidP="00856527">
      <w:pPr>
        <w:pStyle w:val="Bibliography"/>
        <w:rPr>
          <w:sz w:val="22"/>
          <w:szCs w:val="22"/>
          <w:lang w:val="en-GB"/>
        </w:rPr>
      </w:pPr>
      <w:r w:rsidRPr="001334D1">
        <w:rPr>
          <w:sz w:val="22"/>
          <w:szCs w:val="22"/>
          <w:lang w:val="en-GB"/>
        </w:rPr>
        <w:t xml:space="preserve">94. </w:t>
      </w:r>
      <w:r w:rsidRPr="001334D1">
        <w:rPr>
          <w:sz w:val="22"/>
          <w:szCs w:val="22"/>
          <w:lang w:val="en-GB"/>
        </w:rPr>
        <w:tab/>
        <w:t xml:space="preserve">Almeida ATC de, Sá EB de, Vieira FS, et al. Impacts of a Brazilian pharmaceutical program on the health of chronic patients. </w:t>
      </w:r>
      <w:r w:rsidRPr="001334D1">
        <w:rPr>
          <w:i/>
          <w:iCs/>
          <w:sz w:val="22"/>
          <w:szCs w:val="22"/>
          <w:lang w:val="en-GB"/>
        </w:rPr>
        <w:t>Revista de Saúde Pública</w:t>
      </w:r>
      <w:r w:rsidRPr="001334D1">
        <w:rPr>
          <w:sz w:val="22"/>
          <w:szCs w:val="22"/>
          <w:lang w:val="en-GB"/>
        </w:rPr>
        <w:t>. 2019;53. doi:10.11606/s1518-8787.2019053000733</w:t>
      </w:r>
    </w:p>
    <w:p w:rsidR="00856527" w:rsidRPr="001334D1" w:rsidRDefault="00856527" w:rsidP="00856527">
      <w:pPr>
        <w:pStyle w:val="Bibliography"/>
        <w:rPr>
          <w:sz w:val="22"/>
          <w:szCs w:val="22"/>
          <w:lang w:val="en-GB"/>
        </w:rPr>
      </w:pPr>
      <w:r w:rsidRPr="001334D1">
        <w:rPr>
          <w:sz w:val="22"/>
          <w:szCs w:val="22"/>
          <w:lang w:val="en-GB"/>
        </w:rPr>
        <w:t xml:space="preserve">95. </w:t>
      </w:r>
      <w:r w:rsidRPr="001334D1">
        <w:rPr>
          <w:sz w:val="22"/>
          <w:szCs w:val="22"/>
          <w:lang w:val="en-GB"/>
        </w:rPr>
        <w:tab/>
        <w:t xml:space="preserve">Fernandez J, Lang M. Suicide and Organ Donors: Spillover Effects of Mental Health Insurance Mandates. </w:t>
      </w:r>
      <w:r w:rsidRPr="001334D1">
        <w:rPr>
          <w:i/>
          <w:iCs/>
          <w:sz w:val="22"/>
          <w:szCs w:val="22"/>
          <w:lang w:val="en-GB"/>
        </w:rPr>
        <w:t>Health Economics</w:t>
      </w:r>
      <w:r w:rsidRPr="001334D1">
        <w:rPr>
          <w:sz w:val="22"/>
          <w:szCs w:val="22"/>
          <w:lang w:val="en-GB"/>
        </w:rPr>
        <w:t>. 2015;24(4):491-497. doi:10.1002/hec.3037</w:t>
      </w:r>
    </w:p>
    <w:p w:rsidR="00856527" w:rsidRPr="001334D1" w:rsidRDefault="00856527" w:rsidP="00856527">
      <w:pPr>
        <w:pStyle w:val="Bibliography"/>
        <w:rPr>
          <w:sz w:val="22"/>
          <w:szCs w:val="22"/>
          <w:lang w:val="en-GB"/>
        </w:rPr>
      </w:pPr>
      <w:r w:rsidRPr="001334D1">
        <w:rPr>
          <w:sz w:val="22"/>
          <w:szCs w:val="22"/>
          <w:lang w:val="en-GB"/>
        </w:rPr>
        <w:t xml:space="preserve">96. </w:t>
      </w:r>
      <w:r w:rsidRPr="001334D1">
        <w:rPr>
          <w:sz w:val="22"/>
          <w:szCs w:val="22"/>
          <w:lang w:val="en-GB"/>
        </w:rPr>
        <w:tab/>
        <w:t xml:space="preserve">Zuvekas SH, Rupp AE, Norquist GS. Spillover effects of benefit expansions and carve-outs on psychotropic medication use and costs. </w:t>
      </w:r>
      <w:r w:rsidRPr="001334D1">
        <w:rPr>
          <w:i/>
          <w:iCs/>
          <w:sz w:val="22"/>
          <w:szCs w:val="22"/>
          <w:lang w:val="en-GB"/>
        </w:rPr>
        <w:t>Inquiry</w:t>
      </w:r>
      <w:r w:rsidRPr="001334D1">
        <w:rPr>
          <w:sz w:val="22"/>
          <w:szCs w:val="22"/>
          <w:lang w:val="en-GB"/>
        </w:rPr>
        <w:t>. 2005;42(1):86-97.</w:t>
      </w:r>
    </w:p>
    <w:p w:rsidR="00856527" w:rsidRPr="001334D1" w:rsidRDefault="00856527" w:rsidP="00856527">
      <w:pPr>
        <w:pStyle w:val="Bibliography"/>
        <w:rPr>
          <w:sz w:val="22"/>
          <w:szCs w:val="22"/>
          <w:lang w:val="en-GB"/>
        </w:rPr>
      </w:pPr>
      <w:r w:rsidRPr="001334D1">
        <w:rPr>
          <w:sz w:val="22"/>
          <w:szCs w:val="22"/>
          <w:lang w:val="en-GB"/>
        </w:rPr>
        <w:lastRenderedPageBreak/>
        <w:t xml:space="preserve">97. </w:t>
      </w:r>
      <w:r w:rsidRPr="001334D1">
        <w:rPr>
          <w:sz w:val="22"/>
          <w:szCs w:val="22"/>
          <w:lang w:val="en-GB"/>
        </w:rPr>
        <w:tab/>
        <w:t xml:space="preserve">Conover CJ, Rankin PJ, Sloan FA. Effects of Tennessee Medicaid Managed Care on Obstetrical Care and Birth Outcomes. </w:t>
      </w:r>
      <w:r w:rsidRPr="001334D1">
        <w:rPr>
          <w:i/>
          <w:iCs/>
          <w:sz w:val="22"/>
          <w:szCs w:val="22"/>
          <w:lang w:val="en-GB"/>
        </w:rPr>
        <w:t>Journal of Health Politics, Policy and Law</w:t>
      </w:r>
      <w:r w:rsidRPr="001334D1">
        <w:rPr>
          <w:sz w:val="22"/>
          <w:szCs w:val="22"/>
          <w:lang w:val="en-GB"/>
        </w:rPr>
        <w:t>. 2001;26(6):1291-1324.</w:t>
      </w:r>
    </w:p>
    <w:p w:rsidR="00856527" w:rsidRPr="001334D1" w:rsidRDefault="00856527" w:rsidP="00856527">
      <w:pPr>
        <w:pStyle w:val="Bibliography"/>
        <w:rPr>
          <w:sz w:val="22"/>
          <w:szCs w:val="22"/>
          <w:lang w:val="en-GB"/>
        </w:rPr>
      </w:pPr>
      <w:r w:rsidRPr="001334D1">
        <w:rPr>
          <w:sz w:val="22"/>
          <w:szCs w:val="22"/>
          <w:lang w:val="en-GB"/>
        </w:rPr>
        <w:t xml:space="preserve">98. </w:t>
      </w:r>
      <w:r w:rsidRPr="001334D1">
        <w:rPr>
          <w:sz w:val="22"/>
          <w:szCs w:val="22"/>
          <w:lang w:val="en-GB"/>
        </w:rPr>
        <w:tab/>
        <w:t xml:space="preserve">Dumontet M, Buchmueller T, Dourgnon P, Jusot F, Wittwer J. Gatekeeping and the utilization of physician services in France: Evidence on the Médecin traitant reform. </w:t>
      </w:r>
      <w:r w:rsidRPr="001334D1">
        <w:rPr>
          <w:i/>
          <w:iCs/>
          <w:sz w:val="22"/>
          <w:szCs w:val="22"/>
          <w:lang w:val="en-GB"/>
        </w:rPr>
        <w:t>Health Policy</w:t>
      </w:r>
      <w:r w:rsidRPr="001334D1">
        <w:rPr>
          <w:sz w:val="22"/>
          <w:szCs w:val="22"/>
          <w:lang w:val="en-GB"/>
        </w:rPr>
        <w:t>. 2017;121(6):675-682. doi:10.1016/j.healthpol.2017.04.006</w:t>
      </w:r>
    </w:p>
    <w:p w:rsidR="00856527" w:rsidRPr="001334D1" w:rsidRDefault="00856527" w:rsidP="00856527">
      <w:pPr>
        <w:pStyle w:val="Bibliography"/>
        <w:rPr>
          <w:sz w:val="22"/>
          <w:szCs w:val="22"/>
          <w:lang w:val="en-GB"/>
        </w:rPr>
      </w:pPr>
      <w:r w:rsidRPr="001334D1">
        <w:rPr>
          <w:sz w:val="22"/>
          <w:szCs w:val="22"/>
          <w:lang w:val="en-GB"/>
        </w:rPr>
        <w:t xml:space="preserve">99. </w:t>
      </w:r>
      <w:r w:rsidRPr="001334D1">
        <w:rPr>
          <w:sz w:val="22"/>
          <w:szCs w:val="22"/>
          <w:lang w:val="en-GB"/>
        </w:rPr>
        <w:tab/>
        <w:t xml:space="preserve">Nathan Ashwin S., Shah Rohan M., Khatana Sameed A., et al. Effect of Public Reporting on the Utilization of Coronary Angiography After Out-of-Hospital Cardiac Arrest. </w:t>
      </w:r>
      <w:r w:rsidRPr="001334D1">
        <w:rPr>
          <w:i/>
          <w:iCs/>
          <w:sz w:val="22"/>
          <w:szCs w:val="22"/>
          <w:lang w:val="en-GB"/>
        </w:rPr>
        <w:t>Circulation: Cardiovascular Interventions</w:t>
      </w:r>
      <w:r w:rsidRPr="001334D1">
        <w:rPr>
          <w:sz w:val="22"/>
          <w:szCs w:val="22"/>
          <w:lang w:val="en-GB"/>
        </w:rPr>
        <w:t>. 2019;12(4):e007564. doi:10.1161/CIRCINTERVENTIONS.118.007564</w:t>
      </w:r>
    </w:p>
    <w:p w:rsidR="00856527" w:rsidRPr="001334D1" w:rsidRDefault="00856527" w:rsidP="00856527">
      <w:pPr>
        <w:pStyle w:val="Bibliography"/>
        <w:rPr>
          <w:sz w:val="22"/>
          <w:szCs w:val="22"/>
          <w:lang w:val="en-GB"/>
        </w:rPr>
      </w:pPr>
      <w:r w:rsidRPr="001334D1">
        <w:rPr>
          <w:sz w:val="22"/>
          <w:szCs w:val="22"/>
          <w:lang w:val="en-GB"/>
        </w:rPr>
        <w:t xml:space="preserve">100. </w:t>
      </w:r>
      <w:r w:rsidRPr="001334D1">
        <w:rPr>
          <w:sz w:val="22"/>
          <w:szCs w:val="22"/>
          <w:lang w:val="en-GB"/>
        </w:rPr>
        <w:tab/>
        <w:t xml:space="preserve">Li X. Quality information disclosure and health insurance demand: evidence from VA hospital report cards. </w:t>
      </w:r>
      <w:r w:rsidRPr="001334D1">
        <w:rPr>
          <w:i/>
          <w:iCs/>
          <w:sz w:val="22"/>
          <w:szCs w:val="22"/>
          <w:lang w:val="en-GB"/>
        </w:rPr>
        <w:t>Int J Health Econ Manag</w:t>
      </w:r>
      <w:r w:rsidRPr="001334D1">
        <w:rPr>
          <w:sz w:val="22"/>
          <w:szCs w:val="22"/>
          <w:lang w:val="en-GB"/>
        </w:rPr>
        <w:t>. 2020;20(2):177-199. doi:10.1007/s10754-019-09276-9</w:t>
      </w:r>
    </w:p>
    <w:p w:rsidR="00856527" w:rsidRPr="001334D1" w:rsidRDefault="00856527" w:rsidP="00856527">
      <w:pPr>
        <w:pStyle w:val="Bibliography"/>
        <w:rPr>
          <w:sz w:val="22"/>
          <w:szCs w:val="22"/>
          <w:lang w:val="en-GB"/>
        </w:rPr>
      </w:pPr>
      <w:r w:rsidRPr="001334D1">
        <w:rPr>
          <w:sz w:val="22"/>
          <w:szCs w:val="22"/>
          <w:lang w:val="en-GB"/>
        </w:rPr>
        <w:t xml:space="preserve">101. </w:t>
      </w:r>
      <w:r w:rsidRPr="001334D1">
        <w:rPr>
          <w:sz w:val="22"/>
          <w:szCs w:val="22"/>
          <w:lang w:val="en-GB"/>
        </w:rPr>
        <w:tab/>
        <w:t xml:space="preserve">Wong ES, Maciejewski ML, Hebert PL, Fortney JC, Liu C-F. Spillover Effects of Massachusetts Health Reform on Mental Health Use by VA and Medicare Dual Enrollees. </w:t>
      </w:r>
      <w:r w:rsidRPr="001334D1">
        <w:rPr>
          <w:i/>
          <w:iCs/>
          <w:sz w:val="22"/>
          <w:szCs w:val="22"/>
          <w:lang w:val="en-GB"/>
        </w:rPr>
        <w:t>Adm Policy Ment Health</w:t>
      </w:r>
      <w:r w:rsidRPr="001334D1">
        <w:rPr>
          <w:sz w:val="22"/>
          <w:szCs w:val="22"/>
          <w:lang w:val="en-GB"/>
        </w:rPr>
        <w:t>. 2019;46(2):145-153. doi:10.1007/s10488-018-0900-z</w:t>
      </w:r>
    </w:p>
    <w:p w:rsidR="00856527" w:rsidRPr="001334D1" w:rsidRDefault="00856527" w:rsidP="00856527">
      <w:pPr>
        <w:pStyle w:val="Bibliography"/>
        <w:rPr>
          <w:sz w:val="22"/>
          <w:szCs w:val="22"/>
          <w:lang w:val="en-GB"/>
        </w:rPr>
      </w:pPr>
      <w:r w:rsidRPr="001334D1">
        <w:rPr>
          <w:sz w:val="22"/>
          <w:szCs w:val="22"/>
          <w:lang w:val="en-GB"/>
        </w:rPr>
        <w:t xml:space="preserve">102. </w:t>
      </w:r>
      <w:r w:rsidRPr="001334D1">
        <w:rPr>
          <w:sz w:val="22"/>
          <w:szCs w:val="22"/>
          <w:lang w:val="en-GB"/>
        </w:rPr>
        <w:tab/>
        <w:t xml:space="preserve">Allen CD. Who loses public health insurance when states pass restrictive omnibus immigration-related laws? The moderating role of county Latino density. </w:t>
      </w:r>
      <w:r w:rsidRPr="001334D1">
        <w:rPr>
          <w:i/>
          <w:iCs/>
          <w:sz w:val="22"/>
          <w:szCs w:val="22"/>
          <w:lang w:val="en-GB"/>
        </w:rPr>
        <w:t>Health &amp; Place</w:t>
      </w:r>
      <w:r w:rsidRPr="001334D1">
        <w:rPr>
          <w:sz w:val="22"/>
          <w:szCs w:val="22"/>
          <w:lang w:val="en-GB"/>
        </w:rPr>
        <w:t>. 2018:20-28.</w:t>
      </w:r>
    </w:p>
    <w:p w:rsidR="00856527" w:rsidRPr="001334D1" w:rsidRDefault="00856527" w:rsidP="00856527">
      <w:pPr>
        <w:pStyle w:val="Bibliography"/>
        <w:rPr>
          <w:sz w:val="22"/>
          <w:szCs w:val="22"/>
          <w:lang w:val="en-GB"/>
        </w:rPr>
      </w:pPr>
      <w:r w:rsidRPr="001334D1">
        <w:rPr>
          <w:sz w:val="22"/>
          <w:szCs w:val="22"/>
          <w:lang w:val="en-GB"/>
        </w:rPr>
        <w:t xml:space="preserve">103. </w:t>
      </w:r>
      <w:r w:rsidRPr="001334D1">
        <w:rPr>
          <w:sz w:val="22"/>
          <w:szCs w:val="22"/>
          <w:lang w:val="en-GB"/>
        </w:rPr>
        <w:tab/>
        <w:t xml:space="preserve">Fu R, Noguchi H, Kawamura A, Takahashi H, Tamiya N. Spillover effect of Japanese long-term care insurance as an employment promotion policy for family caregivers. </w:t>
      </w:r>
      <w:r w:rsidRPr="001334D1">
        <w:rPr>
          <w:i/>
          <w:iCs/>
          <w:sz w:val="22"/>
          <w:szCs w:val="22"/>
          <w:lang w:val="en-GB"/>
        </w:rPr>
        <w:t>Journal of Health Economics</w:t>
      </w:r>
      <w:r w:rsidRPr="001334D1">
        <w:rPr>
          <w:sz w:val="22"/>
          <w:szCs w:val="22"/>
          <w:lang w:val="en-GB"/>
        </w:rPr>
        <w:t>. 2017:103-112.</w:t>
      </w:r>
    </w:p>
    <w:p w:rsidR="00856527" w:rsidRPr="001334D1" w:rsidRDefault="00856527" w:rsidP="00856527">
      <w:pPr>
        <w:pStyle w:val="Bibliography"/>
        <w:rPr>
          <w:sz w:val="22"/>
          <w:szCs w:val="22"/>
          <w:lang w:val="en-GB"/>
        </w:rPr>
      </w:pPr>
      <w:r w:rsidRPr="001334D1">
        <w:rPr>
          <w:sz w:val="22"/>
          <w:szCs w:val="22"/>
          <w:lang w:val="en-GB"/>
        </w:rPr>
        <w:t xml:space="preserve">104. </w:t>
      </w:r>
      <w:r w:rsidRPr="001334D1">
        <w:rPr>
          <w:sz w:val="22"/>
          <w:szCs w:val="22"/>
          <w:lang w:val="en-GB"/>
        </w:rPr>
        <w:tab/>
        <w:t xml:space="preserve">Boyle MA, Lahey JN. Spousal labor market effects from government health insurance: Evidence from a veterans affairs expansion. </w:t>
      </w:r>
      <w:r w:rsidRPr="001334D1">
        <w:rPr>
          <w:i/>
          <w:iCs/>
          <w:sz w:val="22"/>
          <w:szCs w:val="22"/>
          <w:lang w:val="en-GB"/>
        </w:rPr>
        <w:t>Journal of Health Economics</w:t>
      </w:r>
      <w:r w:rsidRPr="001334D1">
        <w:rPr>
          <w:sz w:val="22"/>
          <w:szCs w:val="22"/>
          <w:lang w:val="en-GB"/>
        </w:rPr>
        <w:t>. 2016;45:63-76. doi:10.1016/j.jhealeco.2015.11.005</w:t>
      </w:r>
    </w:p>
    <w:p w:rsidR="00856527" w:rsidRPr="001334D1" w:rsidRDefault="00856527" w:rsidP="00856527">
      <w:pPr>
        <w:pStyle w:val="Bibliography"/>
        <w:rPr>
          <w:sz w:val="22"/>
          <w:szCs w:val="22"/>
          <w:lang w:val="en-GB"/>
        </w:rPr>
      </w:pPr>
      <w:r w:rsidRPr="001334D1">
        <w:rPr>
          <w:sz w:val="22"/>
          <w:szCs w:val="22"/>
          <w:lang w:val="en-GB"/>
        </w:rPr>
        <w:t xml:space="preserve">105. </w:t>
      </w:r>
      <w:r w:rsidRPr="001334D1">
        <w:rPr>
          <w:sz w:val="22"/>
          <w:szCs w:val="22"/>
          <w:lang w:val="en-GB"/>
        </w:rPr>
        <w:tab/>
        <w:t xml:space="preserve">Morrissey JP, Domino ME, Cuddeback GS. Expedited Medicaid Enrollment, Mental Health Service Use, and Criminal Recidivism Among Released Prisoners With Severe Mental Illness. </w:t>
      </w:r>
      <w:r w:rsidRPr="001334D1">
        <w:rPr>
          <w:i/>
          <w:iCs/>
          <w:sz w:val="22"/>
          <w:szCs w:val="22"/>
          <w:lang w:val="en-GB"/>
        </w:rPr>
        <w:t>Psychiatric Services</w:t>
      </w:r>
      <w:r w:rsidRPr="001334D1">
        <w:rPr>
          <w:sz w:val="22"/>
          <w:szCs w:val="22"/>
          <w:lang w:val="en-GB"/>
        </w:rPr>
        <w:t>. 2016;67(8):842-849.</w:t>
      </w:r>
    </w:p>
    <w:p w:rsidR="00856527" w:rsidRPr="001334D1" w:rsidRDefault="00856527" w:rsidP="00856527">
      <w:pPr>
        <w:pStyle w:val="Bibliography"/>
        <w:rPr>
          <w:sz w:val="22"/>
          <w:szCs w:val="22"/>
          <w:lang w:val="en-GB"/>
        </w:rPr>
      </w:pPr>
      <w:r w:rsidRPr="001334D1">
        <w:rPr>
          <w:sz w:val="22"/>
          <w:szCs w:val="22"/>
          <w:lang w:val="en-GB"/>
        </w:rPr>
        <w:t xml:space="preserve">106. </w:t>
      </w:r>
      <w:r w:rsidRPr="001334D1">
        <w:rPr>
          <w:sz w:val="22"/>
          <w:szCs w:val="22"/>
          <w:lang w:val="en-GB"/>
        </w:rPr>
        <w:tab/>
        <w:t xml:space="preserve">Hsia RY, Shen Y-C. Emergency Department Closures And Openings: Spillover Effects On Patient Outcomes In Bystander Hospitals. </w:t>
      </w:r>
      <w:r w:rsidRPr="001334D1">
        <w:rPr>
          <w:i/>
          <w:iCs/>
          <w:sz w:val="22"/>
          <w:szCs w:val="22"/>
          <w:lang w:val="en-GB"/>
        </w:rPr>
        <w:t>Health Affairs</w:t>
      </w:r>
      <w:r w:rsidRPr="001334D1">
        <w:rPr>
          <w:sz w:val="22"/>
          <w:szCs w:val="22"/>
          <w:lang w:val="en-GB"/>
        </w:rPr>
        <w:t>. 2019;38(9):1496-1504. doi:10.1377/hlthaff.2019.00125</w:t>
      </w:r>
    </w:p>
    <w:p w:rsidR="00856527" w:rsidRPr="001334D1" w:rsidRDefault="00856527" w:rsidP="00856527">
      <w:pPr>
        <w:pStyle w:val="Bibliography"/>
        <w:rPr>
          <w:sz w:val="22"/>
          <w:szCs w:val="22"/>
          <w:lang w:val="en-GB"/>
        </w:rPr>
      </w:pPr>
      <w:r w:rsidRPr="001334D1">
        <w:rPr>
          <w:sz w:val="22"/>
          <w:szCs w:val="22"/>
          <w:lang w:val="en-GB"/>
        </w:rPr>
        <w:t xml:space="preserve">107. </w:t>
      </w:r>
      <w:r w:rsidRPr="001334D1">
        <w:rPr>
          <w:sz w:val="22"/>
          <w:szCs w:val="22"/>
          <w:lang w:val="en-GB"/>
        </w:rPr>
        <w:tab/>
        <w:t xml:space="preserve">Conyers G, Ayres I. A lottery test of the effect of dispensaries on emergency room visits in Arizona. </w:t>
      </w:r>
      <w:r w:rsidRPr="001334D1">
        <w:rPr>
          <w:i/>
          <w:iCs/>
          <w:sz w:val="22"/>
          <w:szCs w:val="22"/>
          <w:lang w:val="en-GB"/>
        </w:rPr>
        <w:t>Health Economics</w:t>
      </w:r>
      <w:r w:rsidRPr="001334D1">
        <w:rPr>
          <w:sz w:val="22"/>
          <w:szCs w:val="22"/>
          <w:lang w:val="en-GB"/>
        </w:rPr>
        <w:t>. 2020;29(8):854-864. doi:10.1002/hec.4013</w:t>
      </w:r>
    </w:p>
    <w:p w:rsidR="00856527" w:rsidRPr="001334D1" w:rsidRDefault="00856527" w:rsidP="00856527">
      <w:pPr>
        <w:pStyle w:val="Bibliography"/>
        <w:rPr>
          <w:sz w:val="22"/>
          <w:szCs w:val="22"/>
          <w:lang w:val="en-GB"/>
        </w:rPr>
      </w:pPr>
      <w:r w:rsidRPr="001334D1">
        <w:rPr>
          <w:sz w:val="22"/>
          <w:szCs w:val="22"/>
          <w:lang w:val="en-GB"/>
        </w:rPr>
        <w:t xml:space="preserve">108. </w:t>
      </w:r>
      <w:r w:rsidRPr="001334D1">
        <w:rPr>
          <w:sz w:val="22"/>
          <w:szCs w:val="22"/>
          <w:lang w:val="en-GB"/>
        </w:rPr>
        <w:tab/>
        <w:t xml:space="preserve">Guo S, Du W, Chen S, Guo X, Ju X. Exploring the Impact of the Rational Antibiotic Use System on Hospital Performance: The Direct Effect and the Spillover Effect. </w:t>
      </w:r>
      <w:r w:rsidRPr="001334D1">
        <w:rPr>
          <w:i/>
          <w:iCs/>
          <w:sz w:val="22"/>
          <w:szCs w:val="22"/>
          <w:lang w:val="en-GB"/>
        </w:rPr>
        <w:t>International Journal of Environmental Research and Public Health</w:t>
      </w:r>
      <w:r w:rsidRPr="001334D1">
        <w:rPr>
          <w:sz w:val="22"/>
          <w:szCs w:val="22"/>
          <w:lang w:val="en-GB"/>
        </w:rPr>
        <w:t>. 2019;16(18). doi:10.3390/ijerph16183463</w:t>
      </w:r>
    </w:p>
    <w:p w:rsidR="00856527" w:rsidRPr="001334D1" w:rsidRDefault="00856527" w:rsidP="00856527">
      <w:pPr>
        <w:pStyle w:val="Bibliography"/>
        <w:rPr>
          <w:sz w:val="22"/>
          <w:szCs w:val="22"/>
          <w:lang w:val="en-GB"/>
        </w:rPr>
      </w:pPr>
      <w:r w:rsidRPr="001334D1">
        <w:rPr>
          <w:sz w:val="22"/>
          <w:szCs w:val="22"/>
          <w:lang w:val="en-GB"/>
        </w:rPr>
        <w:t xml:space="preserve">109. </w:t>
      </w:r>
      <w:r w:rsidRPr="001334D1">
        <w:rPr>
          <w:sz w:val="22"/>
          <w:szCs w:val="22"/>
          <w:lang w:val="en-GB"/>
        </w:rPr>
        <w:tab/>
        <w:t xml:space="preserve">Long T, Bongiovanni T, Dashevsky M, et al. Impact of laboratory cost display on resident attitudes and knowledge about costs. </w:t>
      </w:r>
      <w:r w:rsidRPr="001334D1">
        <w:rPr>
          <w:i/>
          <w:iCs/>
          <w:sz w:val="22"/>
          <w:szCs w:val="22"/>
          <w:lang w:val="en-GB"/>
        </w:rPr>
        <w:t>Postgraduate Medical Journal</w:t>
      </w:r>
      <w:r w:rsidRPr="001334D1">
        <w:rPr>
          <w:sz w:val="22"/>
          <w:szCs w:val="22"/>
          <w:lang w:val="en-GB"/>
        </w:rPr>
        <w:t>. 2016;92(1092):592-596. doi:10.1136/postgradmedj-2015-133851</w:t>
      </w:r>
    </w:p>
    <w:p w:rsidR="00856527" w:rsidRPr="001334D1" w:rsidRDefault="00856527" w:rsidP="00856527">
      <w:pPr>
        <w:pStyle w:val="Bibliography"/>
        <w:rPr>
          <w:sz w:val="22"/>
          <w:szCs w:val="22"/>
          <w:lang w:val="en-GB"/>
        </w:rPr>
      </w:pPr>
      <w:r w:rsidRPr="001334D1">
        <w:rPr>
          <w:sz w:val="22"/>
          <w:szCs w:val="22"/>
          <w:lang w:val="en-GB"/>
        </w:rPr>
        <w:t xml:space="preserve">110. </w:t>
      </w:r>
      <w:r w:rsidRPr="001334D1">
        <w:rPr>
          <w:sz w:val="22"/>
          <w:szCs w:val="22"/>
          <w:lang w:val="en-GB"/>
        </w:rPr>
        <w:tab/>
        <w:t xml:space="preserve">Buchtemann D, Kastner D, Warnke I, et al. Hospital utilization outcome of an assertive outreach model for schizophrenic patients - results of a quasi-experimental study. </w:t>
      </w:r>
      <w:r w:rsidRPr="001334D1">
        <w:rPr>
          <w:i/>
          <w:iCs/>
          <w:sz w:val="22"/>
          <w:szCs w:val="22"/>
          <w:lang w:val="en-GB"/>
        </w:rPr>
        <w:t>Psychiatry Research</w:t>
      </w:r>
      <w:r w:rsidRPr="001334D1">
        <w:rPr>
          <w:sz w:val="22"/>
          <w:szCs w:val="22"/>
          <w:lang w:val="en-GB"/>
        </w:rPr>
        <w:t>. July 2016:249-255.</w:t>
      </w:r>
    </w:p>
    <w:p w:rsidR="00856527" w:rsidRPr="001334D1" w:rsidRDefault="00856527" w:rsidP="00856527">
      <w:pPr>
        <w:pStyle w:val="Bibliography"/>
        <w:rPr>
          <w:sz w:val="22"/>
          <w:szCs w:val="22"/>
          <w:lang w:val="en-GB"/>
        </w:rPr>
      </w:pPr>
      <w:r w:rsidRPr="001334D1">
        <w:rPr>
          <w:sz w:val="22"/>
          <w:szCs w:val="22"/>
          <w:lang w:val="en-GB"/>
        </w:rPr>
        <w:t xml:space="preserve">111. </w:t>
      </w:r>
      <w:r w:rsidRPr="001334D1">
        <w:rPr>
          <w:sz w:val="22"/>
          <w:szCs w:val="22"/>
          <w:lang w:val="en-GB"/>
        </w:rPr>
        <w:tab/>
        <w:t xml:space="preserve">Weigl M, Hornung S, Glaser J, Angerer P. Reduction of Hospital Physicians’ Workflow Interruptions: A Controlled Unit-Based Intervention Study. </w:t>
      </w:r>
      <w:r w:rsidRPr="001334D1">
        <w:rPr>
          <w:i/>
          <w:iCs/>
          <w:sz w:val="22"/>
          <w:szCs w:val="22"/>
          <w:lang w:val="en-GB"/>
        </w:rPr>
        <w:t>Journal of Healthcare Engineering</w:t>
      </w:r>
      <w:r w:rsidRPr="001334D1">
        <w:rPr>
          <w:sz w:val="22"/>
          <w:szCs w:val="22"/>
          <w:lang w:val="en-GB"/>
        </w:rPr>
        <w:t>. 2012;3(4):605-620. doi:10.1260/2040-2295.3.4.605</w:t>
      </w:r>
    </w:p>
    <w:p w:rsidR="00856527" w:rsidRPr="001334D1" w:rsidRDefault="00856527" w:rsidP="00856527">
      <w:pPr>
        <w:pStyle w:val="Bibliography"/>
        <w:rPr>
          <w:sz w:val="22"/>
          <w:szCs w:val="22"/>
          <w:lang w:val="en-GB"/>
        </w:rPr>
      </w:pPr>
      <w:r w:rsidRPr="001334D1">
        <w:rPr>
          <w:sz w:val="22"/>
          <w:szCs w:val="22"/>
          <w:lang w:val="en-GB"/>
        </w:rPr>
        <w:lastRenderedPageBreak/>
        <w:t xml:space="preserve">112. </w:t>
      </w:r>
      <w:r w:rsidRPr="001334D1">
        <w:rPr>
          <w:sz w:val="22"/>
          <w:szCs w:val="22"/>
          <w:lang w:val="en-GB"/>
        </w:rPr>
        <w:tab/>
        <w:t xml:space="preserve">Stokes J, Kristensen SR, Checkland K, Bower P. Effectiveness of multidisciplinary team case management: difference-in-differences analysis. </w:t>
      </w:r>
      <w:r w:rsidRPr="001334D1">
        <w:rPr>
          <w:i/>
          <w:iCs/>
          <w:sz w:val="22"/>
          <w:szCs w:val="22"/>
          <w:lang w:val="en-GB"/>
        </w:rPr>
        <w:t>BMJ Open</w:t>
      </w:r>
      <w:r w:rsidRPr="001334D1">
        <w:rPr>
          <w:sz w:val="22"/>
          <w:szCs w:val="22"/>
          <w:lang w:val="en-GB"/>
        </w:rPr>
        <w:t>. 2016;6(4):e010468. doi:10.1136/bmjopen-2015-010468</w:t>
      </w:r>
    </w:p>
    <w:p w:rsidR="00856527" w:rsidRPr="001334D1" w:rsidRDefault="00856527" w:rsidP="00856527">
      <w:pPr>
        <w:pStyle w:val="Bibliography"/>
        <w:rPr>
          <w:sz w:val="22"/>
          <w:szCs w:val="22"/>
          <w:lang w:val="en-GB"/>
        </w:rPr>
      </w:pPr>
      <w:r w:rsidRPr="001334D1">
        <w:rPr>
          <w:sz w:val="22"/>
          <w:szCs w:val="22"/>
          <w:lang w:val="en-GB"/>
        </w:rPr>
        <w:t xml:space="preserve">113. </w:t>
      </w:r>
      <w:r w:rsidRPr="001334D1">
        <w:rPr>
          <w:sz w:val="22"/>
          <w:szCs w:val="22"/>
          <w:lang w:val="en-GB"/>
        </w:rPr>
        <w:tab/>
        <w:t xml:space="preserve">Miettinen J, Malila N, Hakama M, Pitkaniemi J. Spillover improved survival in non-invited patients of the colorectal cancer screening programme. </w:t>
      </w:r>
      <w:r w:rsidRPr="001334D1">
        <w:rPr>
          <w:i/>
          <w:iCs/>
          <w:sz w:val="22"/>
          <w:szCs w:val="22"/>
          <w:lang w:val="en-GB"/>
        </w:rPr>
        <w:t>Journal of Medical Screening</w:t>
      </w:r>
      <w:r w:rsidRPr="001334D1">
        <w:rPr>
          <w:sz w:val="22"/>
          <w:szCs w:val="22"/>
          <w:lang w:val="en-GB"/>
        </w:rPr>
        <w:t>. 2018;25(3):134-140.</w:t>
      </w:r>
    </w:p>
    <w:p w:rsidR="00856527" w:rsidRPr="001334D1" w:rsidRDefault="00856527" w:rsidP="00856527">
      <w:pPr>
        <w:pStyle w:val="Bibliography"/>
        <w:rPr>
          <w:sz w:val="22"/>
          <w:szCs w:val="22"/>
          <w:lang w:val="en-GB"/>
        </w:rPr>
      </w:pPr>
      <w:r w:rsidRPr="001334D1">
        <w:rPr>
          <w:sz w:val="22"/>
          <w:szCs w:val="22"/>
          <w:lang w:val="en-GB"/>
        </w:rPr>
        <w:t xml:space="preserve">114. </w:t>
      </w:r>
      <w:r w:rsidRPr="001334D1">
        <w:rPr>
          <w:sz w:val="22"/>
          <w:szCs w:val="22"/>
          <w:lang w:val="en-GB"/>
        </w:rPr>
        <w:tab/>
        <w:t xml:space="preserve">Jarvis CI, Multerer L, Lewis D, et al. Spatial Effects of Permethrin-Impregnated Bed Nets on Child Mortality: 26 Years on, a Spatial Reanalysis of a Cluster Randomized Trial. </w:t>
      </w:r>
      <w:r w:rsidRPr="001334D1">
        <w:rPr>
          <w:i/>
          <w:iCs/>
          <w:sz w:val="22"/>
          <w:szCs w:val="22"/>
          <w:lang w:val="en-GB"/>
        </w:rPr>
        <w:t>The American Journal of Tropical Medicine and Hygiene</w:t>
      </w:r>
      <w:r w:rsidRPr="001334D1">
        <w:rPr>
          <w:sz w:val="22"/>
          <w:szCs w:val="22"/>
          <w:lang w:val="en-GB"/>
        </w:rPr>
        <w:t>. 2019;101(6):1434-1441. doi:10.4269/ajtmh.19-0111</w:t>
      </w:r>
    </w:p>
    <w:p w:rsidR="00856527" w:rsidRPr="001334D1" w:rsidRDefault="00856527" w:rsidP="00856527">
      <w:pPr>
        <w:pStyle w:val="Bibliography"/>
        <w:rPr>
          <w:sz w:val="22"/>
          <w:szCs w:val="22"/>
          <w:lang w:val="en-GB"/>
        </w:rPr>
      </w:pPr>
      <w:r w:rsidRPr="001334D1">
        <w:rPr>
          <w:sz w:val="22"/>
          <w:szCs w:val="22"/>
          <w:lang w:val="en-GB"/>
        </w:rPr>
        <w:t xml:space="preserve">115. </w:t>
      </w:r>
      <w:r w:rsidRPr="001334D1">
        <w:rPr>
          <w:sz w:val="22"/>
          <w:szCs w:val="22"/>
          <w:lang w:val="en-GB"/>
        </w:rPr>
        <w:tab/>
        <w:t xml:space="preserve">Kim DA, Hwong AR, Stafford D, et al. Social network targeting to maximise population behaviour change: a cluster randomised controlled trial. </w:t>
      </w:r>
      <w:r w:rsidRPr="001334D1">
        <w:rPr>
          <w:i/>
          <w:iCs/>
          <w:sz w:val="22"/>
          <w:szCs w:val="22"/>
          <w:lang w:val="en-GB"/>
        </w:rPr>
        <w:t>The Lancet</w:t>
      </w:r>
      <w:r w:rsidRPr="001334D1">
        <w:rPr>
          <w:sz w:val="22"/>
          <w:szCs w:val="22"/>
          <w:lang w:val="en-GB"/>
        </w:rPr>
        <w:t>. 2015;386(9989):145-153. doi:10.1016/S0140-6736(15)60095-2</w:t>
      </w:r>
    </w:p>
    <w:p w:rsidR="00856527" w:rsidRPr="001334D1" w:rsidRDefault="00856527" w:rsidP="00856527">
      <w:pPr>
        <w:pStyle w:val="Bibliography"/>
        <w:rPr>
          <w:sz w:val="22"/>
          <w:szCs w:val="22"/>
          <w:lang w:val="en-GB"/>
        </w:rPr>
      </w:pPr>
      <w:r w:rsidRPr="001334D1">
        <w:rPr>
          <w:sz w:val="22"/>
          <w:szCs w:val="22"/>
          <w:lang w:val="en-GB"/>
        </w:rPr>
        <w:t xml:space="preserve">116. </w:t>
      </w:r>
      <w:r w:rsidRPr="001334D1">
        <w:rPr>
          <w:sz w:val="22"/>
          <w:szCs w:val="22"/>
          <w:lang w:val="en-GB"/>
        </w:rPr>
        <w:tab/>
        <w:t xml:space="preserve">Kearns A, Ghosh S, Mason P, Egan M. Urban regeneration and mental health: Investigating the effects of an area-based intervention using a modified intention to treat analysis with alternative outcome measures. </w:t>
      </w:r>
      <w:r w:rsidRPr="001334D1">
        <w:rPr>
          <w:i/>
          <w:iCs/>
          <w:sz w:val="22"/>
          <w:szCs w:val="22"/>
          <w:lang w:val="en-GB"/>
        </w:rPr>
        <w:t>Health &amp; Place</w:t>
      </w:r>
      <w:r w:rsidRPr="001334D1">
        <w:rPr>
          <w:sz w:val="22"/>
          <w:szCs w:val="22"/>
          <w:lang w:val="en-GB"/>
        </w:rPr>
        <w:t>. 2020;61:102262. doi:10.1016/j.healthplace.2019.102262</w:t>
      </w:r>
    </w:p>
    <w:p w:rsidR="00856527" w:rsidRPr="001334D1" w:rsidRDefault="00856527" w:rsidP="00856527">
      <w:pPr>
        <w:pStyle w:val="Bibliography"/>
        <w:rPr>
          <w:sz w:val="22"/>
          <w:szCs w:val="22"/>
          <w:lang w:val="en-GB"/>
        </w:rPr>
      </w:pPr>
      <w:r w:rsidRPr="001334D1">
        <w:rPr>
          <w:sz w:val="22"/>
          <w:szCs w:val="22"/>
          <w:lang w:val="en-GB"/>
        </w:rPr>
        <w:t xml:space="preserve">117. </w:t>
      </w:r>
      <w:r w:rsidRPr="001334D1">
        <w:rPr>
          <w:sz w:val="22"/>
          <w:szCs w:val="22"/>
          <w:lang w:val="en-GB"/>
        </w:rPr>
        <w:tab/>
        <w:t xml:space="preserve">De Shay R, Comeau DL, Sclar GD, Routray P, Caruso BA. Community Perceptions of a Multilevel Sanitation Behavior Change Intervention in Rural Odisha, India. </w:t>
      </w:r>
      <w:r w:rsidRPr="001334D1">
        <w:rPr>
          <w:i/>
          <w:iCs/>
          <w:sz w:val="22"/>
          <w:szCs w:val="22"/>
          <w:lang w:val="en-GB"/>
        </w:rPr>
        <w:t>International Journal of Environmental Research and Public Health</w:t>
      </w:r>
      <w:r w:rsidRPr="001334D1">
        <w:rPr>
          <w:sz w:val="22"/>
          <w:szCs w:val="22"/>
          <w:lang w:val="en-GB"/>
        </w:rPr>
        <w:t>. 2020;17(12):4472. doi:10.3390/ijerph17124472</w:t>
      </w:r>
    </w:p>
    <w:p w:rsidR="00856527" w:rsidRPr="001334D1" w:rsidRDefault="00856527" w:rsidP="00856527">
      <w:pPr>
        <w:pStyle w:val="Bibliography"/>
        <w:rPr>
          <w:sz w:val="22"/>
          <w:szCs w:val="22"/>
          <w:lang w:val="en-GB"/>
        </w:rPr>
      </w:pPr>
      <w:r w:rsidRPr="001334D1">
        <w:rPr>
          <w:sz w:val="22"/>
          <w:szCs w:val="22"/>
          <w:lang w:val="en-GB"/>
        </w:rPr>
        <w:t xml:space="preserve">118. </w:t>
      </w:r>
      <w:r w:rsidRPr="001334D1">
        <w:rPr>
          <w:sz w:val="22"/>
          <w:szCs w:val="22"/>
          <w:lang w:val="en-GB"/>
        </w:rPr>
        <w:tab/>
        <w:t xml:space="preserve">Halliday TM, Davy BM, Clark AG, et al. Dietary intake modification in response to a participation in a resistance training program for sedentary older adults with prediabetes: findings from the Resist Diabetes study. </w:t>
      </w:r>
      <w:r w:rsidRPr="001334D1">
        <w:rPr>
          <w:i/>
          <w:iCs/>
          <w:sz w:val="22"/>
          <w:szCs w:val="22"/>
          <w:lang w:val="en-GB"/>
        </w:rPr>
        <w:t>Eating Behaviors</w:t>
      </w:r>
      <w:r w:rsidRPr="001334D1">
        <w:rPr>
          <w:sz w:val="22"/>
          <w:szCs w:val="22"/>
          <w:lang w:val="en-GB"/>
        </w:rPr>
        <w:t>. 2014;15(3):379-382.</w:t>
      </w:r>
    </w:p>
    <w:p w:rsidR="00856527" w:rsidRPr="001334D1" w:rsidRDefault="00856527" w:rsidP="00856527">
      <w:pPr>
        <w:pStyle w:val="Bibliography"/>
        <w:rPr>
          <w:sz w:val="22"/>
          <w:szCs w:val="22"/>
          <w:lang w:val="en-GB"/>
        </w:rPr>
      </w:pPr>
      <w:r w:rsidRPr="001334D1">
        <w:rPr>
          <w:sz w:val="22"/>
          <w:szCs w:val="22"/>
          <w:lang w:val="en-GB"/>
        </w:rPr>
        <w:t xml:space="preserve">119. </w:t>
      </w:r>
      <w:r w:rsidRPr="001334D1">
        <w:rPr>
          <w:sz w:val="22"/>
          <w:szCs w:val="22"/>
          <w:lang w:val="en-GB"/>
        </w:rPr>
        <w:tab/>
        <w:t xml:space="preserve">Quinto Romani A. Estimating the peer effect on youth overweight and inactivity using an intervention study. </w:t>
      </w:r>
      <w:r w:rsidRPr="001334D1">
        <w:rPr>
          <w:i/>
          <w:iCs/>
          <w:sz w:val="22"/>
          <w:szCs w:val="22"/>
          <w:lang w:val="en-GB"/>
        </w:rPr>
        <w:t>Journal of School Health</w:t>
      </w:r>
      <w:r w:rsidRPr="001334D1">
        <w:rPr>
          <w:sz w:val="22"/>
          <w:szCs w:val="22"/>
          <w:lang w:val="en-GB"/>
        </w:rPr>
        <w:t>. 2014;84(10):617-624.</w:t>
      </w:r>
    </w:p>
    <w:p w:rsidR="00856527" w:rsidRPr="001334D1" w:rsidRDefault="00856527" w:rsidP="00856527">
      <w:pPr>
        <w:pStyle w:val="Bibliography"/>
        <w:rPr>
          <w:sz w:val="22"/>
          <w:szCs w:val="22"/>
          <w:lang w:val="en-GB"/>
        </w:rPr>
      </w:pPr>
      <w:r w:rsidRPr="001334D1">
        <w:rPr>
          <w:sz w:val="22"/>
          <w:szCs w:val="22"/>
          <w:lang w:val="en-GB"/>
        </w:rPr>
        <w:t xml:space="preserve">120. </w:t>
      </w:r>
      <w:r w:rsidRPr="001334D1">
        <w:rPr>
          <w:sz w:val="22"/>
          <w:szCs w:val="22"/>
          <w:lang w:val="en-GB"/>
        </w:rPr>
        <w:tab/>
        <w:t xml:space="preserve">James-Burdumy S, Goesling B, Deke J, Einspruch E. The effectiveness of mandatory-random student drug testing: a cluster randomized trial. </w:t>
      </w:r>
      <w:r w:rsidRPr="001334D1">
        <w:rPr>
          <w:i/>
          <w:iCs/>
          <w:sz w:val="22"/>
          <w:szCs w:val="22"/>
          <w:lang w:val="en-GB"/>
        </w:rPr>
        <w:t>Journal of Adolescent Health</w:t>
      </w:r>
      <w:r w:rsidRPr="001334D1">
        <w:rPr>
          <w:sz w:val="22"/>
          <w:szCs w:val="22"/>
          <w:lang w:val="en-GB"/>
        </w:rPr>
        <w:t>. 2012;50(2):172-178.</w:t>
      </w:r>
    </w:p>
    <w:p w:rsidR="00856527" w:rsidRPr="001334D1" w:rsidRDefault="00856527" w:rsidP="00856527">
      <w:pPr>
        <w:pStyle w:val="Bibliography"/>
        <w:rPr>
          <w:sz w:val="22"/>
          <w:szCs w:val="22"/>
          <w:lang w:val="en-GB"/>
        </w:rPr>
      </w:pPr>
      <w:r w:rsidRPr="001334D1">
        <w:rPr>
          <w:sz w:val="22"/>
          <w:szCs w:val="22"/>
          <w:lang w:val="en-GB"/>
        </w:rPr>
        <w:t xml:space="preserve">121. </w:t>
      </w:r>
      <w:r w:rsidRPr="001334D1">
        <w:rPr>
          <w:sz w:val="22"/>
          <w:szCs w:val="22"/>
          <w:lang w:val="en-GB"/>
        </w:rPr>
        <w:tab/>
        <w:t xml:space="preserve">Kertesz SG, Madan A, Wallace D, Schumacher JE, Milby JB. Substance abuse treatment and psychiatric comorbidity: do benefits spill over? Analysis of data from a prospective trial among cocaine-dependent homeless persons. </w:t>
      </w:r>
      <w:r w:rsidRPr="001334D1">
        <w:rPr>
          <w:i/>
          <w:iCs/>
          <w:sz w:val="22"/>
          <w:szCs w:val="22"/>
          <w:lang w:val="en-GB"/>
        </w:rPr>
        <w:t>Substance Abuse Treatment, Prevention, and Policy</w:t>
      </w:r>
      <w:r w:rsidRPr="001334D1">
        <w:rPr>
          <w:sz w:val="22"/>
          <w:szCs w:val="22"/>
          <w:lang w:val="en-GB"/>
        </w:rPr>
        <w:t>. 2006;1:27. doi:10.1186/1747-597X-1-27</w:t>
      </w:r>
    </w:p>
    <w:p w:rsidR="00856527" w:rsidRPr="001334D1" w:rsidRDefault="00856527" w:rsidP="00856527">
      <w:pPr>
        <w:pStyle w:val="Bibliography"/>
        <w:rPr>
          <w:sz w:val="22"/>
          <w:szCs w:val="22"/>
        </w:rPr>
      </w:pPr>
      <w:r w:rsidRPr="001334D1">
        <w:rPr>
          <w:sz w:val="22"/>
          <w:szCs w:val="22"/>
          <w:lang w:val="en-GB"/>
        </w:rPr>
        <w:t xml:space="preserve">122. </w:t>
      </w:r>
      <w:r w:rsidRPr="001334D1">
        <w:rPr>
          <w:sz w:val="22"/>
          <w:szCs w:val="22"/>
          <w:lang w:val="en-GB"/>
        </w:rPr>
        <w:tab/>
        <w:t xml:space="preserve">Holliday A, Burgin A, Fernandez EV, Fenton SAM, Thielecke F, Blannin AK. Points-based physical activity: a novel approach to facilitate changes in body composition in inactive women with overweight and obesity. </w:t>
      </w:r>
      <w:r w:rsidRPr="001334D1">
        <w:rPr>
          <w:i/>
          <w:iCs/>
          <w:sz w:val="22"/>
          <w:szCs w:val="22"/>
        </w:rPr>
        <w:t>BMC Public Health</w:t>
      </w:r>
      <w:r w:rsidRPr="001334D1">
        <w:rPr>
          <w:sz w:val="22"/>
          <w:szCs w:val="22"/>
        </w:rPr>
        <w:t>. 2018;18(1).</w:t>
      </w:r>
    </w:p>
    <w:p w:rsidR="00856527" w:rsidRPr="00856527" w:rsidRDefault="00856527">
      <w:pPr>
        <w:rPr>
          <w:lang w:val="en-GB"/>
        </w:rPr>
      </w:pPr>
      <w:r w:rsidRPr="001334D1">
        <w:rPr>
          <w:sz w:val="22"/>
          <w:szCs w:val="22"/>
          <w:lang w:val="en-GB"/>
        </w:rPr>
        <w:fldChar w:fldCharType="end"/>
      </w:r>
    </w:p>
    <w:sectPr w:rsidR="00856527" w:rsidRPr="00856527" w:rsidSect="00C827E5">
      <w:footerReference w:type="default" r:id="rId7"/>
      <w:pgSz w:w="11906" w:h="16838"/>
      <w:pgMar w:top="1134" w:right="1134" w:bottom="1134" w:left="1134" w:header="1134" w:footer="0" w:gutter="0"/>
      <w:cols w:space="720"/>
      <w:formProt w:val="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36EC" w:rsidRDefault="000136EC">
      <w:r>
        <w:separator/>
      </w:r>
    </w:p>
  </w:endnote>
  <w:endnote w:type="continuationSeparator" w:id="0">
    <w:p w:rsidR="000136EC" w:rsidRDefault="00013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AR PL SungtiL GB">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angal">
    <w:altName w:val="Courier"/>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F2E" w:rsidRDefault="000136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36EC" w:rsidRDefault="000136EC">
      <w:r>
        <w:separator/>
      </w:r>
    </w:p>
  </w:footnote>
  <w:footnote w:type="continuationSeparator" w:id="0">
    <w:p w:rsidR="000136EC" w:rsidRDefault="000136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9"/>
  </w:docVars>
  <w:rsids>
    <w:rsidRoot w:val="00447F3F"/>
    <w:rsid w:val="000136EC"/>
    <w:rsid w:val="001334D1"/>
    <w:rsid w:val="00441A05"/>
    <w:rsid w:val="00447F3F"/>
    <w:rsid w:val="00482C93"/>
    <w:rsid w:val="007302E8"/>
    <w:rsid w:val="007737F7"/>
    <w:rsid w:val="00856527"/>
    <w:rsid w:val="008C2CE3"/>
    <w:rsid w:val="008C3EE7"/>
    <w:rsid w:val="00B21ABD"/>
    <w:rsid w:val="00B354E4"/>
    <w:rsid w:val="00DB737E"/>
    <w:rsid w:val="00FF0F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7F3F"/>
    <w:pPr>
      <w:spacing w:after="0" w:line="240" w:lineRule="auto"/>
    </w:pPr>
    <w:rPr>
      <w:rFonts w:ascii="Liberation Serif" w:eastAsia="AR PL SungtiL GB" w:hAnsi="Liberation Serif" w:cs="Lohit Devanagari"/>
      <w:kern w:val="2"/>
      <w:sz w:val="24"/>
      <w:szCs w:val="24"/>
      <w:lang w:val="it-IT"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47F3F"/>
    <w:pPr>
      <w:tabs>
        <w:tab w:val="center" w:pos="4513"/>
        <w:tab w:val="right" w:pos="9026"/>
      </w:tabs>
    </w:pPr>
    <w:rPr>
      <w:rFonts w:cs="Mangal"/>
      <w:szCs w:val="21"/>
    </w:rPr>
  </w:style>
  <w:style w:type="character" w:customStyle="1" w:styleId="FooterChar">
    <w:name w:val="Footer Char"/>
    <w:basedOn w:val="DefaultParagraphFont"/>
    <w:link w:val="Footer"/>
    <w:uiPriority w:val="99"/>
    <w:rsid w:val="00447F3F"/>
    <w:rPr>
      <w:rFonts w:ascii="Liberation Serif" w:eastAsia="AR PL SungtiL GB" w:hAnsi="Liberation Serif" w:cs="Mangal"/>
      <w:kern w:val="2"/>
      <w:sz w:val="24"/>
      <w:szCs w:val="21"/>
      <w:lang w:val="it-IT" w:eastAsia="zh-CN" w:bidi="hi-IN"/>
    </w:rPr>
  </w:style>
  <w:style w:type="paragraph" w:customStyle="1" w:styleId="Contenutotabella">
    <w:name w:val="Contenuto tabella"/>
    <w:basedOn w:val="Normal"/>
    <w:qFormat/>
    <w:rsid w:val="00856527"/>
    <w:pPr>
      <w:suppressLineNumbers/>
    </w:pPr>
  </w:style>
  <w:style w:type="table" w:styleId="TableGrid">
    <w:name w:val="Table Grid"/>
    <w:basedOn w:val="TableNormal"/>
    <w:uiPriority w:val="39"/>
    <w:rsid w:val="008565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56527"/>
    <w:rPr>
      <w:rFonts w:ascii="Segoe UI" w:hAnsi="Segoe UI" w:cs="Mangal"/>
      <w:sz w:val="18"/>
      <w:szCs w:val="16"/>
    </w:rPr>
  </w:style>
  <w:style w:type="character" w:customStyle="1" w:styleId="BalloonTextChar">
    <w:name w:val="Balloon Text Char"/>
    <w:basedOn w:val="DefaultParagraphFont"/>
    <w:link w:val="BalloonText"/>
    <w:uiPriority w:val="99"/>
    <w:semiHidden/>
    <w:rsid w:val="00856527"/>
    <w:rPr>
      <w:rFonts w:ascii="Segoe UI" w:eastAsia="AR PL SungtiL GB" w:hAnsi="Segoe UI" w:cs="Mangal"/>
      <w:kern w:val="2"/>
      <w:sz w:val="18"/>
      <w:szCs w:val="16"/>
      <w:lang w:val="it-IT" w:eastAsia="zh-CN" w:bidi="hi-IN"/>
    </w:rPr>
  </w:style>
  <w:style w:type="paragraph" w:styleId="Bibliography">
    <w:name w:val="Bibliography"/>
    <w:basedOn w:val="Normal"/>
    <w:next w:val="Normal"/>
    <w:uiPriority w:val="37"/>
    <w:unhideWhenUsed/>
    <w:rsid w:val="00856527"/>
    <w:pPr>
      <w:tabs>
        <w:tab w:val="left" w:pos="624"/>
      </w:tabs>
      <w:spacing w:after="240"/>
      <w:ind w:left="624" w:hanging="624"/>
    </w:pPr>
    <w:rPr>
      <w:rFonts w:cs="Mangal"/>
      <w:szCs w:val="21"/>
    </w:rPr>
  </w:style>
  <w:style w:type="character" w:styleId="Hyperlink">
    <w:name w:val="Hyperlink"/>
    <w:basedOn w:val="DefaultParagraphFont"/>
    <w:uiPriority w:val="99"/>
    <w:unhideWhenUsed/>
    <w:rsid w:val="00DB737E"/>
    <w:rPr>
      <w:color w:val="0563C1" w:themeColor="hyperlink"/>
      <w:u w:val="single"/>
    </w:rPr>
  </w:style>
  <w:style w:type="character" w:styleId="PlaceholderText">
    <w:name w:val="Placeholder Text"/>
    <w:basedOn w:val="DefaultParagraphFont"/>
    <w:uiPriority w:val="99"/>
    <w:semiHidden/>
    <w:rsid w:val="00DB737E"/>
    <w:rPr>
      <w:color w:val="808080"/>
    </w:rPr>
  </w:style>
  <w:style w:type="table" w:customStyle="1" w:styleId="TableGridLight1">
    <w:name w:val="Table Grid Light1"/>
    <w:basedOn w:val="TableNormal"/>
    <w:uiPriority w:val="40"/>
    <w:rsid w:val="00DB737E"/>
    <w:pPr>
      <w:spacing w:after="0" w:line="240" w:lineRule="auto"/>
    </w:pPr>
    <w:rPr>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7F3F"/>
    <w:pPr>
      <w:spacing w:after="0" w:line="240" w:lineRule="auto"/>
    </w:pPr>
    <w:rPr>
      <w:rFonts w:ascii="Liberation Serif" w:eastAsia="AR PL SungtiL GB" w:hAnsi="Liberation Serif" w:cs="Lohit Devanagari"/>
      <w:kern w:val="2"/>
      <w:sz w:val="24"/>
      <w:szCs w:val="24"/>
      <w:lang w:val="it-IT"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47F3F"/>
    <w:pPr>
      <w:tabs>
        <w:tab w:val="center" w:pos="4513"/>
        <w:tab w:val="right" w:pos="9026"/>
      </w:tabs>
    </w:pPr>
    <w:rPr>
      <w:rFonts w:cs="Mangal"/>
      <w:szCs w:val="21"/>
    </w:rPr>
  </w:style>
  <w:style w:type="character" w:customStyle="1" w:styleId="FooterChar">
    <w:name w:val="Footer Char"/>
    <w:basedOn w:val="DefaultParagraphFont"/>
    <w:link w:val="Footer"/>
    <w:uiPriority w:val="99"/>
    <w:rsid w:val="00447F3F"/>
    <w:rPr>
      <w:rFonts w:ascii="Liberation Serif" w:eastAsia="AR PL SungtiL GB" w:hAnsi="Liberation Serif" w:cs="Mangal"/>
      <w:kern w:val="2"/>
      <w:sz w:val="24"/>
      <w:szCs w:val="21"/>
      <w:lang w:val="it-IT" w:eastAsia="zh-CN" w:bidi="hi-IN"/>
    </w:rPr>
  </w:style>
  <w:style w:type="paragraph" w:customStyle="1" w:styleId="Contenutotabella">
    <w:name w:val="Contenuto tabella"/>
    <w:basedOn w:val="Normal"/>
    <w:qFormat/>
    <w:rsid w:val="00856527"/>
    <w:pPr>
      <w:suppressLineNumbers/>
    </w:pPr>
  </w:style>
  <w:style w:type="table" w:styleId="TableGrid">
    <w:name w:val="Table Grid"/>
    <w:basedOn w:val="TableNormal"/>
    <w:uiPriority w:val="39"/>
    <w:rsid w:val="008565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56527"/>
    <w:rPr>
      <w:rFonts w:ascii="Segoe UI" w:hAnsi="Segoe UI" w:cs="Mangal"/>
      <w:sz w:val="18"/>
      <w:szCs w:val="16"/>
    </w:rPr>
  </w:style>
  <w:style w:type="character" w:customStyle="1" w:styleId="BalloonTextChar">
    <w:name w:val="Balloon Text Char"/>
    <w:basedOn w:val="DefaultParagraphFont"/>
    <w:link w:val="BalloonText"/>
    <w:uiPriority w:val="99"/>
    <w:semiHidden/>
    <w:rsid w:val="00856527"/>
    <w:rPr>
      <w:rFonts w:ascii="Segoe UI" w:eastAsia="AR PL SungtiL GB" w:hAnsi="Segoe UI" w:cs="Mangal"/>
      <w:kern w:val="2"/>
      <w:sz w:val="18"/>
      <w:szCs w:val="16"/>
      <w:lang w:val="it-IT" w:eastAsia="zh-CN" w:bidi="hi-IN"/>
    </w:rPr>
  </w:style>
  <w:style w:type="paragraph" w:styleId="Bibliography">
    <w:name w:val="Bibliography"/>
    <w:basedOn w:val="Normal"/>
    <w:next w:val="Normal"/>
    <w:uiPriority w:val="37"/>
    <w:unhideWhenUsed/>
    <w:rsid w:val="00856527"/>
    <w:pPr>
      <w:tabs>
        <w:tab w:val="left" w:pos="624"/>
      </w:tabs>
      <w:spacing w:after="240"/>
      <w:ind w:left="624" w:hanging="624"/>
    </w:pPr>
    <w:rPr>
      <w:rFonts w:cs="Mangal"/>
      <w:szCs w:val="21"/>
    </w:rPr>
  </w:style>
  <w:style w:type="character" w:styleId="Hyperlink">
    <w:name w:val="Hyperlink"/>
    <w:basedOn w:val="DefaultParagraphFont"/>
    <w:uiPriority w:val="99"/>
    <w:unhideWhenUsed/>
    <w:rsid w:val="00DB737E"/>
    <w:rPr>
      <w:color w:val="0563C1" w:themeColor="hyperlink"/>
      <w:u w:val="single"/>
    </w:rPr>
  </w:style>
  <w:style w:type="character" w:styleId="PlaceholderText">
    <w:name w:val="Placeholder Text"/>
    <w:basedOn w:val="DefaultParagraphFont"/>
    <w:uiPriority w:val="99"/>
    <w:semiHidden/>
    <w:rsid w:val="00DB737E"/>
    <w:rPr>
      <w:color w:val="808080"/>
    </w:rPr>
  </w:style>
  <w:style w:type="table" w:customStyle="1" w:styleId="TableGridLight1">
    <w:name w:val="Table Grid Light1"/>
    <w:basedOn w:val="TableNormal"/>
    <w:uiPriority w:val="40"/>
    <w:rsid w:val="00DB737E"/>
    <w:pPr>
      <w:spacing w:after="0" w:line="240" w:lineRule="auto"/>
    </w:pPr>
    <w:rPr>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32789</Words>
  <Characters>211817</Characters>
  <Application>Microsoft Office Word</Application>
  <DocSecurity>0</DocSecurity>
  <Lines>4153</Lines>
  <Paragraphs>2055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242551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 Francetic</dc:creator>
  <cp:lastModifiedBy>HEALCANCIA</cp:lastModifiedBy>
  <cp:revision>2</cp:revision>
  <dcterms:created xsi:type="dcterms:W3CDTF">2022-03-05T05:00:00Z</dcterms:created>
  <dcterms:modified xsi:type="dcterms:W3CDTF">2022-03-05T05:00:00Z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zotero-version="5.0.56"&gt;&lt;session id="f5BB15Bm"/&gt;&lt;style id="http://www.zotero.org/styles/american-medical-association-10th-edition" hasBibliography="1" bibliographyStyleHasBeenSet="1"/&gt;&lt;prefs&gt;&lt;pref name="fieldType" value="Field"/&gt;&lt;/p</vt:lpwstr>
  </property>
  <property fmtid="{D5CDD505-2E9C-101B-9397-08002B2CF9AE}" pid="3" name="ZOTERO_PREF_2">
    <vt:lpwstr>refs&gt;&lt;/data&gt;</vt:lpwstr>
  </property>
</Properties>
</file>