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2023" w14:textId="39DDD9A8" w:rsidR="005843C6" w:rsidRDefault="005843C6" w:rsidP="005843C6">
      <w:pPr>
        <w:spacing w:line="480" w:lineRule="auto"/>
      </w:pPr>
      <w:r>
        <w:t>Appendix 1: Description of Planned Adaptation Implementation Strategies</w:t>
      </w:r>
    </w:p>
    <w:p w14:paraId="7ABF33C5" w14:textId="77777777" w:rsidR="005843C6" w:rsidRDefault="005843C6" w:rsidP="005843C6">
      <w:pPr>
        <w:spacing w:line="480" w:lineRule="auto"/>
      </w:pPr>
    </w:p>
    <w:p w14:paraId="75DE69E7" w14:textId="2A5ADC39" w:rsidR="005843C6" w:rsidRPr="000C70F2" w:rsidRDefault="005843C6" w:rsidP="005843C6">
      <w:pPr>
        <w:spacing w:line="480" w:lineRule="auto"/>
        <w:rPr>
          <w:i/>
          <w:iCs/>
        </w:rPr>
      </w:pPr>
      <w:r>
        <w:t xml:space="preserve">Strategy 1 (IS1 in Table 1) – Remind clinicians/raise awareness: In May 2020, the implementation team targeted clinician awareness of LUS in the management of COVID-19 by emailing hospitalists as they began their COVID-19 service weeks to provide information regarding the study and inviting them to reach out if they desired supervision in performing LUS for their patients with COVID as part of the training and credentialing process. It was quickly realized through twice monthly RE-AIM dashboard inspections and project meetings that adoption remained low and hospitalist responses to these emails were limited, at which point alternative implementation strategies were formulated. </w:t>
      </w:r>
      <w:r w:rsidRPr="00026E70">
        <w:rPr>
          <w:i/>
          <w:iCs/>
        </w:rPr>
        <w:t xml:space="preserve"> </w:t>
      </w:r>
      <w:r w:rsidRPr="0059617A">
        <w:rPr>
          <w:i/>
          <w:iCs/>
        </w:rPr>
        <w:t>Target</w:t>
      </w:r>
      <w:r>
        <w:rPr>
          <w:i/>
          <w:iCs/>
        </w:rPr>
        <w:t xml:space="preserve"> RE-</w:t>
      </w:r>
      <w:proofErr w:type="gramStart"/>
      <w:r>
        <w:rPr>
          <w:i/>
          <w:iCs/>
        </w:rPr>
        <w:t xml:space="preserve">AIM </w:t>
      </w:r>
      <w:r w:rsidRPr="0059617A">
        <w:rPr>
          <w:i/>
          <w:iCs/>
        </w:rPr>
        <w:t xml:space="preserve"> outcome</w:t>
      </w:r>
      <w:proofErr w:type="gramEnd"/>
      <w:r w:rsidRPr="0059617A">
        <w:rPr>
          <w:i/>
          <w:iCs/>
        </w:rPr>
        <w:t>: Adoption</w:t>
      </w:r>
    </w:p>
    <w:p w14:paraId="7091C7EA" w14:textId="77777777" w:rsidR="005843C6" w:rsidRDefault="005843C6" w:rsidP="005843C6">
      <w:pPr>
        <w:spacing w:line="480" w:lineRule="auto"/>
      </w:pPr>
    </w:p>
    <w:p w14:paraId="23AF45BC" w14:textId="77777777" w:rsidR="005843C6" w:rsidRDefault="005843C6" w:rsidP="005843C6">
      <w:pPr>
        <w:spacing w:line="480" w:lineRule="auto"/>
      </w:pPr>
      <w:r>
        <w:t xml:space="preserve">Strategy 2 (IS2 in Table 1) – Mandate change/new policy: Through discussions with clinical and procedure service leadership a new policy was implemented mandating that hospitalists working on the inpatient procedure service were expected to become credentialed in LUS to improve the supervised scanning opportunities for hospitalist faculty. This new policy change was announced to procedure service attendings via email in July 2020. </w:t>
      </w:r>
      <w:r w:rsidRPr="00F43464">
        <w:rPr>
          <w:i/>
          <w:iCs/>
        </w:rPr>
        <w:t>Target</w:t>
      </w:r>
      <w:r>
        <w:rPr>
          <w:i/>
          <w:iCs/>
        </w:rPr>
        <w:t xml:space="preserve"> RE-AIM</w:t>
      </w:r>
      <w:r w:rsidRPr="00F43464">
        <w:rPr>
          <w:i/>
          <w:iCs/>
        </w:rPr>
        <w:t xml:space="preserve"> outcome: Adoptio</w:t>
      </w:r>
      <w:r>
        <w:rPr>
          <w:i/>
          <w:iCs/>
        </w:rPr>
        <w:t>n</w:t>
      </w:r>
    </w:p>
    <w:p w14:paraId="1612FC2A" w14:textId="77777777" w:rsidR="005843C6" w:rsidRDefault="005843C6" w:rsidP="005843C6">
      <w:pPr>
        <w:spacing w:line="480" w:lineRule="auto"/>
      </w:pPr>
    </w:p>
    <w:p w14:paraId="716099F1" w14:textId="77777777" w:rsidR="005843C6" w:rsidRPr="000C70F2" w:rsidRDefault="005843C6" w:rsidP="005843C6">
      <w:pPr>
        <w:spacing w:line="480" w:lineRule="auto"/>
        <w:rPr>
          <w:i/>
          <w:iCs/>
        </w:rPr>
      </w:pPr>
      <w:r>
        <w:t>Strategy 3 (IS3 in Table 1) – Promote adaptability/alternate form of adoption – ordering LUS: In August 2020, the implementation team created a new opportunity for faculty to adopt by ordering an LUS imaging study to be performed by the procedure service, rather than faculty acquiring the LUS images themselves. Emails were sent out to faculty making them aware that they could now order an LUS for their</w:t>
      </w:r>
      <w:r w:rsidRPr="002B5BEC">
        <w:t xml:space="preserve"> </w:t>
      </w:r>
      <w:r>
        <w:t>patients</w:t>
      </w:r>
      <w:r w:rsidRPr="002B5BEC">
        <w:t xml:space="preserve"> </w:t>
      </w:r>
      <w:r>
        <w:t>to be performed by</w:t>
      </w:r>
      <w:r w:rsidRPr="002B5BEC">
        <w:t xml:space="preserve"> the procedure service attendings. </w:t>
      </w:r>
      <w:r>
        <w:t xml:space="preserve">This strategy was designed to provide procedure attendings with opportunities to </w:t>
      </w:r>
      <w:r>
        <w:lastRenderedPageBreak/>
        <w:t xml:space="preserve">complete their image portfolios (the most time intensive aspect of the credentialing prerequisites), while also increasing Reach despite the small number of clinicians credentialed. </w:t>
      </w:r>
      <w:r w:rsidRPr="00F43464">
        <w:rPr>
          <w:i/>
          <w:iCs/>
        </w:rPr>
        <w:t xml:space="preserve">Target </w:t>
      </w:r>
      <w:r>
        <w:rPr>
          <w:i/>
          <w:iCs/>
        </w:rPr>
        <w:t xml:space="preserve">RE-AIM </w:t>
      </w:r>
      <w:r w:rsidRPr="00F43464">
        <w:rPr>
          <w:i/>
          <w:iCs/>
        </w:rPr>
        <w:t xml:space="preserve">outcome: </w:t>
      </w:r>
      <w:r>
        <w:rPr>
          <w:i/>
          <w:iCs/>
        </w:rPr>
        <w:t>Reach</w:t>
      </w:r>
    </w:p>
    <w:p w14:paraId="21FEA5B8" w14:textId="77777777" w:rsidR="005843C6" w:rsidRDefault="005843C6" w:rsidP="005843C6">
      <w:pPr>
        <w:spacing w:line="480" w:lineRule="auto"/>
      </w:pPr>
    </w:p>
    <w:p w14:paraId="41283E5D" w14:textId="77777777" w:rsidR="005843C6" w:rsidRPr="000C70F2" w:rsidRDefault="005843C6" w:rsidP="005843C6">
      <w:pPr>
        <w:spacing w:line="480" w:lineRule="auto"/>
        <w:rPr>
          <w:i/>
          <w:iCs/>
        </w:rPr>
      </w:pPr>
      <w:r>
        <w:t>Strategy 4 (IS4 in Table 1) – remote teleguidance/supervision of LUS procedure - In September 2020,</w:t>
      </w:r>
      <w:r w:rsidRPr="002B5BEC">
        <w:t xml:space="preserve"> </w:t>
      </w:r>
      <w:r>
        <w:t>to</w:t>
      </w:r>
      <w:r w:rsidRPr="002B5BEC">
        <w:t xml:space="preserve"> improve access to supervised scanning </w:t>
      </w:r>
      <w:r>
        <w:t>for</w:t>
      </w:r>
      <w:r w:rsidRPr="002B5BEC">
        <w:t xml:space="preserve"> procedure attendings</w:t>
      </w:r>
      <w:r>
        <w:t xml:space="preserve">, LUS </w:t>
      </w:r>
      <w:r w:rsidRPr="002B5BEC">
        <w:t xml:space="preserve">supervision </w:t>
      </w:r>
      <w:r>
        <w:t>via tele</w:t>
      </w:r>
      <w:r w:rsidRPr="002B5BEC">
        <w:t xml:space="preserve">guidance software </w:t>
      </w:r>
      <w:r>
        <w:t xml:space="preserve">was introduced </w:t>
      </w:r>
      <w:r w:rsidRPr="002B5BEC">
        <w:t xml:space="preserve">which enabled remote supervision. This increased the </w:t>
      </w:r>
      <w:r>
        <w:t>efficiency</w:t>
      </w:r>
      <w:r w:rsidRPr="002B5BEC">
        <w:t xml:space="preserve"> of implementation efforts </w:t>
      </w:r>
      <w:r>
        <w:t>while</w:t>
      </w:r>
      <w:r w:rsidRPr="002B5BEC">
        <w:t xml:space="preserve"> conserv</w:t>
      </w:r>
      <w:r>
        <w:t>ing the</w:t>
      </w:r>
      <w:r w:rsidRPr="002B5BEC">
        <w:t xml:space="preserve"> </w:t>
      </w:r>
      <w:r>
        <w:t xml:space="preserve">most limited implementation </w:t>
      </w:r>
      <w:r w:rsidRPr="002B5BEC">
        <w:t>resource</w:t>
      </w:r>
      <w:r>
        <w:t>:</w:t>
      </w:r>
      <w:r w:rsidRPr="002B5BEC">
        <w:t xml:space="preserve"> faculty time to teach</w:t>
      </w:r>
      <w:r>
        <w:t xml:space="preserve"> LUS</w:t>
      </w:r>
      <w:r w:rsidRPr="002B5BEC">
        <w:t>.</w:t>
      </w:r>
      <w:r>
        <w:t xml:space="preserve"> </w:t>
      </w:r>
      <w:r w:rsidRPr="00A96D32">
        <w:rPr>
          <w:i/>
          <w:iCs/>
        </w:rPr>
        <w:t>Target</w:t>
      </w:r>
      <w:r>
        <w:rPr>
          <w:i/>
          <w:iCs/>
        </w:rPr>
        <w:t xml:space="preserve"> RE-</w:t>
      </w:r>
      <w:proofErr w:type="gramStart"/>
      <w:r>
        <w:rPr>
          <w:i/>
          <w:iCs/>
        </w:rPr>
        <w:t xml:space="preserve">AIM </w:t>
      </w:r>
      <w:r w:rsidRPr="00A96D32">
        <w:rPr>
          <w:i/>
          <w:iCs/>
        </w:rPr>
        <w:t xml:space="preserve"> outcome</w:t>
      </w:r>
      <w:r>
        <w:rPr>
          <w:i/>
          <w:iCs/>
        </w:rPr>
        <w:t>s</w:t>
      </w:r>
      <w:proofErr w:type="gramEnd"/>
      <w:r w:rsidRPr="00A96D32">
        <w:rPr>
          <w:i/>
          <w:iCs/>
        </w:rPr>
        <w:t xml:space="preserve">: </w:t>
      </w:r>
      <w:r>
        <w:rPr>
          <w:i/>
          <w:iCs/>
        </w:rPr>
        <w:t xml:space="preserve">Reach and </w:t>
      </w:r>
      <w:r w:rsidRPr="00A96D32">
        <w:rPr>
          <w:i/>
          <w:iCs/>
        </w:rPr>
        <w:t>Adoption</w:t>
      </w:r>
    </w:p>
    <w:p w14:paraId="3FED4A4E" w14:textId="77777777" w:rsidR="005843C6" w:rsidRDefault="005843C6" w:rsidP="005843C6">
      <w:pPr>
        <w:spacing w:line="480" w:lineRule="auto"/>
      </w:pPr>
    </w:p>
    <w:p w14:paraId="0D4867FB" w14:textId="77777777" w:rsidR="005843C6" w:rsidRDefault="005843C6" w:rsidP="005843C6">
      <w:pPr>
        <w:spacing w:line="480" w:lineRule="auto"/>
      </w:pPr>
      <w:r>
        <w:t xml:space="preserve">Strategy 5 (IS 5 in Table 1) – Distribute educational materials/influence perceptions of appropriateness - </w:t>
      </w:r>
      <w:r w:rsidRPr="002B5BEC">
        <w:t xml:space="preserve">In November of 2020, after hearing from </w:t>
      </w:r>
      <w:r>
        <w:t>hospitalists</w:t>
      </w:r>
      <w:r w:rsidRPr="002B5BEC">
        <w:t xml:space="preserve"> </w:t>
      </w:r>
      <w:r>
        <w:t xml:space="preserve">through qualitative interviews </w:t>
      </w:r>
      <w:r w:rsidRPr="002B5BEC">
        <w:t xml:space="preserve">that </w:t>
      </w:r>
      <w:r>
        <w:t>an important barrier to adoption of LUS in</w:t>
      </w:r>
      <w:r w:rsidRPr="002B5BEC">
        <w:t xml:space="preserve"> patients</w:t>
      </w:r>
      <w:r>
        <w:t xml:space="preserve"> with COVID</w:t>
      </w:r>
      <w:r w:rsidRPr="002B5BEC">
        <w:t xml:space="preserve"> was </w:t>
      </w:r>
      <w:r>
        <w:t xml:space="preserve">a </w:t>
      </w:r>
      <w:r w:rsidRPr="002B5BEC">
        <w:t xml:space="preserve">lack of </w:t>
      </w:r>
      <w:r>
        <w:t>published research</w:t>
      </w:r>
      <w:r w:rsidRPr="002B5BEC">
        <w:t xml:space="preserve"> demonstrating advantages </w:t>
      </w:r>
      <w:r>
        <w:t xml:space="preserve">of LUS </w:t>
      </w:r>
      <w:r w:rsidRPr="002B5BEC">
        <w:t xml:space="preserve">specifically in </w:t>
      </w:r>
      <w:r>
        <w:t xml:space="preserve">patients with </w:t>
      </w:r>
      <w:r w:rsidRPr="002B5BEC">
        <w:t>COVID</w:t>
      </w:r>
      <w:r>
        <w:t>, the implementation team</w:t>
      </w:r>
      <w:r w:rsidRPr="002B5BEC">
        <w:t xml:space="preserve"> began circulating published literature to address this barrier</w:t>
      </w:r>
      <w:r>
        <w:t xml:space="preserve">. </w:t>
      </w:r>
      <w:r w:rsidRPr="00A96D32">
        <w:rPr>
          <w:i/>
          <w:iCs/>
        </w:rPr>
        <w:t>Target</w:t>
      </w:r>
      <w:r>
        <w:rPr>
          <w:i/>
          <w:iCs/>
        </w:rPr>
        <w:t xml:space="preserve"> RE-AIM </w:t>
      </w:r>
      <w:r w:rsidRPr="00A96D32">
        <w:rPr>
          <w:i/>
          <w:iCs/>
        </w:rPr>
        <w:t>outcome</w:t>
      </w:r>
      <w:r>
        <w:rPr>
          <w:i/>
          <w:iCs/>
        </w:rPr>
        <w:t>s</w:t>
      </w:r>
      <w:r w:rsidRPr="00A96D32">
        <w:rPr>
          <w:i/>
          <w:iCs/>
        </w:rPr>
        <w:t xml:space="preserve">: </w:t>
      </w:r>
      <w:r>
        <w:rPr>
          <w:i/>
          <w:iCs/>
        </w:rPr>
        <w:t xml:space="preserve">Reach and </w:t>
      </w:r>
      <w:r w:rsidRPr="00A96D32">
        <w:rPr>
          <w:i/>
          <w:iCs/>
        </w:rPr>
        <w:t>Adoption</w:t>
      </w:r>
    </w:p>
    <w:p w14:paraId="2DC9D343" w14:textId="77777777" w:rsidR="005843C6" w:rsidRDefault="005843C6" w:rsidP="005843C6">
      <w:pPr>
        <w:spacing w:line="480" w:lineRule="auto"/>
      </w:pPr>
    </w:p>
    <w:p w14:paraId="32BA8B54" w14:textId="77777777" w:rsidR="005843C6" w:rsidRPr="00F43464" w:rsidRDefault="005843C6" w:rsidP="005843C6">
      <w:pPr>
        <w:spacing w:line="480" w:lineRule="auto"/>
        <w:rPr>
          <w:i/>
          <w:iCs/>
        </w:rPr>
      </w:pPr>
      <w:r>
        <w:t>Strategy 6 (IS6 in Table 1) – Intensify accountability to the LUS credentialing policy mandate for proceduralists and de-implement strategy 1 - By</w:t>
      </w:r>
      <w:r w:rsidRPr="00746DD2">
        <w:t xml:space="preserve"> February of 2021, </w:t>
      </w:r>
      <w:r>
        <w:t xml:space="preserve">through frequent inspections of the RE-AIM dashboard and discussions at project meetings, the implementation team reached consensus </w:t>
      </w:r>
      <w:r w:rsidRPr="00746DD2">
        <w:t>that focusing efforts on training procedur</w:t>
      </w:r>
      <w:r>
        <w:t>alists</w:t>
      </w:r>
      <w:r w:rsidRPr="00746DD2">
        <w:t xml:space="preserve"> was more likely </w:t>
      </w:r>
      <w:r>
        <w:t>to</w:t>
      </w:r>
      <w:r w:rsidRPr="00746DD2">
        <w:t xml:space="preserve"> result in credentialing th</w:t>
      </w:r>
      <w:r>
        <w:t>an</w:t>
      </w:r>
      <w:r w:rsidRPr="00746DD2">
        <w:t xml:space="preserve"> efforts focused on credentialing </w:t>
      </w:r>
      <w:r>
        <w:t>hospitalists</w:t>
      </w:r>
      <w:r w:rsidRPr="00746DD2">
        <w:t xml:space="preserve"> on the COVID services </w:t>
      </w:r>
      <w:r>
        <w:t xml:space="preserve">(IS </w:t>
      </w:r>
      <w:proofErr w:type="gramStart"/>
      <w:r>
        <w:t>6,Table</w:t>
      </w:r>
      <w:proofErr w:type="gramEnd"/>
      <w:r>
        <w:t xml:space="preserve"> 1). I</w:t>
      </w:r>
      <w:r w:rsidRPr="00746DD2">
        <w:t>mplementation strategies</w:t>
      </w:r>
      <w:r>
        <w:t xml:space="preserve"> were adjusted</w:t>
      </w:r>
      <w:r w:rsidRPr="00746DD2">
        <w:t xml:space="preserve"> to reflect this and implementation resources</w:t>
      </w:r>
      <w:r>
        <w:t xml:space="preserve"> </w:t>
      </w:r>
      <w:r>
        <w:lastRenderedPageBreak/>
        <w:t xml:space="preserve">redistributed from strategy 1 to </w:t>
      </w:r>
      <w:r w:rsidRPr="00746DD2">
        <w:t xml:space="preserve">instead </w:t>
      </w:r>
      <w:r>
        <w:t xml:space="preserve">focus more of the implementation team’s most limited resource </w:t>
      </w:r>
      <w:proofErr w:type="gramStart"/>
      <w:r>
        <w:t>—  faculty</w:t>
      </w:r>
      <w:proofErr w:type="gramEnd"/>
      <w:r>
        <w:t xml:space="preserve"> time — to </w:t>
      </w:r>
      <w:r w:rsidRPr="00746DD2">
        <w:t xml:space="preserve">training </w:t>
      </w:r>
      <w:r>
        <w:t>proceduralists, including proceduralist advanced practice providers (APPs)</w:t>
      </w:r>
      <w:r w:rsidRPr="00746DD2">
        <w:t xml:space="preserve"> </w:t>
      </w:r>
      <w:r>
        <w:t xml:space="preserve">who </w:t>
      </w:r>
      <w:r w:rsidRPr="00746DD2">
        <w:t xml:space="preserve">had recently been added to </w:t>
      </w:r>
      <w:r>
        <w:t xml:space="preserve">the </w:t>
      </w:r>
      <w:r w:rsidRPr="00746DD2">
        <w:t>procedure service faculty</w:t>
      </w:r>
      <w:r>
        <w:t xml:space="preserve">. This messaging included setting </w:t>
      </w:r>
      <w:r w:rsidRPr="00746DD2">
        <w:t xml:space="preserve">clear expectations for completion of credentialing requirements and a timeline </w:t>
      </w:r>
      <w:r>
        <w:t>for</w:t>
      </w:r>
      <w:r w:rsidRPr="00746DD2">
        <w:t xml:space="preserve"> completion</w:t>
      </w:r>
      <w:r>
        <w:t xml:space="preserve"> which had not been done prior</w:t>
      </w:r>
      <w:r w:rsidRPr="00746DD2">
        <w:t>.</w:t>
      </w:r>
      <w:r>
        <w:t xml:space="preserve"> </w:t>
      </w:r>
      <w:r w:rsidRPr="00A96D32">
        <w:rPr>
          <w:i/>
          <w:iCs/>
        </w:rPr>
        <w:t>Target</w:t>
      </w:r>
      <w:r>
        <w:rPr>
          <w:i/>
          <w:iCs/>
        </w:rPr>
        <w:t xml:space="preserve"> RE-AIM </w:t>
      </w:r>
      <w:r w:rsidRPr="00A96D32">
        <w:rPr>
          <w:i/>
          <w:iCs/>
        </w:rPr>
        <w:t>outcome</w:t>
      </w:r>
      <w:r>
        <w:rPr>
          <w:i/>
          <w:iCs/>
        </w:rPr>
        <w:t>s</w:t>
      </w:r>
      <w:r w:rsidRPr="00A96D32">
        <w:rPr>
          <w:i/>
          <w:iCs/>
        </w:rPr>
        <w:t xml:space="preserve">: </w:t>
      </w:r>
      <w:r>
        <w:rPr>
          <w:i/>
          <w:iCs/>
        </w:rPr>
        <w:t xml:space="preserve">Reach and </w:t>
      </w:r>
      <w:r w:rsidRPr="00A96D32">
        <w:rPr>
          <w:i/>
          <w:iCs/>
        </w:rPr>
        <w:t>Adoption</w:t>
      </w:r>
    </w:p>
    <w:p w14:paraId="397FF520" w14:textId="77777777" w:rsidR="005843C6" w:rsidRDefault="005843C6" w:rsidP="005843C6">
      <w:pPr>
        <w:spacing w:line="480" w:lineRule="auto"/>
      </w:pPr>
    </w:p>
    <w:p w14:paraId="7CEB9DC5" w14:textId="77777777" w:rsidR="005843C6" w:rsidRDefault="005843C6" w:rsidP="005843C6">
      <w:pPr>
        <w:spacing w:line="480" w:lineRule="auto"/>
        <w:rPr>
          <w:b/>
          <w:bCs/>
        </w:rPr>
      </w:pPr>
      <w:r>
        <w:t xml:space="preserve">Strategy 7 (IS7 in Table 1) – Access new funding - In </w:t>
      </w:r>
      <w:r w:rsidRPr="00644658">
        <w:t>June 20</w:t>
      </w:r>
      <w:r>
        <w:t>2</w:t>
      </w:r>
      <w:r w:rsidRPr="00644658">
        <w:t>1,</w:t>
      </w:r>
      <w:r>
        <w:t xml:space="preserve"> at the end of the grant funded project period, the implementation team</w:t>
      </w:r>
      <w:r w:rsidRPr="00644658">
        <w:t xml:space="preserve"> negotiated with clinical leadership for continued </w:t>
      </w:r>
      <w:r>
        <w:t xml:space="preserve">faculty salary </w:t>
      </w:r>
      <w:r w:rsidRPr="00644658">
        <w:t>support to continue the program</w:t>
      </w:r>
      <w:r>
        <w:t>,</w:t>
      </w:r>
      <w:r w:rsidRPr="00644658">
        <w:t xml:space="preserve"> demonstrating via the billing data </w:t>
      </w:r>
      <w:r>
        <w:t xml:space="preserve">for LUS </w:t>
      </w:r>
      <w:r w:rsidRPr="00644658">
        <w:t>acquired over the year</w:t>
      </w:r>
      <w:r>
        <w:t>-</w:t>
      </w:r>
      <w:r w:rsidRPr="00644658">
        <w:t xml:space="preserve">long pilot that </w:t>
      </w:r>
      <w:r>
        <w:t>this investment</w:t>
      </w:r>
      <w:r w:rsidRPr="00644658">
        <w:t xml:space="preserve"> would be </w:t>
      </w:r>
      <w:r>
        <w:t>budget</w:t>
      </w:r>
      <w:r w:rsidRPr="00644658">
        <w:t xml:space="preserve"> neutral</w:t>
      </w:r>
      <w:r>
        <w:t xml:space="preserve"> to the DHM</w:t>
      </w:r>
      <w:r w:rsidRPr="00644658">
        <w:t>.</w:t>
      </w:r>
      <w:r>
        <w:t xml:space="preserve"> Table 1 demonstrates Reach and Adoption data for the first 4 months of the sustainment period. </w:t>
      </w:r>
      <w:r w:rsidRPr="00DD01B5">
        <w:t xml:space="preserve">LUS in the management of COVID was implemented initially in 2020 based on practical concerns regarding the possibility of constrained provider protective equipment resources and potential nosocomial spread of COVID—as these contextual factors were of less concern to hospital leaders later in the pandemic, there was a </w:t>
      </w:r>
      <w:r>
        <w:t xml:space="preserve">diminished </w:t>
      </w:r>
      <w:r w:rsidRPr="00DD01B5">
        <w:t xml:space="preserve">need to seek further improvements in Reach at the end of the 12-month pilot. Instead, LUS implementation efforts turned to increase the </w:t>
      </w:r>
      <w:r>
        <w:t>R</w:t>
      </w:r>
      <w:r w:rsidRPr="00DD01B5">
        <w:t>each of LUS in the management of heart failure and other disease processes that have even more evidence supporting its use</w:t>
      </w:r>
      <w:r>
        <w:fldChar w:fldCharType="begin"/>
      </w:r>
      <w:r>
        <w:instrText xml:space="preserve"> ADDIN EN.CITE &lt;EndNote&gt;&lt;Cite&gt;&lt;Author&gt;Qaseem&lt;/Author&gt;&lt;Year&gt;2021&lt;/Year&gt;&lt;RecNum&gt;208&lt;/RecNum&gt;&lt;DisplayText&gt;&lt;style face="superscript"&gt;9&lt;/style&gt;&lt;/DisplayText&gt;&lt;record&gt;&lt;rec-number&gt;208&lt;/rec-number&gt;&lt;foreign-keys&gt;&lt;key app="EN" db-id="d0z9a0xv3pdffpepfx7xref1t5trxe9edef9" timestamp="1619667179"&gt;208&lt;/key&gt;&lt;/foreign-keys&gt;&lt;ref-type name="Journal Article"&gt;17&lt;/ref-type&gt;&lt;contributors&gt;&lt;authors&gt;&lt;author&gt;Qaseem, A.&lt;/author&gt;&lt;author&gt;Etxeandia-Ikobaltzeta, I.&lt;/author&gt;&lt;author&gt;Mustafa, R. A.&lt;/author&gt;&lt;author&gt;Kansagara, D.&lt;/author&gt;&lt;author&gt;Fitterman, N.&lt;/author&gt;&lt;author&gt;Wilt, T. J.&lt;/author&gt;&lt;/authors&gt;&lt;/contributors&gt;&lt;auth-address&gt;American College of Physicians, Philadelphia, Pennsylvania (A.Q., I.E.).&amp;#xD;University of Kansas Medical Center, Kansas City, Kansas (R.A.M.).&amp;#xD;Portland VA Medical Center, Portland, Oregon (D.K.).&amp;#xD;Northwell Health, Huntington, New York (N.F.).&amp;#xD;Minneapolis VA Medical Center, Minneapolis, Minnesota (T.J.W.).&lt;/auth-address&gt;&lt;titles&gt;&lt;title&gt;Appropriate Use of Point-of-Care Ultrasonography in Patients With Acute Dyspnea in Emergency Department or Inpatient Settings: A Clinical Guideline From the American College of Physicians&lt;/title&gt;&lt;secondary-title&gt;Ann Intern Med&lt;/secondary-title&gt;&lt;/titles&gt;&lt;periodical&gt;&lt;full-title&gt;Ann Intern Med&lt;/full-title&gt;&lt;/periodical&gt;&lt;edition&gt;2021/04/27&lt;/edition&gt;&lt;dates&gt;&lt;year&gt;2021&lt;/year&gt;&lt;pub-dates&gt;&lt;date&gt;Apr 27&lt;/date&gt;&lt;/pub-dates&gt;&lt;/dates&gt;&lt;isbn&gt;1539-3704 (Electronic)&amp;#xD;0003-4819 (Linking)&lt;/isbn&gt;&lt;accession-num&gt;33900792&lt;/accession-num&gt;&lt;urls&gt;&lt;related-urls&gt;&lt;url&gt;https://www.ncbi.nlm.nih.gov/pubmed/33900792&lt;/url&gt;&lt;/related-urls&gt;&lt;/urls&gt;&lt;electronic-resource-num&gt;10.7326/M20-7844&lt;/electronic-resource-num&gt;&lt;/record&gt;&lt;/Cite&gt;&lt;/EndNote&gt;</w:instrText>
      </w:r>
      <w:r>
        <w:fldChar w:fldCharType="separate"/>
      </w:r>
      <w:r w:rsidRPr="001F1B79">
        <w:rPr>
          <w:noProof/>
          <w:vertAlign w:val="superscript"/>
        </w:rPr>
        <w:t>9</w:t>
      </w:r>
      <w:r>
        <w:fldChar w:fldCharType="end"/>
      </w:r>
      <w:r w:rsidRPr="00DD01B5">
        <w:t>.</w:t>
      </w:r>
      <w:r>
        <w:t xml:space="preserve"> </w:t>
      </w:r>
      <w:r w:rsidRPr="00A96D32">
        <w:rPr>
          <w:i/>
          <w:iCs/>
        </w:rPr>
        <w:t>Target</w:t>
      </w:r>
      <w:r>
        <w:rPr>
          <w:i/>
          <w:iCs/>
        </w:rPr>
        <w:t xml:space="preserve"> RE-AIM </w:t>
      </w:r>
      <w:r w:rsidRPr="00A96D32">
        <w:rPr>
          <w:i/>
          <w:iCs/>
        </w:rPr>
        <w:t>outcome</w:t>
      </w:r>
      <w:r>
        <w:rPr>
          <w:i/>
          <w:iCs/>
        </w:rPr>
        <w:t>s</w:t>
      </w:r>
      <w:r w:rsidRPr="00A96D32">
        <w:rPr>
          <w:i/>
          <w:iCs/>
        </w:rPr>
        <w:t xml:space="preserve">: </w:t>
      </w:r>
      <w:r>
        <w:rPr>
          <w:i/>
          <w:iCs/>
        </w:rPr>
        <w:t xml:space="preserve">Reach and </w:t>
      </w:r>
      <w:r w:rsidRPr="00A96D32">
        <w:rPr>
          <w:i/>
          <w:iCs/>
        </w:rPr>
        <w:t>Adoption</w:t>
      </w:r>
    </w:p>
    <w:p w14:paraId="38204295" w14:textId="77777777" w:rsidR="00A94581" w:rsidRDefault="005843C6"/>
    <w:sectPr w:rsidR="00A94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C6"/>
    <w:rsid w:val="00002321"/>
    <w:rsid w:val="00033F6E"/>
    <w:rsid w:val="00035EA1"/>
    <w:rsid w:val="000763C0"/>
    <w:rsid w:val="00095535"/>
    <w:rsid w:val="000E1665"/>
    <w:rsid w:val="000E22B4"/>
    <w:rsid w:val="000E3F4C"/>
    <w:rsid w:val="00150EC8"/>
    <w:rsid w:val="001700FA"/>
    <w:rsid w:val="00173321"/>
    <w:rsid w:val="0017527B"/>
    <w:rsid w:val="00215B35"/>
    <w:rsid w:val="00292033"/>
    <w:rsid w:val="002F689E"/>
    <w:rsid w:val="00372DE6"/>
    <w:rsid w:val="0037697F"/>
    <w:rsid w:val="003A6865"/>
    <w:rsid w:val="003C1BB5"/>
    <w:rsid w:val="00460ED3"/>
    <w:rsid w:val="00503514"/>
    <w:rsid w:val="005843C6"/>
    <w:rsid w:val="006D272E"/>
    <w:rsid w:val="007930A3"/>
    <w:rsid w:val="00803074"/>
    <w:rsid w:val="0085667D"/>
    <w:rsid w:val="0085772D"/>
    <w:rsid w:val="008A5C6F"/>
    <w:rsid w:val="00930499"/>
    <w:rsid w:val="009F5220"/>
    <w:rsid w:val="00A41F99"/>
    <w:rsid w:val="00A51B0A"/>
    <w:rsid w:val="00A61A09"/>
    <w:rsid w:val="00A91A61"/>
    <w:rsid w:val="00BC2642"/>
    <w:rsid w:val="00C27912"/>
    <w:rsid w:val="00C75420"/>
    <w:rsid w:val="00CD6F0F"/>
    <w:rsid w:val="00D243E9"/>
    <w:rsid w:val="00DE12D6"/>
    <w:rsid w:val="00E30CFE"/>
    <w:rsid w:val="00EB1F9D"/>
    <w:rsid w:val="00FD0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AFE98E"/>
  <w15:chartTrackingRefBased/>
  <w15:docId w15:val="{A0DAC8A1-7B51-D145-BD95-B3F5AA34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C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1008</Words>
  <Characters>5750</Characters>
  <Application>Microsoft Office Word</Application>
  <DocSecurity>0</DocSecurity>
  <Lines>47</Lines>
  <Paragraphs>13</Paragraphs>
  <ScaleCrop>false</ScaleCrop>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2022-07-01T14:51:00Z</dcterms:created>
  <dcterms:modified xsi:type="dcterms:W3CDTF">2022-07-01T14:53:00Z</dcterms:modified>
</cp:coreProperties>
</file>